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r>
        <mc:AlternateContent>
          <mc:Choice Requires="wps">
            <w:drawing>
              <wp:anchor behindDoc="0" distT="0" distB="0" distL="0" distR="0" simplePos="0" locked="0" layoutInCell="1" allowOverlap="1" relativeHeight="2">
                <wp:simplePos x="0" y="0"/>
                <wp:positionH relativeFrom="page">
                  <wp:posOffset>6859905</wp:posOffset>
                </wp:positionH>
                <wp:positionV relativeFrom="page">
                  <wp:posOffset>15875</wp:posOffset>
                </wp:positionV>
                <wp:extent cx="828675" cy="190500"/>
                <wp:effectExtent l="0" t="0" r="0" b="0"/>
                <wp:wrapNone/>
                <wp:docPr id="1" name="Frame2"/>
                <a:graphic xmlns:a="http://schemas.openxmlformats.org/drawingml/2006/main">
                  <a:graphicData uri="http://schemas.microsoft.com/office/word/2010/wordprocessingShape">
                    <wps:wsp>
                      <wps:cNvSpPr txBox="1"/>
                      <wps:spPr>
                        <a:xfrm>
                          <a:off x="0" y="0"/>
                          <a:ext cx="828675" cy="190500"/>
                        </a:xfrm>
                        <a:prstGeom prst="rect"/>
                        <a:solidFill>
                          <a:srgbClr val="FFFFFF"/>
                        </a:solidFill>
                      </wps:spPr>
                      <wps:txb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FFFFFF"/>
                                <w:sz w:val="14"/>
                                <w:u w:val="none"/>
                                <w:effect w:val="none"/>
                              </w:rPr>
                            </w:pPr>
                            <w:r>
                              <w:rPr>
                                <w:rFonts w:ascii="Arial;sans-serif" w:hAnsi="Arial;sans-serif"/>
                                <w:b w:val="false"/>
                                <w:i w:val="false"/>
                                <w:caps w:val="false"/>
                                <w:smallCaps w:val="false"/>
                                <w:strike w:val="false"/>
                                <w:dstrike w:val="false"/>
                                <w:color w:val="FFFFFF"/>
                                <w:sz w:val="14"/>
                                <w:u w:val="none"/>
                                <w:effect w:val="none"/>
                              </w:rPr>
                              <w:t>Exhibit 99.1</w:t>
                            </w:r>
                          </w:p>
                        </w:txbxContent>
                      </wps:txbx>
                      <wps:bodyPr anchor="t" lIns="0" tIns="0" rIns="0" bIns="0">
                        <a:noAutofit/>
                      </wps:bodyPr>
                    </wps:wsp>
                  </a:graphicData>
                </a:graphic>
              </wp:anchor>
            </w:drawing>
          </mc:Choice>
          <mc:Fallback>
            <w:pict>
              <v:rect style="position:absolute;rotation:-0;width:65.25pt;height:15pt;mso-wrap-distance-left:0pt;mso-wrap-distance-right:0pt;mso-wrap-distance-top:0pt;mso-wrap-distance-bottom:0pt;margin-top:1.25pt;mso-position-vertical-relative:page;margin-left:540.15pt;mso-position-horizontal-relative:page">
                <v:textbox>
                  <w:txbxContent>
                    <w:p>
                      <w:pPr>
                        <w:pStyle w:val="TextBody"/>
                        <w:bidi w:val="0"/>
                        <w:spacing w:lineRule="atLeast" w:line="142" w:before="0" w:after="0"/>
                        <w:jc w:val="left"/>
                        <w:rPr>
                          <w:rFonts w:ascii="Arial;sans-serif" w:hAnsi="Arial;sans-serif"/>
                          <w:b w:val="false"/>
                          <w:i w:val="false"/>
                          <w:caps w:val="false"/>
                          <w:smallCaps w:val="false"/>
                          <w:strike w:val="false"/>
                          <w:dstrike w:val="false"/>
                          <w:color w:val="FFFFFF"/>
                          <w:sz w:val="14"/>
                          <w:u w:val="none"/>
                          <w:effect w:val="none"/>
                        </w:rPr>
                      </w:pPr>
                      <w:r>
                        <w:rPr>
                          <w:rFonts w:ascii="Arial;sans-serif" w:hAnsi="Arial;sans-serif"/>
                          <w:b w:val="false"/>
                          <w:i w:val="false"/>
                          <w:caps w:val="false"/>
                          <w:smallCaps w:val="false"/>
                          <w:strike w:val="false"/>
                          <w:dstrike w:val="false"/>
                          <w:color w:val="FFFFFF"/>
                          <w:sz w:val="14"/>
                          <w:u w:val="none"/>
                          <w:effect w:val="none"/>
                        </w:rPr>
                        <w:t>Exhibit 99.1</w:t>
                      </w:r>
                    </w:p>
                  </w:txbxContent>
                </v:textbox>
                <w10:wrap type="none"/>
              </v:rect>
            </w:pict>
          </mc:Fallback>
        </mc:AlternateContent>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60" w:before="0" w:after="0"/>
        <w:jc w:val="left"/>
        <w:rPr>
          <w:rFonts w:ascii="Arial;sans-serif" w:hAnsi="Arial;sans-serif"/>
          <w:b/>
          <w:i w:val="false"/>
          <w:caps w:val="false"/>
          <w:smallCaps w:val="false"/>
          <w:sz w:val="26"/>
        </w:rPr>
      </w:pPr>
      <w:r>
        <w:rPr>
          <w:rFonts w:ascii="Arial;sans-serif" w:hAnsi="Arial;sans-serif"/>
          <w:b/>
          <w:i w:val="false"/>
          <w:caps w:val="false"/>
          <w:smallCaps w:val="false"/>
          <w:sz w:val="26"/>
        </w:rPr>
        <w:t>UNITED STATES SECURITIES AND EXCHANGE COMMISSION</w:t>
      </w:r>
    </w:p>
    <w:p>
      <w:pPr>
        <w:pStyle w:val="TextBody"/>
        <w:bidi w:val="0"/>
        <w:spacing w:lineRule="atLeast" w:line="180" w:before="0" w:after="0"/>
        <w:jc w:val="left"/>
        <w:rPr>
          <w:rFonts w:ascii="Arial;sans-serif" w:hAnsi="Arial;sans-serif"/>
          <w:b/>
          <w:i w:val="false"/>
          <w:caps w:val="false"/>
          <w:smallCaps w:val="false"/>
          <w:sz w:val="18"/>
        </w:rPr>
      </w:pPr>
      <w:r>
        <w:rPr>
          <w:rFonts w:ascii="Arial;sans-serif" w:hAnsi="Arial;sans-serif"/>
          <w:b/>
          <w:i w:val="false"/>
          <w:caps w:val="false"/>
          <w:smallCaps w:val="false"/>
          <w:sz w:val="18"/>
        </w:rPr>
        <w:t>Washington, D.C. 20549</w:t>
      </w:r>
    </w:p>
    <w:p>
      <w:pPr>
        <w:pStyle w:val="TextBody"/>
        <w:bidi w:val="0"/>
        <w:spacing w:lineRule="atLeast" w:line="142" w:before="0" w:after="0"/>
        <w:jc w:val="left"/>
        <w:rPr>
          <w:rFonts w:ascii="Arial;sans-serif" w:hAnsi="Arial;sans-serif"/>
          <w:b/>
          <w:i w:val="false"/>
          <w:caps w:val="false"/>
          <w:smallCaps w:val="false"/>
          <w:sz w:val="8"/>
        </w:rPr>
      </w:pPr>
      <w:r>
        <w:rPr>
          <w:rFonts w:ascii="Arial;sans-serif" w:hAnsi="Arial;sans-serif"/>
          <w:b/>
          <w:i w:val="false"/>
          <w:caps w:val="false"/>
          <w:smallCaps w:val="false"/>
          <w:sz w:val="8"/>
        </w:rPr>
        <w:t>___________________________________________</w:t>
      </w:r>
    </w:p>
    <w:p>
      <w:pPr>
        <w:pStyle w:val="TextBody"/>
        <w:bidi w:val="0"/>
        <w:spacing w:lineRule="atLeast" w:line="300" w:before="0" w:after="0"/>
        <w:jc w:val="left"/>
        <w:rPr>
          <w:sz w:val="30"/>
        </w:rPr>
      </w:pPr>
      <w:r>
        <w:rPr>
          <w:rFonts w:ascii="Arial;sans-serif" w:hAnsi="Arial;sans-serif"/>
          <w:b/>
          <w:i w:val="false"/>
          <w:caps w:val="false"/>
          <w:smallCaps w:val="false"/>
          <w:sz w:val="26"/>
        </w:rPr>
        <w:t xml:space="preserve">FORM </w:t>
      </w:r>
      <w:r>
        <w:rPr>
          <w:rFonts w:ascii="Arial;sans-serif" w:hAnsi="Arial;sans-serif"/>
          <w:b/>
          <w:i w:val="false"/>
          <w:caps w:val="false"/>
          <w:smallCaps w:val="false"/>
          <w:strike w:val="false"/>
          <w:dstrike w:val="false"/>
          <w:sz w:val="26"/>
          <w:u w:val="none"/>
          <w:effect w:val="none"/>
        </w:rPr>
        <w:t>8-K</w:t>
      </w:r>
      <w:r>
        <w:rPr>
          <w:caps w:val="false"/>
          <w:smallCaps w:val="false"/>
          <w:sz w:val="30"/>
        </w:rPr>
        <w:t xml:space="preserve"> </w:t>
      </w:r>
    </w:p>
    <w:p>
      <w:pPr>
        <w:pStyle w:val="TextBody"/>
        <w:bidi w:val="0"/>
        <w:spacing w:lineRule="atLeast" w:line="240" w:before="0" w:after="0"/>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CURRENT REPORT</w:t>
      </w:r>
    </w:p>
    <w:p>
      <w:pPr>
        <w:pStyle w:val="TextBody"/>
        <w:bidi w:val="0"/>
        <w:spacing w:lineRule="atLeast" w:line="240" w:before="0" w:after="0"/>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Pursuant to Section 13 or 15(d)</w:t>
      </w:r>
    </w:p>
    <w:p>
      <w:pPr>
        <w:pStyle w:val="TextBody"/>
        <w:bidi w:val="0"/>
        <w:spacing w:lineRule="atLeast" w:line="240" w:before="0" w:after="0"/>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of the Securities Exchange Act of 1934</w:t>
      </w:r>
    </w:p>
    <w:tbl>
      <w:tblPr>
        <w:tblW w:w="7026" w:type="dxa"/>
        <w:jc w:val="left"/>
        <w:tblInd w:w="0" w:type="dxa"/>
        <w:tblLayout w:type="fixed"/>
        <w:tblCellMar>
          <w:top w:w="28" w:type="dxa"/>
          <w:left w:w="28" w:type="dxa"/>
          <w:bottom w:w="28" w:type="dxa"/>
          <w:right w:w="28" w:type="dxa"/>
        </w:tblCellMar>
      </w:tblPr>
      <w:tblGrid>
        <w:gridCol w:w="124"/>
        <w:gridCol w:w="5026"/>
        <w:gridCol w:w="1876"/>
      </w:tblGrid>
      <w:tr>
        <w:trPr/>
        <w:tc>
          <w:tcPr>
            <w:tcW w:w="124"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5026" w:type="dxa"/>
            <w:tcBorders/>
            <w:vAlign w:val="center"/>
          </w:tcPr>
          <w:p>
            <w:pPr>
              <w:pStyle w:val="TableContents"/>
              <w:bidi w:val="0"/>
              <w:spacing w:lineRule="atLeast" w:line="240" w:before="0" w:after="0"/>
              <w:jc w:val="left"/>
              <w:rPr>
                <w:rFonts w:ascii="Times New Roman;serif" w:hAnsi="Times New Roman;serif"/>
                <w:b/>
                <w:i w:val="false"/>
                <w:caps w:val="false"/>
                <w:smallCaps w:val="false"/>
                <w:sz w:val="24"/>
              </w:rPr>
            </w:pPr>
            <w:r>
              <w:rPr>
                <w:rFonts w:ascii="Times New Roman;serif" w:hAnsi="Times New Roman;serif"/>
                <w:b/>
                <w:i w:val="false"/>
                <w:caps w:val="false"/>
                <w:smallCaps w:val="false"/>
                <w:sz w:val="24"/>
              </w:rPr>
              <w:t xml:space="preserve">Date of Report (Date of earliest event reported): </w:t>
            </w:r>
          </w:p>
        </w:tc>
        <w:tc>
          <w:tcPr>
            <w:tcW w:w="1876" w:type="dxa"/>
            <w:tcBorders/>
            <w:vAlign w:val="center"/>
          </w:tcPr>
          <w:p>
            <w:pPr>
              <w:pStyle w:val="TableContents"/>
              <w:bidi w:val="0"/>
              <w:spacing w:lineRule="atLeast" w:line="240"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October 22, 2026</w:t>
            </w:r>
          </w:p>
        </w:tc>
      </w:tr>
    </w:tbl>
    <w:p>
      <w:pPr>
        <w:pStyle w:val="TextBody"/>
        <w:bidi w:val="0"/>
        <w:spacing w:lineRule="atLeast" w:line="160" w:before="0" w:after="0"/>
        <w:jc w:val="left"/>
        <w:rPr>
          <w:rFonts w:ascii="Arial;sans-serif" w:hAnsi="Arial;sans-serif"/>
          <w:b/>
          <w:i w:val="false"/>
          <w:caps w:val="false"/>
          <w:smallCaps w:val="false"/>
          <w:sz w:val="16"/>
        </w:rPr>
      </w:pPr>
      <w:r>
        <w:rPr>
          <w:rFonts w:ascii="Arial;sans-serif" w:hAnsi="Arial;sans-serif"/>
          <w:b/>
          <w:i w:val="false"/>
          <w:caps w:val="false"/>
          <w:smallCaps w:val="false"/>
          <w:sz w:val="16"/>
        </w:rPr>
        <w:t>___________________________________</w:t>
      </w:r>
    </w:p>
    <w:p>
      <w:pPr>
        <w:pStyle w:val="TextBody"/>
        <w:bidi w:val="0"/>
        <w:spacing w:lineRule="atLeast" w:line="360" w:before="0" w:after="0"/>
        <w:jc w:val="left"/>
        <w:rPr>
          <w:sz w:val="36"/>
        </w:rPr>
      </w:pPr>
      <w:r>
        <w:rPr>
          <w:rFonts w:ascii="Times New Roman;serif" w:hAnsi="Times New Roman;serif"/>
          <w:b/>
          <w:i w:val="false"/>
          <w:caps w:val="false"/>
          <w:smallCaps w:val="false"/>
          <w:strike w:val="false"/>
          <w:dstrike w:val="false"/>
          <w:sz w:val="36"/>
          <w:u w:val="none"/>
          <w:effect w:val="none"/>
        </w:rPr>
        <w:t>Nasdaq, Inc.</w:t>
      </w:r>
      <w:r>
        <w:rPr>
          <w:caps w:val="false"/>
          <w:smallCaps w:val="false"/>
          <w:sz w:val="36"/>
        </w:rPr>
        <w:t xml:space="preserve"> </w:t>
      </w:r>
    </w:p>
    <w:p>
      <w:pPr>
        <w:pStyle w:val="TextBody"/>
        <w:bidi w:val="0"/>
        <w:spacing w:lineRule="atLeast" w:line="180" w:before="0" w:after="0"/>
        <w:jc w:val="left"/>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(Exact name of registrant as specified in its charter)</w:t>
      </w:r>
    </w:p>
    <w:p>
      <w:pPr>
        <w:pStyle w:val="TextBody"/>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___________________________________</w:t>
      </w:r>
    </w:p>
    <w:tbl>
      <w:tblPr>
        <w:tblW w:w="6677" w:type="dxa"/>
        <w:jc w:val="left"/>
        <w:tblInd w:w="0" w:type="dxa"/>
        <w:tblLayout w:type="fixed"/>
        <w:tblCellMar>
          <w:top w:w="28" w:type="dxa"/>
          <w:left w:w="28" w:type="dxa"/>
          <w:bottom w:w="28" w:type="dxa"/>
          <w:right w:w="28" w:type="dxa"/>
        </w:tblCellMar>
      </w:tblPr>
      <w:tblGrid>
        <w:gridCol w:w="1435"/>
        <w:gridCol w:w="1265"/>
        <w:gridCol w:w="2296"/>
        <w:gridCol w:w="1681"/>
      </w:tblGrid>
      <w:tr>
        <w:trPr/>
        <w:tc>
          <w:tcPr>
            <w:tcW w:w="143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2700" w:type="dxa"/>
            <w:gridSpan w:val="2"/>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Delaware</w:t>
            </w:r>
          </w:p>
        </w:tc>
        <w:tc>
          <w:tcPr>
            <w:tcW w:w="229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001-38855 </w:t>
            </w:r>
          </w:p>
        </w:tc>
        <w:tc>
          <w:tcPr>
            <w:tcW w:w="168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52-1165937</w:t>
            </w:r>
          </w:p>
        </w:tc>
      </w:tr>
      <w:tr>
        <w:trPr/>
        <w:tc>
          <w:tcPr>
            <w:tcW w:w="2700" w:type="dxa"/>
            <w:gridSpan w:val="2"/>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(State or Other Jurisdiction of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Incorporation)</w:t>
            </w:r>
          </w:p>
        </w:tc>
        <w:tc>
          <w:tcPr>
            <w:tcW w:w="229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(Commission file number)</w:t>
            </w:r>
          </w:p>
        </w:tc>
        <w:tc>
          <w:tcPr>
            <w:tcW w:w="168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(I.R.S. Employer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Identification No.)</w:t>
            </w:r>
          </w:p>
        </w:tc>
      </w:tr>
    </w:tbl>
    <w:tbl>
      <w:tblPr>
        <w:tblW w:w="4759" w:type="dxa"/>
        <w:jc w:val="left"/>
        <w:tblInd w:w="0" w:type="dxa"/>
        <w:tblLayout w:type="fixed"/>
        <w:tblCellMar>
          <w:top w:w="28" w:type="dxa"/>
          <w:left w:w="28" w:type="dxa"/>
          <w:bottom w:w="28" w:type="dxa"/>
          <w:right w:w="28" w:type="dxa"/>
        </w:tblCellMar>
      </w:tblPr>
      <w:tblGrid>
        <w:gridCol w:w="1771"/>
        <w:gridCol w:w="991"/>
        <w:gridCol w:w="946"/>
        <w:gridCol w:w="1051"/>
      </w:tblGrid>
      <w:tr>
        <w:trPr/>
        <w:tc>
          <w:tcPr>
            <w:tcW w:w="177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177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151 W. 42nd Street,</w:t>
            </w:r>
          </w:p>
        </w:tc>
        <w:tc>
          <w:tcPr>
            <w:tcW w:w="99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New York,</w:t>
            </w:r>
          </w:p>
        </w:tc>
        <w:tc>
          <w:tcPr>
            <w:tcW w:w="94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New York</w:t>
            </w:r>
          </w:p>
        </w:tc>
        <w:tc>
          <w:tcPr>
            <w:tcW w:w="105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10036</w:t>
            </w:r>
          </w:p>
        </w:tc>
      </w:tr>
      <w:tr>
        <w:trPr/>
        <w:tc>
          <w:tcPr>
            <w:tcW w:w="3708" w:type="dxa"/>
            <w:gridSpan w:val="3"/>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(Address of Principal Executive Offices)</w:t>
            </w:r>
          </w:p>
        </w:tc>
        <w:tc>
          <w:tcPr>
            <w:tcW w:w="105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(Zip Code)</w:t>
            </w:r>
          </w:p>
        </w:tc>
      </w:tr>
    </w:tbl>
    <w:p>
      <w:pPr>
        <w:pStyle w:val="TextBody"/>
        <w:bidi w:val="0"/>
        <w:spacing w:lineRule="atLeast" w:line="200" w:before="0" w:after="0"/>
        <w:jc w:val="left"/>
        <w:rPr>
          <w:sz w:val="24"/>
        </w:rPr>
      </w:pPr>
      <w:r>
        <w:rPr>
          <w:rFonts w:ascii="Times New Roman;serif" w:hAnsi="Times New Roman;serif"/>
          <w:b/>
          <w:i w:val="false"/>
          <w:caps w:val="false"/>
          <w:smallCaps w:val="false"/>
          <w:sz w:val="20"/>
        </w:rPr>
        <w:t xml:space="preserve">Registrant’s telephone number, including area code: +1 </w:t>
      </w:r>
      <w:r>
        <w:rPr>
          <w:rFonts w:ascii="Times New Roman;serif" w:hAnsi="Times New Roman;serif"/>
          <w:b/>
          <w:i w:val="false"/>
          <w:caps w:val="false"/>
          <w:smallCaps w:val="false"/>
          <w:strike w:val="false"/>
          <w:dstrike w:val="false"/>
          <w:sz w:val="20"/>
          <w:u w:val="none"/>
          <w:effect w:val="none"/>
        </w:rPr>
        <w:t>212</w:t>
      </w:r>
      <w:r>
        <w:rPr>
          <w:caps w:val="false"/>
          <w:smallCaps w:val="false"/>
          <w:sz w:val="24"/>
        </w:rPr>
        <w:t xml:space="preserve"> </w:t>
      </w:r>
      <w:r>
        <w:rPr>
          <w:rFonts w:ascii="Times New Roman;serif" w:hAnsi="Times New Roman;serif"/>
          <w:b/>
          <w:i w:val="false"/>
          <w:caps w:val="false"/>
          <w:smallCaps w:val="false"/>
          <w:strike w:val="false"/>
          <w:dstrike w:val="false"/>
          <w:sz w:val="20"/>
          <w:u w:val="none"/>
          <w:effect w:val="none"/>
        </w:rPr>
        <w:t>401 8700</w:t>
      </w:r>
      <w:r>
        <w:rPr>
          <w:caps w:val="false"/>
          <w:smallCaps w:val="false"/>
          <w:sz w:val="24"/>
        </w:rPr>
        <w:t xml:space="preserve"> </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 change since last report</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(Former Name or Address, If Changed Since Last Report)</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___________________________________</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Check the appropriate box below if the Form 8-K filing is intended to simultaneously satisfy the filing obligation of the registrant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under any of the following provisions:</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z w:val="20"/>
        </w:rPr>
        <w:t>Written communications pursuant to Rule 425 under the Securities Act (17 CFR 230.425)</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z w:val="20"/>
        </w:rPr>
        <w:t>Soliciting material pursuant to Rule 14a-12 under the Exchange Act (17 CFR 240.14a-12)</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z w:val="20"/>
        </w:rPr>
        <w:t>Pre-commencement communications pursuant to Rule 14d-2(b) under the Exchange Act (17 CFR 240.14d-2(b))</w:t>
      </w:r>
    </w:p>
    <w:p>
      <w:pPr>
        <w:pStyle w:val="TextBody"/>
        <w:bidi w:val="0"/>
        <w:spacing w:lineRule="atLeast" w:line="200" w:before="0" w:after="0"/>
        <w:jc w:val="left"/>
        <w:rPr/>
      </w:pPr>
      <w:r>
        <w:rPr>
          <w:caps w:val="false"/>
          <w:smallCaps w:val="false"/>
          <w:strike w:val="false"/>
          <w:dstrike w:val="false"/>
          <w:u w:val="none"/>
          <w:effect w:val="none"/>
        </w:rPr>
        <w:t>☐</w:t>
      </w:r>
      <w:r>
        <w:rPr>
          <w:rFonts w:ascii="Times New Roman;serif" w:hAnsi="Times New Roman;serif"/>
          <w:b w:val="false"/>
          <w:i w:val="false"/>
          <w:caps w:val="false"/>
          <w:smallCaps w:val="false"/>
          <w:sz w:val="20"/>
        </w:rPr>
        <w:t>Pre-commencement communications pursuant to Rule 13e-4(c) under the Exchange Act (17 CFR 240.13e-4(c))</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Securities registered pursuant to Section 12(b) of the Act:</w:t>
      </w:r>
    </w:p>
    <w:tbl>
      <w:tblPr>
        <w:tblW w:w="8381" w:type="dxa"/>
        <w:jc w:val="left"/>
        <w:tblInd w:w="0" w:type="dxa"/>
        <w:tblLayout w:type="fixed"/>
        <w:tblCellMar>
          <w:top w:w="28" w:type="dxa"/>
          <w:left w:w="28" w:type="dxa"/>
          <w:bottom w:w="28" w:type="dxa"/>
          <w:right w:w="28" w:type="dxa"/>
        </w:tblCellMar>
      </w:tblPr>
      <w:tblGrid>
        <w:gridCol w:w="3496"/>
        <w:gridCol w:w="109"/>
        <w:gridCol w:w="1696"/>
        <w:gridCol w:w="109"/>
        <w:gridCol w:w="2971"/>
      </w:tblGrid>
      <w:tr>
        <w:trPr/>
        <w:tc>
          <w:tcPr>
            <w:tcW w:w="3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Title of each class</w:t>
            </w:r>
          </w:p>
        </w:tc>
        <w:tc>
          <w:tcPr>
            <w:tcW w:w="109" w:type="dxa"/>
            <w:tcBorders/>
            <w:vAlign w:val="center"/>
          </w:tcPr>
          <w:p>
            <w:pPr>
              <w:pStyle w:val="TableContents"/>
              <w:bidi w:val="0"/>
              <w:spacing w:before="0" w:after="283"/>
              <w:jc w:val="left"/>
              <w:rPr>
                <w:sz w:val="4"/>
                <w:szCs w:val="4"/>
              </w:rPr>
            </w:pPr>
            <w:r>
              <w:rPr>
                <w:sz w:val="4"/>
                <w:szCs w:val="4"/>
              </w:rPr>
            </w:r>
          </w:p>
        </w:tc>
        <w:tc>
          <w:tcPr>
            <w:tcW w:w="169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Trading Symbol(s)</w:t>
            </w:r>
          </w:p>
        </w:tc>
        <w:tc>
          <w:tcPr>
            <w:tcW w:w="109" w:type="dxa"/>
            <w:tcBorders/>
            <w:vAlign w:val="center"/>
          </w:tcPr>
          <w:p>
            <w:pPr>
              <w:pStyle w:val="TableContents"/>
              <w:bidi w:val="0"/>
              <w:spacing w:before="0" w:after="283"/>
              <w:jc w:val="left"/>
              <w:rPr>
                <w:sz w:val="4"/>
                <w:szCs w:val="4"/>
              </w:rPr>
            </w:pPr>
            <w:r>
              <w:rPr>
                <w:sz w:val="4"/>
                <w:szCs w:val="4"/>
              </w:rPr>
            </w:r>
          </w:p>
        </w:tc>
        <w:tc>
          <w:tcPr>
            <w:tcW w:w="297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Name of each exchange on which </w:t>
            </w:r>
          </w:p>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registered</w:t>
            </w:r>
          </w:p>
        </w:tc>
      </w:tr>
      <w:tr>
        <w:trPr/>
        <w:tc>
          <w:tcPr>
            <w:tcW w:w="349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Common Stock, $0.01 par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69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NDAQ</w:t>
            </w:r>
          </w:p>
        </w:tc>
        <w:tc>
          <w:tcPr>
            <w:tcW w:w="109" w:type="dxa"/>
            <w:tcBorders/>
            <w:vAlign w:val="center"/>
          </w:tcPr>
          <w:p>
            <w:pPr>
              <w:pStyle w:val="TableContents"/>
              <w:bidi w:val="0"/>
              <w:spacing w:before="0" w:after="283"/>
              <w:jc w:val="left"/>
              <w:rPr>
                <w:sz w:val="4"/>
                <w:szCs w:val="4"/>
              </w:rPr>
            </w:pPr>
            <w:r>
              <w:rPr>
                <w:sz w:val="4"/>
                <w:szCs w:val="4"/>
              </w:rPr>
            </w:r>
          </w:p>
        </w:tc>
        <w:tc>
          <w:tcPr>
            <w:tcW w:w="297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The Nasdaq Stock Market</w:t>
            </w:r>
          </w:p>
        </w:tc>
      </w:tr>
      <w:tr>
        <w:trPr/>
        <w:tc>
          <w:tcPr>
            <w:tcW w:w="349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Common Stock, $0.01 par value per share</w:t>
            </w:r>
          </w:p>
        </w:tc>
        <w:tc>
          <w:tcPr>
            <w:tcW w:w="10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NDAQ</w:t>
            </w:r>
          </w:p>
        </w:tc>
        <w:tc>
          <w:tcPr>
            <w:tcW w:w="109"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Nasdaq Texas, LLC</w:t>
            </w:r>
          </w:p>
        </w:tc>
      </w:tr>
      <w:tr>
        <w:trPr/>
        <w:tc>
          <w:tcPr>
            <w:tcW w:w="349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4.500% Senior Notes due 2032</w:t>
            </w:r>
          </w:p>
        </w:tc>
        <w:tc>
          <w:tcPr>
            <w:tcW w:w="10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NDAQ32</w:t>
            </w:r>
          </w:p>
        </w:tc>
        <w:tc>
          <w:tcPr>
            <w:tcW w:w="109"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The Nasdaq Stock Market</w:t>
            </w:r>
          </w:p>
        </w:tc>
      </w:tr>
      <w:tr>
        <w:trPr/>
        <w:tc>
          <w:tcPr>
            <w:tcW w:w="349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0.900% Senior Notes due 2033</w:t>
            </w:r>
          </w:p>
        </w:tc>
        <w:tc>
          <w:tcPr>
            <w:tcW w:w="10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NDAQ33</w:t>
            </w:r>
          </w:p>
        </w:tc>
        <w:tc>
          <w:tcPr>
            <w:tcW w:w="109"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The Nasdaq Stock Market</w:t>
            </w:r>
          </w:p>
        </w:tc>
      </w:tr>
      <w:tr>
        <w:trPr/>
        <w:tc>
          <w:tcPr>
            <w:tcW w:w="349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0.875% Senior Notes due 2030</w:t>
            </w:r>
          </w:p>
        </w:tc>
        <w:tc>
          <w:tcPr>
            <w:tcW w:w="10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NDAQ30</w:t>
            </w:r>
          </w:p>
        </w:tc>
        <w:tc>
          <w:tcPr>
            <w:tcW w:w="109"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The Nasdaq Stock Market</w:t>
            </w:r>
          </w:p>
        </w:tc>
      </w:tr>
      <w:tr>
        <w:trPr/>
        <w:tc>
          <w:tcPr>
            <w:tcW w:w="349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1.75% Senior Notes due 2029</w:t>
            </w:r>
          </w:p>
        </w:tc>
        <w:tc>
          <w:tcPr>
            <w:tcW w:w="10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NDAQ29</w:t>
            </w:r>
          </w:p>
        </w:tc>
        <w:tc>
          <w:tcPr>
            <w:tcW w:w="109"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The Nasdaq Stock Market</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Indicate by check mark whether the registrant is an emerging growth company as defined in Rule 405 of the Securities Act of 1933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(§230.405 of this chapter) or in Rule 12b-2 of the Securities Act of 1934 (§240.12b-2 of this chapter).</w:t>
      </w:r>
    </w:p>
    <w:tbl>
      <w:tblPr>
        <w:tblW w:w="2905" w:type="dxa"/>
        <w:jc w:val="left"/>
        <w:tblInd w:w="0" w:type="dxa"/>
        <w:tblLayout w:type="fixed"/>
        <w:tblCellMar>
          <w:top w:w="28" w:type="dxa"/>
          <w:left w:w="28" w:type="dxa"/>
          <w:bottom w:w="28" w:type="dxa"/>
          <w:right w:w="28" w:type="dxa"/>
        </w:tblCellMar>
      </w:tblPr>
      <w:tblGrid>
        <w:gridCol w:w="2326"/>
        <w:gridCol w:w="316"/>
        <w:gridCol w:w="109"/>
        <w:gridCol w:w="154"/>
      </w:tblGrid>
      <w:tr>
        <w:trPr/>
        <w:tc>
          <w:tcPr>
            <w:tcW w:w="23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Emerging growth company</w:t>
            </w:r>
          </w:p>
        </w:tc>
        <w:tc>
          <w:tcPr>
            <w:tcW w:w="31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If an emerging growth company, indicate by check mark if the registrant has elected not to use the extended transition period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complying with any new or revised financial accounting standards provided pursuant to Section 13(a) of the Exchange Act. ☐</w:t>
      </w:r>
    </w:p>
    <w:tbl>
      <w:tblPr>
        <w:tblW w:w="278" w:type="dxa"/>
        <w:jc w:val="left"/>
        <w:tblInd w:w="0" w:type="dxa"/>
        <w:tblLayout w:type="fixed"/>
        <w:tblCellMar>
          <w:top w:w="28" w:type="dxa"/>
          <w:left w:w="28" w:type="dxa"/>
          <w:bottom w:w="28" w:type="dxa"/>
          <w:right w:w="28" w:type="dxa"/>
        </w:tblCellMar>
      </w:tblPr>
      <w:tblGrid>
        <w:gridCol w:w="1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 w:type="dxa"/>
            <w:gridSpan w:val="2"/>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pPr>
      <w:r>
        <w:rPr>
          <w:rFonts w:ascii="Times New Roman;serif" w:hAnsi="Times New Roman;serif"/>
          <w:b/>
          <w:i w:val="false"/>
          <w:caps w:val="false"/>
          <w:smallCaps w:val="false"/>
          <w:sz w:val="20"/>
        </w:rPr>
        <w:t>Item 2.02.</w:t>
      </w:r>
      <w:r>
        <w:rPr>
          <w:caps w:val="false"/>
          <w:smallCaps w:val="false"/>
        </w:rPr>
        <w:t xml:space="preserve">          </w:t>
      </w:r>
      <w:r>
        <w:rPr>
          <w:rFonts w:ascii="Times New Roman;serif" w:hAnsi="Times New Roman;serif"/>
          <w:b/>
          <w:i w:val="false"/>
          <w:caps w:val="false"/>
          <w:smallCaps w:val="false"/>
          <w:sz w:val="20"/>
        </w:rPr>
        <w:t>Results of Operations and Financial Condition.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On </w:t>
      </w:r>
      <w:r>
        <w:rPr>
          <w:rFonts w:ascii="Times New Roman;serif" w:hAnsi="Times New Roman;serif"/>
          <w:b w:val="false"/>
          <w:i w:val="false"/>
          <w:caps w:val="false"/>
          <w:smallCaps w:val="false"/>
          <w:strike w:val="false"/>
          <w:dstrike w:val="false"/>
          <w:sz w:val="20"/>
          <w:u w:val="none"/>
          <w:effect w:val="none"/>
        </w:rPr>
        <w:t>October 22, 2026</w:t>
      </w:r>
      <w:r>
        <w:rPr>
          <w:rFonts w:ascii="Times New Roman;serif" w:hAnsi="Times New Roman;serif"/>
          <w:b w:val="false"/>
          <w:i w:val="false"/>
          <w:caps w:val="false"/>
          <w:smallCaps w:val="false"/>
          <w:sz w:val="20"/>
        </w:rPr>
        <w:t xml:space="preserve">, Nasdaq, Inc. (“Nasdaq”) issued a press release providing financial results for the third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quarter of 2026. A copy of the press release is attached as Exhibit 99.1 to this Current Report on Form 8-K and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incorporated herein by reference.</w:t>
      </w:r>
    </w:p>
    <w:p>
      <w:pPr>
        <w:pStyle w:val="TextBody"/>
        <w:bidi w:val="0"/>
        <w:spacing w:lineRule="atLeast" w:line="200" w:before="0" w:after="0"/>
        <w:jc w:val="left"/>
        <w:rPr/>
      </w:pPr>
      <w:r>
        <w:rPr>
          <w:rFonts w:ascii="Times New Roman;serif" w:hAnsi="Times New Roman;serif"/>
          <w:b/>
          <w:i w:val="false"/>
          <w:caps w:val="false"/>
          <w:smallCaps w:val="false"/>
          <w:sz w:val="20"/>
        </w:rPr>
        <w:t>Item 7.01.</w:t>
      </w:r>
      <w:r>
        <w:rPr>
          <w:caps w:val="false"/>
          <w:smallCaps w:val="false"/>
        </w:rPr>
        <w:t xml:space="preserve">          </w:t>
      </w:r>
      <w:r>
        <w:rPr>
          <w:rFonts w:ascii="Times New Roman;serif" w:hAnsi="Times New Roman;serif"/>
          <w:b/>
          <w:i w:val="false"/>
          <w:caps w:val="false"/>
          <w:smallCaps w:val="false"/>
          <w:sz w:val="20"/>
        </w:rPr>
        <w:t>Regulation FD Disclosure.</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On </w:t>
      </w:r>
      <w:r>
        <w:rPr>
          <w:rFonts w:ascii="Times New Roman;serif" w:hAnsi="Times New Roman;serif"/>
          <w:b w:val="false"/>
          <w:i w:val="false"/>
          <w:caps w:val="false"/>
          <w:smallCaps w:val="false"/>
          <w:strike w:val="false"/>
          <w:dstrike w:val="false"/>
          <w:sz w:val="20"/>
          <w:u w:val="none"/>
          <w:effect w:val="none"/>
        </w:rPr>
        <w:t>October 22, 2026</w:t>
      </w:r>
      <w:r>
        <w:rPr>
          <w:rFonts w:ascii="Times New Roman;serif" w:hAnsi="Times New Roman;serif"/>
          <w:b w:val="false"/>
          <w:i w:val="false"/>
          <w:caps w:val="false"/>
          <w:smallCaps w:val="false"/>
          <w:sz w:val="20"/>
        </w:rPr>
        <w:t xml:space="preserve">, Nasdaq posted slides to be used in its earnings presentation for the third quarter of 2026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its website at http://ir.nasdaq.com.</w:t>
      </w:r>
    </w:p>
    <w:p>
      <w:pPr>
        <w:pStyle w:val="TextBody"/>
        <w:bidi w:val="0"/>
        <w:spacing w:lineRule="atLeast" w:line="200" w:before="0" w:after="0"/>
        <w:jc w:val="left"/>
        <w:rPr/>
      </w:pPr>
      <w:r>
        <w:rPr>
          <w:rFonts w:ascii="Times New Roman;serif" w:hAnsi="Times New Roman;serif"/>
          <w:b/>
          <w:i w:val="false"/>
          <w:caps w:val="false"/>
          <w:smallCaps w:val="false"/>
          <w:sz w:val="20"/>
        </w:rPr>
        <w:t>Item 8.01.</w:t>
      </w:r>
      <w:r>
        <w:rPr>
          <w:caps w:val="false"/>
          <w:smallCaps w:val="false"/>
        </w:rPr>
        <w:t xml:space="preserve">          </w:t>
      </w:r>
      <w:r>
        <w:rPr>
          <w:rFonts w:ascii="Times New Roman;serif" w:hAnsi="Times New Roman;serif"/>
          <w:b/>
          <w:i w:val="false"/>
          <w:caps w:val="false"/>
          <w:smallCaps w:val="false"/>
          <w:sz w:val="20"/>
        </w:rPr>
        <w:t>Other Events.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On </w:t>
      </w:r>
      <w:r>
        <w:rPr>
          <w:rFonts w:ascii="Times New Roman;serif" w:hAnsi="Times New Roman;serif"/>
          <w:b w:val="false"/>
          <w:i w:val="false"/>
          <w:caps w:val="false"/>
          <w:smallCaps w:val="false"/>
          <w:strike w:val="false"/>
          <w:dstrike w:val="false"/>
          <w:sz w:val="20"/>
          <w:u w:val="none"/>
          <w:effect w:val="none"/>
        </w:rPr>
        <w:t>October 22, 2026</w:t>
      </w:r>
      <w:r>
        <w:rPr>
          <w:rFonts w:ascii="Times New Roman;serif" w:hAnsi="Times New Roman;serif"/>
          <w:b w:val="false"/>
          <w:i w:val="false"/>
          <w:caps w:val="false"/>
          <w:smallCaps w:val="false"/>
          <w:sz w:val="20"/>
        </w:rPr>
        <w:t xml:space="preserve">, Nasdaq issued a press release announcing the declaration of a quarterly cash dividend.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copy of the press release is attached as Exhibit 99.2 to this Current Report on Form 8-K and is incorporated herein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by reference.</w:t>
      </w:r>
    </w:p>
    <w:tbl>
      <w:tblPr>
        <w:tblW w:w="10096" w:type="dxa"/>
        <w:jc w:val="left"/>
        <w:tblInd w:w="0" w:type="dxa"/>
        <w:tblLayout w:type="fixed"/>
        <w:tblCellMar>
          <w:top w:w="28" w:type="dxa"/>
          <w:left w:w="28" w:type="dxa"/>
          <w:bottom w:w="28" w:type="dxa"/>
          <w:right w:w="28" w:type="dxa"/>
        </w:tblCellMar>
      </w:tblPr>
      <w:tblGrid>
        <w:gridCol w:w="961"/>
        <w:gridCol w:w="900"/>
        <w:gridCol w:w="3408"/>
        <w:gridCol w:w="4827"/>
      </w:tblGrid>
      <w:tr>
        <w:trPr/>
        <w:tc>
          <w:tcPr>
            <w:tcW w:w="96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408" w:type="dxa"/>
            <w:tcBorders/>
            <w:vAlign w:val="center"/>
          </w:tcPr>
          <w:p>
            <w:pPr>
              <w:pStyle w:val="TableContents"/>
              <w:bidi w:val="0"/>
              <w:spacing w:before="0" w:after="283"/>
              <w:jc w:val="left"/>
              <w:rPr>
                <w:sz w:val="4"/>
                <w:szCs w:val="4"/>
              </w:rPr>
            </w:pPr>
            <w:r>
              <w:rPr>
                <w:sz w:val="4"/>
                <w:szCs w:val="4"/>
              </w:rPr>
            </w:r>
          </w:p>
        </w:tc>
        <w:tc>
          <w:tcPr>
            <w:tcW w:w="4827" w:type="dxa"/>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Item 9.01.</w:t>
            </w:r>
          </w:p>
        </w:tc>
        <w:tc>
          <w:tcPr>
            <w:tcW w:w="9135" w:type="dxa"/>
            <w:gridSpan w:val="3"/>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Financial Statements and Exhibits.</w:t>
            </w:r>
          </w:p>
        </w:tc>
      </w:tr>
      <w:tr>
        <w:trPr/>
        <w:tc>
          <w:tcPr>
            <w:tcW w:w="10096" w:type="dxa"/>
            <w:gridSpan w:val="4"/>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 Exhibits.</w:t>
            </w:r>
          </w:p>
        </w:tc>
      </w:tr>
      <w:tr>
        <w:trPr/>
        <w:tc>
          <w:tcPr>
            <w:tcW w:w="96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No.</w:t>
            </w:r>
          </w:p>
        </w:tc>
        <w:tc>
          <w:tcPr>
            <w:tcW w:w="900" w:type="dxa"/>
            <w:tcBorders/>
            <w:vAlign w:val="center"/>
          </w:tcPr>
          <w:p>
            <w:pPr>
              <w:pStyle w:val="TableContents"/>
              <w:bidi w:val="0"/>
              <w:spacing w:before="0" w:after="283"/>
              <w:jc w:val="left"/>
              <w:rPr>
                <w:sz w:val="4"/>
                <w:szCs w:val="4"/>
              </w:rPr>
            </w:pPr>
            <w:r>
              <w:rPr>
                <w:sz w:val="4"/>
                <w:szCs w:val="4"/>
              </w:rPr>
            </w:r>
          </w:p>
        </w:tc>
        <w:tc>
          <w:tcPr>
            <w:tcW w:w="8235" w:type="dxa"/>
            <w:gridSpan w:val="2"/>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Exhibit Description</w:t>
            </w:r>
          </w:p>
        </w:tc>
      </w:tr>
      <w:tr>
        <w:trPr/>
        <w:tc>
          <w:tcPr>
            <w:tcW w:w="96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pPr>
            <w:hyperlink w:anchor="earningsrelease3q26ex-991.htm">
              <w:r>
                <w:rPr>
                  <w:rStyle w:val="InternetLink"/>
                  <w:rFonts w:ascii="Times New Roman;serif" w:hAnsi="Times New Roman;serif"/>
                  <w:b w:val="false"/>
                  <w:i w:val="false"/>
                  <w:caps w:val="false"/>
                  <w:smallCaps w:val="false"/>
                  <w:color w:val="0000FF"/>
                  <w:sz w:val="20"/>
                  <w:u w:val="single"/>
                </w:rPr>
                <w:t>99.1</w:t>
              </w:r>
            </w:hyperlink>
          </w:p>
        </w:tc>
        <w:tc>
          <w:tcPr>
            <w:tcW w:w="900" w:type="dxa"/>
            <w:tcBorders/>
            <w:vAlign w:val="center"/>
          </w:tcPr>
          <w:p>
            <w:pPr>
              <w:pStyle w:val="TableContents"/>
              <w:bidi w:val="0"/>
              <w:spacing w:before="0" w:after="283"/>
              <w:jc w:val="left"/>
              <w:rPr>
                <w:sz w:val="4"/>
                <w:szCs w:val="4"/>
              </w:rPr>
            </w:pPr>
            <w:r>
              <w:rPr>
                <w:sz w:val="4"/>
                <w:szCs w:val="4"/>
              </w:rPr>
            </w:r>
          </w:p>
        </w:tc>
        <w:tc>
          <w:tcPr>
            <w:tcW w:w="8235" w:type="dxa"/>
            <w:gridSpan w:val="2"/>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pPr>
            <w:hyperlink w:anchor="earningsrelease3q26ex-991.htm">
              <w:r>
                <w:rPr>
                  <w:rStyle w:val="InternetLink"/>
                  <w:rFonts w:ascii="Times New Roman;serif" w:hAnsi="Times New Roman;serif"/>
                  <w:b w:val="false"/>
                  <w:i w:val="false"/>
                  <w:caps w:val="false"/>
                  <w:smallCaps w:val="false"/>
                  <w:color w:val="0000FF"/>
                  <w:sz w:val="20"/>
                  <w:u w:val="single"/>
                </w:rPr>
                <w:t>Press release dated October 22, 2026 relating to financial results for the third quarter of 2026.</w:t>
              </w:r>
            </w:hyperlink>
          </w:p>
        </w:tc>
      </w:tr>
      <w:tr>
        <w:trPr/>
        <w:tc>
          <w:tcPr>
            <w:tcW w:w="961" w:type="dxa"/>
            <w:tcBorders/>
            <w:vAlign w:val="center"/>
          </w:tcPr>
          <w:p>
            <w:pPr>
              <w:pStyle w:val="TableContents"/>
              <w:bidi w:val="0"/>
              <w:spacing w:lineRule="atLeast" w:line="200" w:before="0" w:after="0"/>
              <w:jc w:val="left"/>
              <w:rPr/>
            </w:pPr>
            <w:hyperlink w:anchor="ndaq102226ex-992.htm">
              <w:r>
                <w:rPr>
                  <w:rStyle w:val="InternetLink"/>
                  <w:rFonts w:ascii="Times New Roman;serif" w:hAnsi="Times New Roman;serif"/>
                  <w:b w:val="false"/>
                  <w:i w:val="false"/>
                  <w:caps w:val="false"/>
                  <w:smallCaps w:val="false"/>
                  <w:color w:val="0000FF"/>
                  <w:sz w:val="20"/>
                  <w:u w:val="single"/>
                </w:rPr>
                <w:t>99.2</w:t>
              </w:r>
            </w:hyperlink>
          </w:p>
        </w:tc>
        <w:tc>
          <w:tcPr>
            <w:tcW w:w="900"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lineRule="atLeast" w:line="200" w:before="0" w:after="0"/>
              <w:jc w:val="left"/>
              <w:rPr/>
            </w:pPr>
            <w:hyperlink w:anchor="ndaq102226ex-992.htm">
              <w:r>
                <w:rPr>
                  <w:rStyle w:val="InternetLink"/>
                  <w:rFonts w:ascii="Times New Roman;serif" w:hAnsi="Times New Roman;serif"/>
                  <w:b w:val="false"/>
                  <w:i w:val="false"/>
                  <w:caps w:val="false"/>
                  <w:smallCaps w:val="false"/>
                  <w:color w:val="0000FF"/>
                  <w:sz w:val="20"/>
                  <w:u w:val="single"/>
                </w:rPr>
                <w:t>Press release dated October 22, 2026 relating to the declaration of a quarterly cash dividend.</w:t>
              </w:r>
            </w:hyperlink>
          </w:p>
        </w:tc>
      </w:tr>
      <w:tr>
        <w:trPr/>
        <w:tc>
          <w:tcPr>
            <w:tcW w:w="961"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3408" w:type="dxa"/>
            <w:tcBorders/>
            <w:vAlign w:val="center"/>
          </w:tcPr>
          <w:p>
            <w:pPr>
              <w:pStyle w:val="TableContents"/>
              <w:bidi w:val="0"/>
              <w:spacing w:before="0" w:after="283"/>
              <w:jc w:val="left"/>
              <w:rPr>
                <w:sz w:val="4"/>
                <w:szCs w:val="4"/>
              </w:rPr>
            </w:pPr>
            <w:r>
              <w:rPr>
                <w:sz w:val="4"/>
                <w:szCs w:val="4"/>
              </w:rPr>
            </w:r>
          </w:p>
        </w:tc>
        <w:tc>
          <w:tcPr>
            <w:tcW w:w="4827" w:type="dxa"/>
            <w:tcBorders/>
            <w:vAlign w:val="center"/>
          </w:tcPr>
          <w:p>
            <w:pPr>
              <w:pStyle w:val="TableContents"/>
              <w:bidi w:val="0"/>
              <w:spacing w:before="0" w:after="283"/>
              <w:jc w:val="left"/>
              <w:rPr>
                <w:sz w:val="4"/>
                <w:szCs w:val="4"/>
              </w:rPr>
            </w:pPr>
            <w:r>
              <w:rPr>
                <w:sz w:val="4"/>
                <w:szCs w:val="4"/>
              </w:rPr>
            </w:r>
          </w:p>
        </w:tc>
      </w:tr>
      <w:tr>
        <w:trPr/>
        <w:tc>
          <w:tcPr>
            <w:tcW w:w="96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104</w:t>
            </w:r>
          </w:p>
        </w:tc>
        <w:tc>
          <w:tcPr>
            <w:tcW w:w="900" w:type="dxa"/>
            <w:tcBorders/>
            <w:vAlign w:val="center"/>
          </w:tcPr>
          <w:p>
            <w:pPr>
              <w:pStyle w:val="TableContents"/>
              <w:bidi w:val="0"/>
              <w:spacing w:before="0" w:after="283"/>
              <w:jc w:val="left"/>
              <w:rPr>
                <w:sz w:val="4"/>
                <w:szCs w:val="4"/>
              </w:rPr>
            </w:pPr>
            <w:r>
              <w:rPr>
                <w:sz w:val="4"/>
                <w:szCs w:val="4"/>
              </w:rPr>
            </w:r>
          </w:p>
        </w:tc>
        <w:tc>
          <w:tcPr>
            <w:tcW w:w="8235" w:type="dxa"/>
            <w:gridSpan w:val="2"/>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Cover Page Interactive Data File - the cover page XBRL tags are embedded within the Inline XBRL </w:t>
            </w:r>
          </w:p>
        </w:tc>
      </w:tr>
    </w:tbl>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The information set forth under “Item 2.02 Results of Operations and Financial Condition” and “Item 7.01</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Regulation FD Disclosure” is intended to be furnished pursuant to Item 2.02 and Item 7.01, respectively. Such</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information, including Exhibit 99.1, shall not be deemed “filed” for purposes of the Securities Exchange Act of</w:t>
      </w:r>
      <w:r>
        <w:rPr>
          <w:caps w:val="false"/>
          <w:smallCaps w:val="false"/>
          <w:u w:val="single"/>
        </w:rPr>
        <w:t xml:space="preserve"> </w:t>
      </w:r>
    </w:p>
    <w:p>
      <w:pPr>
        <w:pStyle w:val="TextBody"/>
        <w:bidi w:val="0"/>
        <w:spacing w:lineRule="atLeast" w:line="200" w:before="0" w:after="0"/>
        <w:jc w:val="both"/>
        <w:rPr>
          <w:u w:val="single"/>
        </w:rPr>
      </w:pPr>
      <w:r>
        <w:rPr>
          <w:rFonts w:ascii="Times New Roman;serif" w:hAnsi="Times New Roman;serif"/>
          <w:b w:val="false"/>
          <w:i w:val="false"/>
          <w:caps w:val="false"/>
          <w:smallCaps w:val="false"/>
          <w:sz w:val="20"/>
          <w:u w:val="single"/>
        </w:rPr>
        <w:t>1934, as amended, nor shall it be deemed incorporated by reference into any of Nasdaq’s filings under the Securities</w:t>
      </w:r>
      <w:r>
        <w:rPr>
          <w:caps w:val="false"/>
          <w:smallCaps w:val="false"/>
          <w:u w:val="single"/>
        </w:rPr>
        <w:t xml:space="preserve"> </w:t>
      </w:r>
    </w:p>
    <w:p>
      <w:pPr>
        <w:pStyle w:val="TextBody"/>
        <w:bidi w:val="0"/>
        <w:spacing w:lineRule="atLeast" w:line="200" w:before="0" w:after="0"/>
        <w:jc w:val="both"/>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Act of 1933, as amended,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SIGNATURES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Pursuant to the requirements of the Securities Exchange Act of 1934, the registrant has duly caused this report to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signed on its behalf by the undersigned hereunto duly authorized.</w:t>
      </w:r>
    </w:p>
    <w:tbl>
      <w:tblPr>
        <w:tblW w:w="5268" w:type="dxa"/>
        <w:jc w:val="left"/>
        <w:tblInd w:w="0" w:type="dxa"/>
        <w:tblLayout w:type="fixed"/>
        <w:tblCellMar>
          <w:top w:w="28" w:type="dxa"/>
          <w:left w:w="28" w:type="dxa"/>
          <w:bottom w:w="28" w:type="dxa"/>
          <w:right w:w="28" w:type="dxa"/>
        </w:tblCellMar>
      </w:tblPr>
      <w:tblGrid>
        <w:gridCol w:w="2116"/>
        <w:gridCol w:w="571"/>
        <w:gridCol w:w="2581"/>
      </w:tblGrid>
      <w:tr>
        <w:trPr/>
        <w:tc>
          <w:tcPr>
            <w:tcW w:w="211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116" w:type="dxa"/>
            <w:tcBorders/>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Dated: </w:t>
            </w:r>
            <w:r>
              <w:rPr>
                <w:rFonts w:ascii="Times New Roman;serif" w:hAnsi="Times New Roman;serif"/>
                <w:b w:val="false"/>
                <w:i w:val="false"/>
                <w:caps w:val="false"/>
                <w:smallCaps w:val="false"/>
                <w:strike w:val="false"/>
                <w:dstrike w:val="false"/>
                <w:sz w:val="20"/>
                <w:u w:val="none"/>
                <w:effect w:val="none"/>
              </w:rPr>
              <w:t>October 22, 2026</w:t>
            </w:r>
          </w:p>
        </w:tc>
        <w:tc>
          <w:tcPr>
            <w:tcW w:w="3152" w:type="dxa"/>
            <w:gridSpan w:val="2"/>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Nasdaq, Inc.</w:t>
            </w:r>
          </w:p>
        </w:tc>
      </w:tr>
      <w:tr>
        <w:trPr/>
        <w:tc>
          <w:tcPr>
            <w:tcW w:w="211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By:</w:t>
            </w:r>
          </w:p>
        </w:tc>
        <w:tc>
          <w:tcPr>
            <w:tcW w:w="258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John A. Zecca</w:t>
            </w:r>
          </w:p>
        </w:tc>
      </w:tr>
      <w:tr>
        <w:trPr/>
        <w:tc>
          <w:tcPr>
            <w:tcW w:w="211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Name</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258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John A. Zecca</w:t>
            </w:r>
          </w:p>
        </w:tc>
      </w:tr>
      <w:tr>
        <w:trPr/>
        <w:tc>
          <w:tcPr>
            <w:tcW w:w="211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Title:</w:t>
            </w:r>
          </w:p>
        </w:tc>
        <w:tc>
          <w:tcPr>
            <w:tcW w:w="258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Executive Vice President and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Chief Legal Officer</w:t>
            </w:r>
          </w:p>
        </w:tc>
      </w:tr>
    </w:tbl>
    <w:p>
      <w:pPr>
        <w:pStyle w:val="TextBody"/>
        <w:bidi w:val="0"/>
        <w:spacing w:lineRule="atLeast" w:line="142" w:before="0" w:after="0"/>
        <w:jc w:val="left"/>
        <w:rPr>
          <w:rFonts w:ascii="Arial;sans-serif" w:hAnsi="Arial;sans-serif"/>
          <w:b w:val="false"/>
          <w:i w:val="false"/>
          <w:caps w:val="false"/>
          <w:smallCaps w:val="false"/>
          <w:sz w:val="18"/>
          <w:shd w:fill="E4E4E4" w:val="clear"/>
        </w:rPr>
      </w:pPr>
      <w:bookmarkStart w:id="0" w:name="earningsrelease3q26ex-991.htm"/>
      <w:bookmarkStart w:id="1" w:name="ksearningsrelease3q26ex991"/>
      <w:bookmarkEnd w:id="0"/>
      <w:bookmarkEnd w:id="1"/>
      <w:r>
        <w:rPr>
          <w:rFonts w:ascii="Arial;sans-serif" w:hAnsi="Arial;sans-serif"/>
          <w:b w:val="false"/>
          <w:i w:val="false"/>
          <w:caps w:val="false"/>
          <w:smallCaps w:val="false"/>
          <w:sz w:val="18"/>
          <w:shd w:fill="E4E4E4" w:val="clear"/>
        </w:rPr>
        <w:t>1</w:t>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2</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7560310" cy="969645"/>
                <wp:effectExtent l="0" t="0" r="0" b="0"/>
                <wp:wrapNone/>
                <wp:docPr id="2" name="Frame1"/>
                <a:graphic xmlns:a="http://schemas.openxmlformats.org/drawingml/2006/main">
                  <a:graphicData uri="http://schemas.microsoft.com/office/word/2010/wordprocessingShape">
                    <wps:wsp>
                      <wps:cNvSpPr txBox="1"/>
                      <wps:spPr>
                        <a:xfrm>
                          <a:off x="0" y="0"/>
                          <a:ext cx="7560310" cy="969645"/>
                        </a:xfrm>
                        <a:prstGeom prst="rect"/>
                        <a:solidFill>
                          <a:srgbClr val="FFFFFF"/>
                        </a:solidFill>
                      </wps:spPr>
                      <wps:txbx>
                        <w:txbxContent>
                          <w:p>
                            <w:pPr>
                              <w:pStyle w:val="TextBody"/>
                              <w:bidi w:val="0"/>
                              <w:spacing w:before="0" w:after="0"/>
                              <w:jc w:val="left"/>
                              <w:rPr/>
                            </w:pPr>
                            <w:r>
                              <w:rPr/>
                              <w:drawing>
                                <wp:inline distT="0" distB="0" distL="0" distR="0">
                                  <wp:extent cx="7772400" cy="96964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7772400" cy="969645"/>
                                          </a:xfrm>
                                          <a:prstGeom prst="rect">
                                            <a:avLst/>
                                          </a:prstGeom>
                                        </pic:spPr>
                                      </pic:pic>
                                    </a:graphicData>
                                  </a:graphic>
                                </wp:inline>
                              </w:drawing>
                            </w:r>
                          </w:p>
                        </w:txbxContent>
                      </wps:txbx>
                      <wps:bodyPr anchor="t" lIns="0" tIns="0" rIns="0" bIns="0">
                        <a:noAutofit/>
                      </wps:bodyPr>
                    </wps:wsp>
                  </a:graphicData>
                </a:graphic>
              </wp:anchor>
            </w:drawing>
          </mc:Choice>
          <mc:Fallback>
            <w:pict>
              <v:rect style="position:absolute;rotation:-0;width:595.3pt;height:76.35pt;mso-wrap-distance-left:0pt;mso-wrap-distance-right:0pt;mso-wrap-distance-top:0pt;mso-wrap-distance-bottom:0pt;margin-top:0pt;mso-position-vertical:top;mso-position-vertical-relative:text;margin-left:-56.7pt;mso-position-horizontal:left;mso-position-horizontal-relative:text">
                <v:textbox>
                  <w:txbxContent>
                    <w:p>
                      <w:pPr>
                        <w:pStyle w:val="TextBody"/>
                        <w:bidi w:val="0"/>
                        <w:spacing w:before="0" w:after="0"/>
                        <w:jc w:val="left"/>
                        <w:rPr/>
                      </w:pPr>
                      <w:r>
                        <w:rPr/>
                        <w:drawing>
                          <wp:inline distT="0" distB="0" distL="0" distR="0">
                            <wp:extent cx="7772400" cy="96964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3"/>
                                    <a:stretch>
                                      <a:fillRect/>
                                    </a:stretch>
                                  </pic:blipFill>
                                  <pic:spPr bwMode="auto">
                                    <a:xfrm>
                                      <a:off x="0" y="0"/>
                                      <a:ext cx="7772400" cy="969645"/>
                                    </a:xfrm>
                                    <a:prstGeom prst="rect">
                                      <a:avLst/>
                                    </a:prstGeom>
                                  </pic:spPr>
                                </pic:pic>
                              </a:graphicData>
                            </a:graphic>
                          </wp:inline>
                        </w:drawing>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365760</wp:posOffset>
                </wp:positionH>
                <wp:positionV relativeFrom="line">
                  <wp:posOffset>635</wp:posOffset>
                </wp:positionV>
                <wp:extent cx="7115175" cy="4514215"/>
                <wp:effectExtent l="0" t="0" r="0" b="0"/>
                <wp:wrapNone/>
                <wp:docPr id="5" name="Frame3"/>
                <a:graphic xmlns:a="http://schemas.openxmlformats.org/drawingml/2006/main">
                  <a:graphicData uri="http://schemas.microsoft.com/office/word/2010/wordprocessingShape">
                    <wps:wsp>
                      <wps:cNvSpPr txBox="1"/>
                      <wps:spPr>
                        <a:xfrm>
                          <a:off x="0" y="0"/>
                          <a:ext cx="7115175" cy="4514215"/>
                        </a:xfrm>
                        <a:prstGeom prst="rect"/>
                        <a:solidFill>
                          <a:srgbClr val="FFFFFF"/>
                        </a:solidFill>
                      </wps:spPr>
                      <wps:txbx>
                        <w:txbxContent>
                          <w:tbl>
                            <w:tblPr>
                              <w:tblW w:w="11437" w:type="dxa"/>
                              <w:jc w:val="left"/>
                              <w:tblInd w:w="0" w:type="dxa"/>
                              <w:tblLayout w:type="fixed"/>
                              <w:tblCellMar>
                                <w:top w:w="28" w:type="dxa"/>
                                <w:left w:w="28" w:type="dxa"/>
                                <w:bottom w:w="28" w:type="dxa"/>
                                <w:right w:w="28" w:type="dxa"/>
                              </w:tblCellMar>
                            </w:tblPr>
                            <w:tblGrid>
                              <w:gridCol w:w="7511"/>
                              <w:gridCol w:w="3926"/>
                            </w:tblGrid>
                            <w:tr>
                              <w:trPr/>
                              <w:tc>
                                <w:tcPr>
                                  <w:tcW w:w="7511" w:type="dxa"/>
                                  <w:tcBorders/>
                                  <w:vAlign w:val="center"/>
                                </w:tcPr>
                                <w:p>
                                  <w:pPr>
                                    <w:pStyle w:val="TableContents"/>
                                    <w:bidi w:val="0"/>
                                    <w:spacing w:before="0" w:after="283"/>
                                    <w:jc w:val="left"/>
                                    <w:rPr>
                                      <w:sz w:val="4"/>
                                      <w:szCs w:val="4"/>
                                    </w:rPr>
                                  </w:pPr>
                                  <w:r>
                                    <w:rPr>
                                      <w:sz w:val="4"/>
                                      <w:szCs w:val="4"/>
                                    </w:rPr>
                                  </w:r>
                                </w:p>
                              </w:tc>
                              <w:tc>
                                <w:tcPr>
                                  <w:tcW w:w="3926" w:type="dxa"/>
                                  <w:tcBorders/>
                                  <w:vAlign w:val="center"/>
                                </w:tcPr>
                                <w:p>
                                  <w:pPr>
                                    <w:pStyle w:val="TableContents"/>
                                    <w:bidi w:val="0"/>
                                    <w:spacing w:before="0" w:after="283"/>
                                    <w:jc w:val="left"/>
                                    <w:rPr>
                                      <w:sz w:val="4"/>
                                      <w:szCs w:val="4"/>
                                    </w:rPr>
                                  </w:pPr>
                                  <w:r>
                                    <w:rPr>
                                      <w:sz w:val="4"/>
                                      <w:szCs w:val="4"/>
                                    </w:rPr>
                                  </w:r>
                                </w:p>
                              </w:tc>
                            </w:tr>
                            <w:tr>
                              <w:trPr/>
                              <w:tc>
                                <w:tcPr>
                                  <w:tcW w:w="7511" w:type="dxa"/>
                                  <w:tcBorders/>
                                  <w:vAlign w:val="center"/>
                                </w:tcPr>
                                <w:p>
                                  <w:pPr>
                                    <w:pStyle w:val="TableContents"/>
                                    <w:bidi w:val="0"/>
                                    <w:spacing w:before="0" w:after="283"/>
                                    <w:jc w:val="left"/>
                                    <w:rPr>
                                      <w:sz w:val="4"/>
                                      <w:szCs w:val="4"/>
                                    </w:rPr>
                                  </w:pPr>
                                  <w:r>
                                    <w:rPr>
                                      <w:sz w:val="4"/>
                                      <w:szCs w:val="4"/>
                                    </w:rPr>
                                  </w:r>
                                </w:p>
                              </w:tc>
                              <w:tc>
                                <w:tcPr>
                                  <w:tcW w:w="3926" w:type="dxa"/>
                                  <w:vMerge w:val="restart"/>
                                  <w:tcBorders/>
                                  <w:vAlign w:val="center"/>
                                </w:tcPr>
                                <w:p>
                                  <w:pPr>
                                    <w:pStyle w:val="TableContents"/>
                                    <w:bidi w:val="0"/>
                                    <w:spacing w:before="0" w:after="283"/>
                                    <w:jc w:val="left"/>
                                    <w:rPr>
                                      <w:sz w:val="4"/>
                                      <w:szCs w:val="4"/>
                                    </w:rPr>
                                  </w:pPr>
                                  <w:r>
                                    <w:rPr>
                                      <w:sz w:val="4"/>
                                      <w:szCs w:val="4"/>
                                    </w:rPr>
                                  </w:r>
                                </w:p>
                              </w:tc>
                            </w:tr>
                            <w:tr>
                              <w:trPr/>
                              <w:tc>
                                <w:tcPr>
                                  <w:tcW w:w="7511" w:type="dxa"/>
                                  <w:tcBorders/>
                                  <w:vAlign w:val="center"/>
                                </w:tcPr>
                                <w:p>
                                  <w:pPr>
                                    <w:pStyle w:val="TableContents"/>
                                    <w:bidi w:val="0"/>
                                    <w:spacing w:lineRule="atLeast" w:line="160" w:before="0" w:after="0"/>
                                    <w:jc w:val="left"/>
                                    <w:rPr/>
                                  </w:pPr>
                                  <w:r>
                                    <w:rPr>
                                      <w:caps w:val="false"/>
                                      <w:smallCaps w:val="false"/>
                                    </w:rPr>
                                    <w:t>•</w:t>
                                  </w:r>
                                  <w:r>
                                    <w:rPr>
                                      <w:rFonts w:ascii="Arial;sans-serif" w:hAnsi="Arial;sans-serif"/>
                                      <w:b w:val="false"/>
                                      <w:i w:val="false"/>
                                      <w:caps w:val="false"/>
                                      <w:smallCaps w:val="false"/>
                                      <w:strike w:val="false"/>
                                      <w:dstrike w:val="false"/>
                                      <w:sz w:val="22"/>
                                      <w:u w:val="none"/>
                                      <w:effect w:val="none"/>
                                    </w:rPr>
                                    <w:t>Third</w:t>
                                  </w:r>
                                  <w:r>
                                    <w:rPr>
                                      <w:caps w:val="false"/>
                                      <w:smallCaps w:val="false"/>
                                      <w:sz w:val="24"/>
                                    </w:rPr>
                                    <w:t xml:space="preserve"> </w:t>
                                  </w:r>
                                  <w:r>
                                    <w:rPr>
                                      <w:rFonts w:ascii="Arial;sans-serif" w:hAnsi="Arial;sans-serif"/>
                                      <w:b w:val="false"/>
                                      <w:i w:val="false"/>
                                      <w:caps w:val="false"/>
                                      <w:smallCaps w:val="false"/>
                                      <w:sz w:val="22"/>
                                    </w:rPr>
                                    <w:t xml:space="preserve">quarter </w:t>
                                  </w:r>
                                  <w:r>
                                    <w:rPr>
                                      <w:rFonts w:ascii="Arial;sans-serif" w:hAnsi="Arial;sans-serif"/>
                                      <w:b w:val="false"/>
                                      <w:i w:val="false"/>
                                      <w:caps w:val="false"/>
                                      <w:smallCaps w:val="false"/>
                                      <w:strike w:val="false"/>
                                      <w:dstrike w:val="false"/>
                                      <w:sz w:val="22"/>
                                      <w:u w:val="none"/>
                                      <w:effect w:val="none"/>
                                    </w:rPr>
                                    <w:t>2026</w:t>
                                  </w:r>
                                  <w:r>
                                    <w:rPr>
                                      <w:caps w:val="false"/>
                                      <w:smallCaps w:val="false"/>
                                      <w:sz w:val="24"/>
                                    </w:rPr>
                                    <w:t xml:space="preserve"> </w:t>
                                  </w:r>
                                  <w:r>
                                    <w:rPr>
                                      <w:rFonts w:ascii="Arial;sans-serif" w:hAnsi="Arial;sans-serif"/>
                                      <w:b w:val="false"/>
                                      <w:i w:val="false"/>
                                      <w:caps w:val="false"/>
                                      <w:smallCaps w:val="false"/>
                                      <w:sz w:val="22"/>
                                    </w:rPr>
                                    <w:t>net revenue</w:t>
                                  </w:r>
                                  <w:r>
                                    <w:rPr>
                                      <w:rFonts w:ascii="Arial;sans-serif" w:hAnsi="Arial;sans-serif"/>
                                      <w:b w:val="false"/>
                                      <w:i w:val="false"/>
                                      <w:caps w:val="false"/>
                                      <w:smallCaps w:val="false"/>
                                      <w:sz w:val="14"/>
                                    </w:rPr>
                                    <w:t>1</w:t>
                                  </w:r>
                                  <w:r>
                                    <w:rPr>
                                      <w:caps w:val="false"/>
                                      <w:smallCaps w:val="false"/>
                                      <w:sz w:val="24"/>
                                    </w:rPr>
                                    <w:t xml:space="preserve"> </w:t>
                                  </w:r>
                                  <w:r>
                                    <w:rPr>
                                      <w:rFonts w:ascii="Arial;sans-serif" w:hAnsi="Arial;sans-serif"/>
                                      <w:b w:val="false"/>
                                      <w:i w:val="false"/>
                                      <w:caps w:val="false"/>
                                      <w:smallCaps w:val="false"/>
                                      <w:sz w:val="22"/>
                                    </w:rPr>
                                    <w:t>was</w:t>
                                  </w:r>
                                  <w:r>
                                    <w:rPr>
                                      <w:caps w:val="false"/>
                                      <w:smallCaps w:val="false"/>
                                      <w:sz w:val="24"/>
                                    </w:rPr>
                                    <w:t xml:space="preserve"> </w:t>
                                  </w:r>
                                  <w:r>
                                    <w:rPr>
                                      <w:rFonts w:ascii="Arial;sans-serif" w:hAnsi="Arial;sans-serif"/>
                                      <w:b/>
                                      <w:i w:val="false"/>
                                      <w:caps w:val="false"/>
                                      <w:smallCaps w:val="false"/>
                                      <w:strike w:val="false"/>
                                      <w:dstrike w:val="false"/>
                                      <w:color w:val="8C56EE"/>
                                      <w:sz w:val="22"/>
                                      <w:u w:val="none"/>
                                      <w:effect w:val="none"/>
                                    </w:rPr>
                                    <w:t>$1.5</w:t>
                                  </w:r>
                                  <w:r>
                                    <w:rPr>
                                      <w:caps w:val="false"/>
                                      <w:smallCaps w:val="false"/>
                                      <w:strike w:val="false"/>
                                      <w:dstrike w:val="false"/>
                                      <w:color w:val="8C56EE"/>
                                      <w:sz w:val="24"/>
                                      <w:u w:val="none"/>
                                      <w:effect w:val="none"/>
                                    </w:rPr>
                                    <w:t xml:space="preserve"> </w:t>
                                  </w:r>
                                  <w:r>
                                    <w:rPr>
                                      <w:rFonts w:ascii="Arial;sans-serif" w:hAnsi="Arial;sans-serif"/>
                                      <w:b/>
                                      <w:i w:val="false"/>
                                      <w:caps w:val="false"/>
                                      <w:smallCaps w:val="false"/>
                                      <w:strike w:val="false"/>
                                      <w:dstrike w:val="false"/>
                                      <w:color w:val="8C56EE"/>
                                      <w:sz w:val="22"/>
                                      <w:u w:val="none"/>
                                      <w:effect w:val="none"/>
                                    </w:rPr>
                                    <w:t>billion</w:t>
                                  </w:r>
                                  <w:r>
                                    <w:rPr>
                                      <w:rFonts w:ascii="Arial;sans-serif" w:hAnsi="Arial;sans-serif"/>
                                      <w:b w:val="false"/>
                                      <w:i w:val="false"/>
                                      <w:caps w:val="false"/>
                                      <w:smallCaps w:val="false"/>
                                      <w:sz w:val="22"/>
                                    </w:rPr>
                                    <w:t xml:space="preserve">, an increase of </w:t>
                                  </w:r>
                                  <w:r>
                                    <w:rPr>
                                      <w:rFonts w:ascii="Arial;sans-serif" w:hAnsi="Arial;sans-serif"/>
                                      <w:b/>
                                      <w:i w:val="false"/>
                                      <w:caps w:val="false"/>
                                      <w:smallCaps w:val="false"/>
                                      <w:strike w:val="false"/>
                                      <w:dstrike w:val="false"/>
                                      <w:color w:val="8C56EE"/>
                                      <w:sz w:val="22"/>
                                      <w:u w:val="none"/>
                                      <w:effect w:val="none"/>
                                    </w:rPr>
                                    <w:t>13%</w:t>
                                  </w:r>
                                  <w:r>
                                    <w:rPr>
                                      <w:caps w:val="false"/>
                                      <w:smallCaps w:val="false"/>
                                      <w:strike w:val="false"/>
                                      <w:dstrike w:val="false"/>
                                      <w:color w:val="8C56EE"/>
                                      <w:sz w:val="24"/>
                                      <w:u w:val="none"/>
                                      <w:effect w:val="none"/>
                                    </w:rPr>
                                    <w:t xml:space="preserve"> </w:t>
                                  </w:r>
                                </w:p>
                                <w:p>
                                  <w:pPr>
                                    <w:pStyle w:val="TableContents"/>
                                    <w:bidi w:val="0"/>
                                    <w:spacing w:lineRule="atLeast" w:line="160" w:before="0" w:after="0"/>
                                    <w:jc w:val="left"/>
                                    <w:rPr>
                                      <w:sz w:val="24"/>
                                    </w:rPr>
                                  </w:pPr>
                                  <w:r>
                                    <w:rPr>
                                      <w:rFonts w:ascii="Arial;sans-serif" w:hAnsi="Arial;sans-serif"/>
                                      <w:b w:val="false"/>
                                      <w:i w:val="false"/>
                                      <w:caps w:val="false"/>
                                      <w:smallCaps w:val="false"/>
                                      <w:sz w:val="22"/>
                                    </w:rPr>
                                    <w:t xml:space="preserve">over the </w:t>
                                  </w:r>
                                  <w:r>
                                    <w:rPr>
                                      <w:rFonts w:ascii="Arial;sans-serif" w:hAnsi="Arial;sans-serif"/>
                                      <w:b w:val="false"/>
                                      <w:i w:val="false"/>
                                      <w:caps w:val="false"/>
                                      <w:smallCaps w:val="false"/>
                                      <w:strike w:val="false"/>
                                      <w:dstrike w:val="false"/>
                                      <w:sz w:val="22"/>
                                      <w:u w:val="none"/>
                                      <w:effect w:val="none"/>
                                    </w:rPr>
                                    <w:t>third</w:t>
                                  </w:r>
                                  <w:r>
                                    <w:rPr>
                                      <w:caps w:val="false"/>
                                      <w:smallCaps w:val="false"/>
                                      <w:sz w:val="24"/>
                                    </w:rPr>
                                    <w:t xml:space="preserve"> </w:t>
                                  </w:r>
                                  <w:r>
                                    <w:rPr>
                                      <w:rFonts w:ascii="Arial;sans-serif" w:hAnsi="Arial;sans-serif"/>
                                      <w:b w:val="false"/>
                                      <w:i w:val="false"/>
                                      <w:caps w:val="false"/>
                                      <w:smallCaps w:val="false"/>
                                      <w:sz w:val="22"/>
                                    </w:rPr>
                                    <w:t xml:space="preserve">quarter of </w:t>
                                  </w:r>
                                  <w:r>
                                    <w:rPr>
                                      <w:rFonts w:ascii="Arial;sans-serif" w:hAnsi="Arial;sans-serif"/>
                                      <w:b w:val="false"/>
                                      <w:i w:val="false"/>
                                      <w:caps w:val="false"/>
                                      <w:smallCaps w:val="false"/>
                                      <w:strike w:val="false"/>
                                      <w:dstrike w:val="false"/>
                                      <w:sz w:val="22"/>
                                      <w:u w:val="none"/>
                                      <w:effect w:val="none"/>
                                    </w:rPr>
                                    <w:t>2025</w:t>
                                  </w:r>
                                  <w:r>
                                    <w:rPr>
                                      <w:rFonts w:ascii="Arial;sans-serif" w:hAnsi="Arial;sans-serif"/>
                                      <w:b w:val="false"/>
                                      <w:i w:val="false"/>
                                      <w:caps w:val="false"/>
                                      <w:smallCaps w:val="false"/>
                                      <w:sz w:val="22"/>
                                    </w:rPr>
                                    <w:t xml:space="preserve">, or </w:t>
                                  </w:r>
                                  <w:r>
                                    <w:rPr>
                                      <w:rFonts w:ascii="Arial;sans-serif" w:hAnsi="Arial;sans-serif"/>
                                      <w:b/>
                                      <w:i w:val="false"/>
                                      <w:caps w:val="false"/>
                                      <w:smallCaps w:val="false"/>
                                      <w:strike w:val="false"/>
                                      <w:dstrike w:val="false"/>
                                      <w:color w:val="8C56EE"/>
                                      <w:sz w:val="22"/>
                                      <w:u w:val="none"/>
                                      <w:effect w:val="none"/>
                                    </w:rPr>
                                    <w:t>14%</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 xml:space="preserve">on an </w:t>
                                  </w:r>
                                  <w:r>
                                    <w:rPr>
                                      <w:rFonts w:ascii="Arial;sans-serif" w:hAnsi="Arial;sans-serif"/>
                                      <w:b w:val="false"/>
                                      <w:i w:val="false"/>
                                      <w:caps w:val="false"/>
                                      <w:smallCaps w:val="false"/>
                                      <w:sz w:val="22"/>
                                    </w:rPr>
                                    <w:t>organic</w:t>
                                  </w:r>
                                  <w:r>
                                    <w:rPr>
                                      <w:rFonts w:ascii="Arial;sans-serif" w:hAnsi="Arial;sans-serif"/>
                                      <w:b w:val="false"/>
                                      <w:i w:val="false"/>
                                      <w:caps w:val="false"/>
                                      <w:smallCaps w:val="false"/>
                                      <w:sz w:val="14"/>
                                    </w:rPr>
                                    <w:t>2</w:t>
                                  </w:r>
                                  <w:r>
                                    <w:rPr>
                                      <w:caps w:val="false"/>
                                      <w:smallCaps w:val="false"/>
                                      <w:sz w:val="24"/>
                                    </w:rPr>
                                    <w:t xml:space="preserve"> </w:t>
                                  </w:r>
                                  <w:r>
                                    <w:rPr>
                                      <w:rFonts w:ascii="Arial;sans-serif" w:hAnsi="Arial;sans-serif"/>
                                      <w:b w:val="false"/>
                                      <w:i w:val="false"/>
                                      <w:caps w:val="false"/>
                                      <w:smallCaps w:val="false"/>
                                      <w:sz w:val="22"/>
                                    </w:rPr>
                                    <w:t xml:space="preserve">basis. Solutions </w:t>
                                  </w:r>
                                </w:p>
                                <w:p>
                                  <w:pPr>
                                    <w:pStyle w:val="TableContents"/>
                                    <w:bidi w:val="0"/>
                                    <w:spacing w:lineRule="atLeast" w:line="160" w:before="0" w:after="0"/>
                                    <w:jc w:val="left"/>
                                    <w:rPr>
                                      <w:sz w:val="24"/>
                                    </w:rPr>
                                  </w:pPr>
                                  <w:r>
                                    <w:rPr>
                                      <w:rFonts w:ascii="Arial;sans-serif" w:hAnsi="Arial;sans-serif"/>
                                      <w:b w:val="false"/>
                                      <w:i w:val="false"/>
                                      <w:caps w:val="false"/>
                                      <w:smallCaps w:val="false"/>
                                      <w:sz w:val="22"/>
                                    </w:rPr>
                                    <w:t>revenue</w:t>
                                  </w:r>
                                  <w:r>
                                    <w:rPr>
                                      <w:rFonts w:ascii="Arial;sans-serif" w:hAnsi="Arial;sans-serif"/>
                                      <w:b w:val="false"/>
                                      <w:i w:val="false"/>
                                      <w:caps w:val="false"/>
                                      <w:smallCaps w:val="false"/>
                                      <w:sz w:val="14"/>
                                    </w:rPr>
                                    <w:t>3</w:t>
                                  </w:r>
                                  <w:r>
                                    <w:rPr>
                                      <w:caps w:val="false"/>
                                      <w:smallCaps w:val="false"/>
                                      <w:sz w:val="24"/>
                                    </w:rPr>
                                    <w:t xml:space="preserve"> </w:t>
                                  </w:r>
                                  <w:r>
                                    <w:rPr>
                                      <w:rFonts w:ascii="Arial;sans-serif" w:hAnsi="Arial;sans-serif"/>
                                      <w:b w:val="false"/>
                                      <w:i w:val="false"/>
                                      <w:caps w:val="false"/>
                                      <w:smallCaps w:val="false"/>
                                      <w:sz w:val="22"/>
                                    </w:rPr>
                                    <w:t xml:space="preserve">increased </w:t>
                                  </w:r>
                                  <w:r>
                                    <w:rPr>
                                      <w:rFonts w:ascii="Arial;sans-serif" w:hAnsi="Arial;sans-serif"/>
                                      <w:b/>
                                      <w:i w:val="false"/>
                                      <w:caps w:val="false"/>
                                      <w:smallCaps w:val="false"/>
                                      <w:strike w:val="false"/>
                                      <w:dstrike w:val="false"/>
                                      <w:color w:val="8C56EE"/>
                                      <w:sz w:val="22"/>
                                      <w:u w:val="none"/>
                                      <w:effect w:val="none"/>
                                    </w:rPr>
                                    <w:t>17%</w:t>
                                  </w:r>
                                  <w:r>
                                    <w:rPr>
                                      <w:rFonts w:ascii="Arial;sans-serif" w:hAnsi="Arial;sans-serif"/>
                                      <w:b w:val="false"/>
                                      <w:i w:val="false"/>
                                      <w:caps w:val="false"/>
                                      <w:smallCaps w:val="false"/>
                                      <w:sz w:val="22"/>
                                    </w:rPr>
                                    <w:t xml:space="preserve">, or </w:t>
                                  </w:r>
                                  <w:r>
                                    <w:rPr>
                                      <w:rFonts w:ascii="Arial;sans-serif" w:hAnsi="Arial;sans-serif"/>
                                      <w:b/>
                                      <w:i w:val="false"/>
                                      <w:caps w:val="false"/>
                                      <w:smallCaps w:val="false"/>
                                      <w:strike w:val="false"/>
                                      <w:dstrike w:val="false"/>
                                      <w:color w:val="8C56EE"/>
                                      <w:sz w:val="22"/>
                                      <w:u w:val="none"/>
                                      <w:effect w:val="none"/>
                                    </w:rPr>
                                    <w:t>18%</w:t>
                                  </w:r>
                                  <w:r>
                                    <w:rPr>
                                      <w:caps w:val="false"/>
                                      <w:smallCaps w:val="false"/>
                                      <w:sz w:val="24"/>
                                    </w:rPr>
                                    <w:t xml:space="preserve"> </w:t>
                                  </w:r>
                                  <w:r>
                                    <w:rPr>
                                      <w:rFonts w:ascii="Arial;sans-serif" w:hAnsi="Arial;sans-serif"/>
                                      <w:b w:val="false"/>
                                      <w:i w:val="false"/>
                                      <w:caps w:val="false"/>
                                      <w:smallCaps w:val="false"/>
                                      <w:sz w:val="22"/>
                                    </w:rPr>
                                    <w:t>on an organic basis.</w:t>
                                  </w:r>
                                </w:p>
                              </w:tc>
                              <w:tc>
                                <w:tcPr>
                                  <w:tcW w:w="3926" w:type="dxa"/>
                                  <w:vMerge w:val="continue"/>
                                  <w:tcBorders/>
                                  <w:vAlign w:val="center"/>
                                </w:tcPr>
                                <w:p>
                                  <w:pPr>
                                    <w:pStyle w:val="Normal"/>
                                    <w:bidi w:val="0"/>
                                    <w:jc w:val="left"/>
                                    <w:rPr/>
                                  </w:pPr>
                                  <w:r>
                                    <w:rPr/>
                                  </w:r>
                                </w:p>
                              </w:tc>
                            </w:tr>
                            <w:tr>
                              <w:trPr/>
                              <w:tc>
                                <w:tcPr>
                                  <w:tcW w:w="7511" w:type="dxa"/>
                                  <w:tcBorders/>
                                  <w:vAlign w:val="center"/>
                                </w:tcPr>
                                <w:p>
                                  <w:pPr>
                                    <w:pStyle w:val="TableContents"/>
                                    <w:bidi w:val="0"/>
                                    <w:spacing w:lineRule="atLeast" w:line="160" w:before="0" w:after="0"/>
                                    <w:jc w:val="left"/>
                                    <w:rPr/>
                                  </w:pPr>
                                  <w:r>
                                    <w:rPr>
                                      <w:caps w:val="false"/>
                                      <w:smallCaps w:val="false"/>
                                    </w:rPr>
                                    <w:t>•</w:t>
                                  </w:r>
                                  <w:r>
                                    <w:rPr>
                                      <w:rFonts w:ascii="Arial;sans-serif" w:hAnsi="Arial;sans-serif"/>
                                      <w:b w:val="false"/>
                                      <w:i w:val="false"/>
                                      <w:caps w:val="false"/>
                                      <w:smallCaps w:val="false"/>
                                      <w:sz w:val="22"/>
                                    </w:rPr>
                                    <w:t>Annualized Recurring Revenue (ARR)</w:t>
                                  </w:r>
                                  <w:r>
                                    <w:rPr>
                                      <w:rFonts w:ascii="Arial;sans-serif" w:hAnsi="Arial;sans-serif"/>
                                      <w:b w:val="false"/>
                                      <w:i w:val="false"/>
                                      <w:caps w:val="false"/>
                                      <w:smallCaps w:val="false"/>
                                      <w:sz w:val="14"/>
                                    </w:rPr>
                                    <w:t>3,4</w:t>
                                  </w:r>
                                  <w:r>
                                    <w:rPr>
                                      <w:caps w:val="false"/>
                                      <w:smallCaps w:val="false"/>
                                      <w:sz w:val="24"/>
                                    </w:rPr>
                                    <w:t xml:space="preserve"> </w:t>
                                  </w:r>
                                  <w:r>
                                    <w:rPr>
                                      <w:rFonts w:ascii="Arial;sans-serif" w:hAnsi="Arial;sans-serif"/>
                                      <w:b w:val="false"/>
                                      <w:i w:val="false"/>
                                      <w:caps w:val="false"/>
                                      <w:smallCaps w:val="false"/>
                                      <w:sz w:val="22"/>
                                    </w:rPr>
                                    <w:t xml:space="preserve">of </w:t>
                                  </w:r>
                                  <w:r>
                                    <w:rPr>
                                      <w:rFonts w:ascii="Arial;sans-serif" w:hAnsi="Arial;sans-serif"/>
                                      <w:b/>
                                      <w:i w:val="false"/>
                                      <w:caps w:val="false"/>
                                      <w:smallCaps w:val="false"/>
                                      <w:strike w:val="false"/>
                                      <w:dstrike w:val="false"/>
                                      <w:color w:val="8C56EE"/>
                                      <w:sz w:val="22"/>
                                      <w:u w:val="none"/>
                                      <w:effect w:val="none"/>
                                    </w:rPr>
                                    <w:t>$3.4</w:t>
                                  </w:r>
                                  <w:r>
                                    <w:rPr>
                                      <w:caps w:val="false"/>
                                      <w:smallCaps w:val="false"/>
                                      <w:strike w:val="false"/>
                                      <w:dstrike w:val="false"/>
                                      <w:color w:val="8C56EE"/>
                                      <w:sz w:val="24"/>
                                      <w:u w:val="none"/>
                                      <w:effect w:val="none"/>
                                    </w:rPr>
                                    <w:t xml:space="preserve"> </w:t>
                                  </w:r>
                                  <w:r>
                                    <w:rPr>
                                      <w:rFonts w:ascii="Arial;sans-serif" w:hAnsi="Arial;sans-serif"/>
                                      <w:b/>
                                      <w:i w:val="false"/>
                                      <w:caps w:val="false"/>
                                      <w:smallCaps w:val="false"/>
                                      <w:strike w:val="false"/>
                                      <w:dstrike w:val="false"/>
                                      <w:color w:val="8C56EE"/>
                                      <w:sz w:val="22"/>
                                      <w:u w:val="none"/>
                                      <w:effect w:val="none"/>
                                    </w:rPr>
                                    <w:t>billion</w:t>
                                  </w:r>
                                  <w:r>
                                    <w:rPr>
                                      <w:caps w:val="false"/>
                                      <w:smallCaps w:val="false"/>
                                      <w:sz w:val="24"/>
                                    </w:rPr>
                                    <w:t xml:space="preserve"> </w:t>
                                  </w:r>
                                  <w:r>
                                    <w:rPr>
                                      <w:rFonts w:ascii="Arial;sans-serif" w:hAnsi="Arial;sans-serif"/>
                                      <w:b w:val="false"/>
                                      <w:i w:val="false"/>
                                      <w:caps w:val="false"/>
                                      <w:smallCaps w:val="false"/>
                                      <w:sz w:val="22"/>
                                    </w:rPr>
                                    <w:t>increased</w:t>
                                  </w:r>
                                  <w:r>
                                    <w:rPr>
                                      <w:caps w:val="false"/>
                                      <w:smallCaps w:val="false"/>
                                      <w:strike w:val="false"/>
                                      <w:dstrike w:val="false"/>
                                      <w:sz w:val="24"/>
                                      <w:u w:val="none"/>
                                      <w:effect w:val="none"/>
                                      <w:shd w:fill="FFFFFF" w:val="clear"/>
                                    </w:rPr>
                                    <w:t xml:space="preserve"> </w:t>
                                  </w:r>
                                  <w:r>
                                    <w:rPr>
                                      <w:rFonts w:ascii="Arial;sans-serif" w:hAnsi="Arial;sans-serif"/>
                                      <w:b/>
                                      <w:i w:val="false"/>
                                      <w:caps w:val="false"/>
                                      <w:smallCaps w:val="false"/>
                                      <w:strike w:val="false"/>
                                      <w:dstrike w:val="false"/>
                                      <w:color w:val="8C56EE"/>
                                      <w:sz w:val="22"/>
                                      <w:u w:val="none"/>
                                      <w:effect w:val="none"/>
                                    </w:rPr>
                                    <w:t>12%</w:t>
                                  </w:r>
                                  <w:r>
                                    <w:rPr>
                                      <w:caps w:val="false"/>
                                      <w:smallCaps w:val="false"/>
                                      <w:strike w:val="false"/>
                                      <w:dstrike w:val="false"/>
                                      <w:sz w:val="24"/>
                                      <w:u w:val="none"/>
                                      <w:effect w:val="none"/>
                                      <w:shd w:fill="FFFFFF" w:val="clear"/>
                                    </w:rPr>
                                    <w:t xml:space="preserve"> </w:t>
                                  </w:r>
                                </w:p>
                                <w:p>
                                  <w:pPr>
                                    <w:pStyle w:val="TableContents"/>
                                    <w:bidi w:val="0"/>
                                    <w:spacing w:lineRule="atLeast" w:line="160" w:before="0" w:after="0"/>
                                    <w:jc w:val="left"/>
                                    <w:rPr>
                                      <w:sz w:val="24"/>
                                    </w:rPr>
                                  </w:pPr>
                                  <w:r>
                                    <w:rPr>
                                      <w:rFonts w:ascii="Arial;sans-serif" w:hAnsi="Arial;sans-serif"/>
                                      <w:b w:val="false"/>
                                      <w:i w:val="false"/>
                                      <w:caps w:val="false"/>
                                      <w:smallCaps w:val="false"/>
                                      <w:sz w:val="22"/>
                                    </w:rPr>
                                    <w:t xml:space="preserve">on a reported basis over the </w:t>
                                  </w:r>
                                  <w:r>
                                    <w:rPr>
                                      <w:rFonts w:ascii="Arial;sans-serif" w:hAnsi="Arial;sans-serif"/>
                                      <w:b w:val="false"/>
                                      <w:i w:val="false"/>
                                      <w:caps w:val="false"/>
                                      <w:smallCaps w:val="false"/>
                                      <w:strike w:val="false"/>
                                      <w:dstrike w:val="false"/>
                                      <w:sz w:val="22"/>
                                      <w:u w:val="none"/>
                                      <w:effect w:val="none"/>
                                    </w:rPr>
                                    <w:t>third</w:t>
                                  </w:r>
                                  <w:r>
                                    <w:rPr>
                                      <w:caps w:val="false"/>
                                      <w:smallCaps w:val="false"/>
                                      <w:sz w:val="24"/>
                                    </w:rPr>
                                    <w:t xml:space="preserve"> </w:t>
                                  </w:r>
                                  <w:r>
                                    <w:rPr>
                                      <w:rFonts w:ascii="Arial;sans-serif" w:hAnsi="Arial;sans-serif"/>
                                      <w:b w:val="false"/>
                                      <w:i w:val="false"/>
                                      <w:caps w:val="false"/>
                                      <w:smallCaps w:val="false"/>
                                      <w:sz w:val="22"/>
                                    </w:rPr>
                                    <w:t xml:space="preserve">quarter of </w:t>
                                  </w:r>
                                  <w:r>
                                    <w:rPr>
                                      <w:rFonts w:ascii="Arial;sans-serif" w:hAnsi="Arial;sans-serif"/>
                                      <w:b w:val="false"/>
                                      <w:i w:val="false"/>
                                      <w:caps w:val="false"/>
                                      <w:smallCaps w:val="false"/>
                                      <w:strike w:val="false"/>
                                      <w:dstrike w:val="false"/>
                                      <w:sz w:val="22"/>
                                      <w:u w:val="none"/>
                                      <w:effect w:val="none"/>
                                    </w:rPr>
                                    <w:t>2025</w:t>
                                  </w:r>
                                  <w:r>
                                    <w:rPr>
                                      <w:rFonts w:ascii="Arial;sans-serif" w:hAnsi="Arial;sans-serif"/>
                                      <w:b w:val="false"/>
                                      <w:i w:val="false"/>
                                      <w:caps w:val="false"/>
                                      <w:smallCaps w:val="false"/>
                                      <w:sz w:val="22"/>
                                    </w:rPr>
                                    <w:t xml:space="preserve">, or </w:t>
                                  </w:r>
                                  <w:r>
                                    <w:rPr>
                                      <w:rFonts w:ascii="Arial;sans-serif" w:hAnsi="Arial;sans-serif"/>
                                      <w:b/>
                                      <w:i w:val="false"/>
                                      <w:caps w:val="false"/>
                                      <w:smallCaps w:val="false"/>
                                      <w:strike w:val="false"/>
                                      <w:dstrike w:val="false"/>
                                      <w:color w:val="8C56EE"/>
                                      <w:sz w:val="22"/>
                                      <w:u w:val="none"/>
                                      <w:effect w:val="none"/>
                                    </w:rPr>
                                    <w:t>14%</w:t>
                                  </w:r>
                                  <w:r>
                                    <w:rPr>
                                      <w:caps w:val="false"/>
                                      <w:smallCaps w:val="false"/>
                                      <w:sz w:val="24"/>
                                    </w:rPr>
                                    <w:t xml:space="preserve"> </w:t>
                                  </w:r>
                                  <w:r>
                                    <w:rPr>
                                      <w:rFonts w:ascii="Arial;sans-serif" w:hAnsi="Arial;sans-serif"/>
                                      <w:b w:val="false"/>
                                      <w:i w:val="false"/>
                                      <w:caps w:val="false"/>
                                      <w:smallCaps w:val="false"/>
                                      <w:sz w:val="22"/>
                                    </w:rPr>
                                    <w:t xml:space="preserve">on an organic </w:t>
                                  </w:r>
                                </w:p>
                                <w:p>
                                  <w:pPr>
                                    <w:pStyle w:val="TableContents"/>
                                    <w:bidi w:val="0"/>
                                    <w:spacing w:lineRule="atLeast" w:line="160" w:before="0" w:after="0"/>
                                    <w:jc w:val="left"/>
                                    <w:rPr>
                                      <w:sz w:val="24"/>
                                    </w:rPr>
                                  </w:pPr>
                                  <w:r>
                                    <w:rPr>
                                      <w:rFonts w:ascii="Arial;sans-serif" w:hAnsi="Arial;sans-serif"/>
                                      <w:b w:val="false"/>
                                      <w:i w:val="false"/>
                                      <w:caps w:val="false"/>
                                      <w:smallCaps w:val="false"/>
                                      <w:sz w:val="22"/>
                                    </w:rPr>
                                    <w:t xml:space="preserve">basis. Annualized SaaS revenue increased </w:t>
                                  </w:r>
                                  <w:r>
                                    <w:rPr>
                                      <w:rFonts w:ascii="Arial;sans-serif" w:hAnsi="Arial;sans-serif"/>
                                      <w:b/>
                                      <w:i w:val="false"/>
                                      <w:caps w:val="false"/>
                                      <w:smallCaps w:val="false"/>
                                      <w:strike w:val="false"/>
                                      <w:dstrike w:val="false"/>
                                      <w:color w:val="8C56EE"/>
                                      <w:sz w:val="22"/>
                                      <w:u w:val="none"/>
                                      <w:effect w:val="none"/>
                                    </w:rPr>
                                    <w:t>12%</w:t>
                                  </w:r>
                                  <w:r>
                                    <w:rPr>
                                      <w:rFonts w:ascii="Arial;sans-serif" w:hAnsi="Arial;sans-serif"/>
                                      <w:b w:val="false"/>
                                      <w:i w:val="false"/>
                                      <w:caps w:val="false"/>
                                      <w:smallCaps w:val="false"/>
                                      <w:sz w:val="22"/>
                                    </w:rPr>
                                    <w:t xml:space="preserve">, or </w:t>
                                  </w:r>
                                  <w:r>
                                    <w:rPr>
                                      <w:rFonts w:ascii="Arial;sans-serif" w:hAnsi="Arial;sans-serif"/>
                                      <w:b/>
                                      <w:i w:val="false"/>
                                      <w:caps w:val="false"/>
                                      <w:smallCaps w:val="false"/>
                                      <w:strike w:val="false"/>
                                      <w:dstrike w:val="false"/>
                                      <w:color w:val="8C56EE"/>
                                      <w:sz w:val="22"/>
                                      <w:u w:val="none"/>
                                      <w:effect w:val="none"/>
                                    </w:rPr>
                                    <w:t>16%</w:t>
                                  </w:r>
                                  <w:r>
                                    <w:rPr>
                                      <w:caps w:val="false"/>
                                      <w:smallCaps w:val="false"/>
                                      <w:sz w:val="24"/>
                                    </w:rPr>
                                    <w:t xml:space="preserve"> </w:t>
                                  </w:r>
                                  <w:r>
                                    <w:rPr>
                                      <w:rFonts w:ascii="Arial;sans-serif" w:hAnsi="Arial;sans-serif"/>
                                      <w:b w:val="false"/>
                                      <w:i w:val="false"/>
                                      <w:caps w:val="false"/>
                                      <w:smallCaps w:val="false"/>
                                      <w:sz w:val="22"/>
                                    </w:rPr>
                                    <w:t xml:space="preserve">on an organic </w:t>
                                  </w:r>
                                </w:p>
                                <w:p>
                                  <w:pPr>
                                    <w:pStyle w:val="TableContents"/>
                                    <w:bidi w:val="0"/>
                                    <w:spacing w:lineRule="atLeast" w:line="160" w:before="0" w:after="0"/>
                                    <w:jc w:val="left"/>
                                    <w:rPr>
                                      <w:sz w:val="24"/>
                                    </w:rPr>
                                  </w:pPr>
                                  <w:r>
                                    <w:rPr>
                                      <w:rFonts w:ascii="Arial;sans-serif" w:hAnsi="Arial;sans-serif"/>
                                      <w:b w:val="false"/>
                                      <w:i w:val="false"/>
                                      <w:caps w:val="false"/>
                                      <w:smallCaps w:val="false"/>
                                      <w:sz w:val="22"/>
                                    </w:rPr>
                                    <w:t xml:space="preserve">basis, and represented </w:t>
                                  </w:r>
                                  <w:r>
                                    <w:rPr>
                                      <w:rFonts w:ascii="Arial;sans-serif" w:hAnsi="Arial;sans-serif"/>
                                      <w:b/>
                                      <w:i w:val="false"/>
                                      <w:caps w:val="false"/>
                                      <w:smallCaps w:val="false"/>
                                      <w:strike w:val="false"/>
                                      <w:dstrike w:val="false"/>
                                      <w:color w:val="8C56EE"/>
                                      <w:sz w:val="22"/>
                                      <w:u w:val="none"/>
                                      <w:effect w:val="none"/>
                                    </w:rPr>
                                    <w:t>38%</w:t>
                                  </w:r>
                                  <w:r>
                                    <w:rPr>
                                      <w:caps w:val="false"/>
                                      <w:smallCaps w:val="false"/>
                                      <w:sz w:val="24"/>
                                    </w:rPr>
                                    <w:t xml:space="preserve"> </w:t>
                                  </w:r>
                                  <w:r>
                                    <w:rPr>
                                      <w:rFonts w:ascii="Arial;sans-serif" w:hAnsi="Arial;sans-serif"/>
                                      <w:b w:val="false"/>
                                      <w:i w:val="false"/>
                                      <w:caps w:val="false"/>
                                      <w:smallCaps w:val="false"/>
                                      <w:sz w:val="22"/>
                                    </w:rPr>
                                    <w:t xml:space="preserve">of ARR. </w:t>
                                  </w:r>
                                </w:p>
                              </w:tc>
                              <w:tc>
                                <w:tcPr>
                                  <w:tcW w:w="3926" w:type="dxa"/>
                                  <w:vMerge w:val="continue"/>
                                  <w:tcBorders/>
                                  <w:vAlign w:val="center"/>
                                </w:tcPr>
                                <w:p>
                                  <w:pPr>
                                    <w:pStyle w:val="Normal"/>
                                    <w:bidi w:val="0"/>
                                    <w:jc w:val="left"/>
                                    <w:rPr/>
                                  </w:pPr>
                                  <w:r>
                                    <w:rPr/>
                                  </w:r>
                                </w:p>
                              </w:tc>
                            </w:tr>
                            <w:tr>
                              <w:trPr/>
                              <w:tc>
                                <w:tcPr>
                                  <w:tcW w:w="7511" w:type="dxa"/>
                                  <w:tcBorders/>
                                  <w:vAlign w:val="center"/>
                                </w:tcPr>
                                <w:p>
                                  <w:pPr>
                                    <w:pStyle w:val="TableContents"/>
                                    <w:bidi w:val="0"/>
                                    <w:spacing w:lineRule="atLeast" w:line="160" w:before="0" w:after="0"/>
                                    <w:jc w:val="left"/>
                                    <w:rPr/>
                                  </w:pPr>
                                  <w:r>
                                    <w:rPr>
                                      <w:caps w:val="false"/>
                                      <w:smallCaps w:val="false"/>
                                    </w:rPr>
                                    <w:t>•</w:t>
                                  </w:r>
                                  <w:r>
                                    <w:rPr>
                                      <w:rFonts w:ascii="Arial;sans-serif" w:hAnsi="Arial;sans-serif"/>
                                      <w:b w:val="false"/>
                                      <w:i w:val="false"/>
                                      <w:caps w:val="false"/>
                                      <w:smallCaps w:val="false"/>
                                      <w:sz w:val="22"/>
                                    </w:rPr>
                                    <w:t xml:space="preserve">Financial Technology revenue was </w:t>
                                  </w:r>
                                  <w:r>
                                    <w:rPr>
                                      <w:rFonts w:ascii="Arial;sans-serif" w:hAnsi="Arial;sans-serif"/>
                                      <w:b/>
                                      <w:i w:val="false"/>
                                      <w:caps w:val="false"/>
                                      <w:smallCaps w:val="false"/>
                                      <w:strike w:val="false"/>
                                      <w:dstrike w:val="false"/>
                                      <w:color w:val="8C56EE"/>
                                      <w:sz w:val="22"/>
                                      <w:u w:val="none"/>
                                      <w:effect w:val="none"/>
                                    </w:rPr>
                                    <w:t>$529</w:t>
                                  </w:r>
                                  <w:r>
                                    <w:rPr>
                                      <w:caps w:val="false"/>
                                      <w:smallCaps w:val="false"/>
                                      <w:strike w:val="false"/>
                                      <w:dstrike w:val="false"/>
                                      <w:color w:val="8C56EE"/>
                                      <w:sz w:val="24"/>
                                      <w:u w:val="none"/>
                                      <w:effect w:val="none"/>
                                    </w:rPr>
                                    <w:t xml:space="preserve"> </w:t>
                                  </w:r>
                                  <w:r>
                                    <w:rPr>
                                      <w:rFonts w:ascii="Arial;sans-serif" w:hAnsi="Arial;sans-serif"/>
                                      <w:b/>
                                      <w:i w:val="false"/>
                                      <w:caps w:val="false"/>
                                      <w:smallCaps w:val="false"/>
                                      <w:strike w:val="false"/>
                                      <w:dstrike w:val="false"/>
                                      <w:color w:val="8C56EE"/>
                                      <w:sz w:val="22"/>
                                      <w:u w:val="none"/>
                                      <w:effect w:val="none"/>
                                    </w:rPr>
                                    <w:t xml:space="preserve">million, </w:t>
                                  </w:r>
                                  <w:r>
                                    <w:rPr>
                                      <w:rFonts w:ascii="Arial;sans-serif" w:hAnsi="Arial;sans-serif"/>
                                      <w:b w:val="false"/>
                                      <w:i w:val="false"/>
                                      <w:caps w:val="false"/>
                                      <w:smallCaps w:val="false"/>
                                      <w:sz w:val="22"/>
                                    </w:rPr>
                                    <w:t xml:space="preserve">an increase of </w:t>
                                  </w:r>
                                  <w:r>
                                    <w:rPr>
                                      <w:rFonts w:ascii="Arial;sans-serif" w:hAnsi="Arial;sans-serif"/>
                                      <w:b/>
                                      <w:i w:val="false"/>
                                      <w:caps w:val="false"/>
                                      <w:smallCaps w:val="false"/>
                                      <w:strike w:val="false"/>
                                      <w:dstrike w:val="false"/>
                                      <w:color w:val="8C56EE"/>
                                      <w:sz w:val="22"/>
                                      <w:u w:val="none"/>
                                      <w:effect w:val="none"/>
                                    </w:rPr>
                                    <w:t>16%</w:t>
                                  </w:r>
                                  <w:r>
                                    <w:rPr>
                                      <w:caps w:val="false"/>
                                      <w:smallCaps w:val="false"/>
                                      <w:sz w:val="24"/>
                                    </w:rPr>
                                    <w:t xml:space="preserve"> </w:t>
                                  </w:r>
                                  <w:r>
                                    <w:rPr>
                                      <w:rFonts w:ascii="Arial;sans-serif" w:hAnsi="Arial;sans-serif"/>
                                      <w:b w:val="false"/>
                                      <w:i w:val="false"/>
                                      <w:caps w:val="false"/>
                                      <w:smallCaps w:val="false"/>
                                      <w:sz w:val="22"/>
                                    </w:rPr>
                                    <w:t xml:space="preserve">on </w:t>
                                  </w:r>
                                </w:p>
                                <w:p>
                                  <w:pPr>
                                    <w:pStyle w:val="TableContents"/>
                                    <w:bidi w:val="0"/>
                                    <w:spacing w:lineRule="atLeast" w:line="160" w:before="0" w:after="0"/>
                                    <w:jc w:val="left"/>
                                    <w:rPr>
                                      <w:sz w:val="24"/>
                                    </w:rPr>
                                  </w:pPr>
                                  <w:r>
                                    <w:rPr>
                                      <w:rFonts w:ascii="Arial;sans-serif" w:hAnsi="Arial;sans-serif"/>
                                      <w:b w:val="false"/>
                                      <w:i w:val="false"/>
                                      <w:caps w:val="false"/>
                                      <w:smallCaps w:val="false"/>
                                      <w:sz w:val="22"/>
                                    </w:rPr>
                                    <w:t xml:space="preserve">both a reported and organic basis over the </w:t>
                                  </w:r>
                                  <w:r>
                                    <w:rPr>
                                      <w:rFonts w:ascii="Arial;sans-serif" w:hAnsi="Arial;sans-serif"/>
                                      <w:b w:val="false"/>
                                      <w:i w:val="false"/>
                                      <w:caps w:val="false"/>
                                      <w:smallCaps w:val="false"/>
                                      <w:strike w:val="false"/>
                                      <w:dstrike w:val="false"/>
                                      <w:sz w:val="22"/>
                                      <w:u w:val="none"/>
                                      <w:effect w:val="none"/>
                                    </w:rPr>
                                    <w:t>third</w:t>
                                  </w:r>
                                  <w:r>
                                    <w:rPr>
                                      <w:caps w:val="false"/>
                                      <w:smallCaps w:val="false"/>
                                      <w:sz w:val="24"/>
                                    </w:rPr>
                                    <w:t xml:space="preserve"> </w:t>
                                  </w:r>
                                  <w:r>
                                    <w:rPr>
                                      <w:rFonts w:ascii="Arial;sans-serif" w:hAnsi="Arial;sans-serif"/>
                                      <w:b w:val="false"/>
                                      <w:i w:val="false"/>
                                      <w:caps w:val="false"/>
                                      <w:smallCaps w:val="false"/>
                                      <w:sz w:val="22"/>
                                    </w:rPr>
                                    <w:t xml:space="preserve">quarter of </w:t>
                                  </w:r>
                                  <w:r>
                                    <w:rPr>
                                      <w:rFonts w:ascii="Arial;sans-serif" w:hAnsi="Arial;sans-serif"/>
                                      <w:b w:val="false"/>
                                      <w:i w:val="false"/>
                                      <w:caps w:val="false"/>
                                      <w:smallCaps w:val="false"/>
                                      <w:strike w:val="false"/>
                                      <w:dstrike w:val="false"/>
                                      <w:sz w:val="22"/>
                                      <w:u w:val="none"/>
                                      <w:effect w:val="none"/>
                                    </w:rPr>
                                    <w:t>2025</w:t>
                                  </w:r>
                                  <w:r>
                                    <w:rPr>
                                      <w:rFonts w:ascii="Arial;sans-serif" w:hAnsi="Arial;sans-serif"/>
                                      <w:b w:val="false"/>
                                      <w:i w:val="false"/>
                                      <w:caps w:val="false"/>
                                      <w:smallCaps w:val="false"/>
                                      <w:sz w:val="22"/>
                                    </w:rPr>
                                    <w:t>.</w:t>
                                  </w:r>
                                </w:p>
                              </w:tc>
                              <w:tc>
                                <w:tcPr>
                                  <w:tcW w:w="3926" w:type="dxa"/>
                                  <w:vMerge w:val="continue"/>
                                  <w:tcBorders/>
                                  <w:vAlign w:val="center"/>
                                </w:tcPr>
                                <w:p>
                                  <w:pPr>
                                    <w:pStyle w:val="Normal"/>
                                    <w:bidi w:val="0"/>
                                    <w:jc w:val="left"/>
                                    <w:rPr/>
                                  </w:pPr>
                                  <w:r>
                                    <w:rPr/>
                                  </w:r>
                                </w:p>
                              </w:tc>
                            </w:tr>
                            <w:tr>
                              <w:trPr/>
                              <w:tc>
                                <w:tcPr>
                                  <w:tcW w:w="7511" w:type="dxa"/>
                                  <w:tcBorders/>
                                  <w:vAlign w:val="center"/>
                                </w:tcPr>
                                <w:p>
                                  <w:pPr>
                                    <w:pStyle w:val="TableContents"/>
                                    <w:bidi w:val="0"/>
                                    <w:spacing w:lineRule="atLeast" w:line="160" w:before="0" w:after="0"/>
                                    <w:jc w:val="left"/>
                                    <w:rPr/>
                                  </w:pPr>
                                  <w:r>
                                    <w:rPr>
                                      <w:caps w:val="false"/>
                                      <w:smallCaps w:val="false"/>
                                    </w:rPr>
                                    <w:t>•</w:t>
                                  </w:r>
                                  <w:r>
                                    <w:rPr>
                                      <w:rFonts w:ascii="Arial;sans-serif" w:hAnsi="Arial;sans-serif"/>
                                      <w:b w:val="false"/>
                                      <w:i w:val="false"/>
                                      <w:caps w:val="false"/>
                                      <w:smallCaps w:val="false"/>
                                      <w:sz w:val="22"/>
                                    </w:rPr>
                                    <w:t xml:space="preserve">Index revenue of </w:t>
                                  </w:r>
                                  <w:r>
                                    <w:rPr>
                                      <w:rFonts w:ascii="Arial;sans-serif" w:hAnsi="Arial;sans-serif"/>
                                      <w:b/>
                                      <w:i w:val="false"/>
                                      <w:caps w:val="false"/>
                                      <w:smallCaps w:val="false"/>
                                      <w:strike w:val="false"/>
                                      <w:dstrike w:val="false"/>
                                      <w:color w:val="8C56EE"/>
                                      <w:sz w:val="22"/>
                                      <w:u w:val="none"/>
                                      <w:effect w:val="none"/>
                                    </w:rPr>
                                    <w:t>$286</w:t>
                                  </w:r>
                                  <w:r>
                                    <w:rPr>
                                      <w:caps w:val="false"/>
                                      <w:smallCaps w:val="false"/>
                                      <w:strike w:val="false"/>
                                      <w:dstrike w:val="false"/>
                                      <w:color w:val="8C56EE"/>
                                      <w:sz w:val="24"/>
                                      <w:u w:val="none"/>
                                      <w:effect w:val="none"/>
                                    </w:rPr>
                                    <w:t xml:space="preserve"> </w:t>
                                  </w:r>
                                  <w:r>
                                    <w:rPr>
                                      <w:rFonts w:ascii="Arial;sans-serif" w:hAnsi="Arial;sans-serif"/>
                                      <w:b/>
                                      <w:i w:val="false"/>
                                      <w:caps w:val="false"/>
                                      <w:smallCaps w:val="false"/>
                                      <w:strike w:val="false"/>
                                      <w:dstrike w:val="false"/>
                                      <w:color w:val="8C56EE"/>
                                      <w:sz w:val="22"/>
                                      <w:u w:val="none"/>
                                      <w:effect w:val="none"/>
                                    </w:rPr>
                                    <w:t>million</w:t>
                                  </w:r>
                                  <w:r>
                                    <w:rPr>
                                      <w:caps w:val="false"/>
                                      <w:smallCaps w:val="false"/>
                                      <w:sz w:val="24"/>
                                    </w:rPr>
                                    <w:t xml:space="preserve"> </w:t>
                                  </w:r>
                                  <w:r>
                                    <w:rPr>
                                      <w:rFonts w:ascii="Arial;sans-serif" w:hAnsi="Arial;sans-serif"/>
                                      <w:b w:val="false"/>
                                      <w:i w:val="false"/>
                                      <w:caps w:val="false"/>
                                      <w:smallCaps w:val="false"/>
                                      <w:sz w:val="22"/>
                                    </w:rPr>
                                    <w:t xml:space="preserve">grew </w:t>
                                  </w:r>
                                  <w:r>
                                    <w:rPr>
                                      <w:rFonts w:ascii="Arial;sans-serif" w:hAnsi="Arial;sans-serif"/>
                                      <w:b/>
                                      <w:i w:val="false"/>
                                      <w:caps w:val="false"/>
                                      <w:smallCaps w:val="false"/>
                                      <w:strike w:val="false"/>
                                      <w:dstrike w:val="false"/>
                                      <w:color w:val="8C56EE"/>
                                      <w:sz w:val="22"/>
                                      <w:u w:val="none"/>
                                      <w:effect w:val="none"/>
                                      <w:shd w:fill="FFFFFF" w:val="clear"/>
                                    </w:rPr>
                                    <w:t>39%</w:t>
                                  </w:r>
                                  <w:r>
                                    <w:rPr>
                                      <w:caps w:val="false"/>
                                      <w:smallCaps w:val="false"/>
                                      <w:sz w:val="24"/>
                                    </w:rPr>
                                    <w:t xml:space="preserve"> </w:t>
                                  </w:r>
                                  <w:r>
                                    <w:rPr>
                                      <w:rFonts w:ascii="Arial;sans-serif" w:hAnsi="Arial;sans-serif"/>
                                      <w:b w:val="false"/>
                                      <w:i w:val="false"/>
                                      <w:caps w:val="false"/>
                                      <w:smallCaps w:val="false"/>
                                      <w:sz w:val="22"/>
                                    </w:rPr>
                                    <w:t xml:space="preserve">on both a reported and organic </w:t>
                                  </w:r>
                                </w:p>
                                <w:p>
                                  <w:pPr>
                                    <w:pStyle w:val="TableContents"/>
                                    <w:bidi w:val="0"/>
                                    <w:spacing w:lineRule="atLeast" w:line="160" w:before="0" w:after="0"/>
                                    <w:jc w:val="left"/>
                                    <w:rPr>
                                      <w:sz w:val="24"/>
                                    </w:rPr>
                                  </w:pPr>
                                  <w:r>
                                    <w:rPr>
                                      <w:rFonts w:ascii="Arial;sans-serif" w:hAnsi="Arial;sans-serif"/>
                                      <w:b w:val="false"/>
                                      <w:i w:val="false"/>
                                      <w:caps w:val="false"/>
                                      <w:smallCaps w:val="false"/>
                                      <w:sz w:val="22"/>
                                    </w:rPr>
                                    <w:t xml:space="preserve">basis over the </w:t>
                                  </w:r>
                                  <w:r>
                                    <w:rPr>
                                      <w:rFonts w:ascii="Arial;sans-serif" w:hAnsi="Arial;sans-serif"/>
                                      <w:b w:val="false"/>
                                      <w:i w:val="false"/>
                                      <w:caps w:val="false"/>
                                      <w:smallCaps w:val="false"/>
                                      <w:strike w:val="false"/>
                                      <w:dstrike w:val="false"/>
                                      <w:sz w:val="22"/>
                                      <w:u w:val="none"/>
                                      <w:effect w:val="none"/>
                                    </w:rPr>
                                    <w:t>third</w:t>
                                  </w:r>
                                  <w:r>
                                    <w:rPr>
                                      <w:caps w:val="false"/>
                                      <w:smallCaps w:val="false"/>
                                      <w:sz w:val="24"/>
                                    </w:rPr>
                                    <w:t xml:space="preserve"> </w:t>
                                  </w:r>
                                  <w:r>
                                    <w:rPr>
                                      <w:rFonts w:ascii="Arial;sans-serif" w:hAnsi="Arial;sans-serif"/>
                                      <w:b w:val="false"/>
                                      <w:i w:val="false"/>
                                      <w:caps w:val="false"/>
                                      <w:smallCaps w:val="false"/>
                                      <w:sz w:val="22"/>
                                    </w:rPr>
                                    <w:t xml:space="preserve">quarter of </w:t>
                                  </w:r>
                                  <w:r>
                                    <w:rPr>
                                      <w:rFonts w:ascii="Arial;sans-serif" w:hAnsi="Arial;sans-serif"/>
                                      <w:b w:val="false"/>
                                      <w:i w:val="false"/>
                                      <w:caps w:val="false"/>
                                      <w:smallCaps w:val="false"/>
                                      <w:strike w:val="false"/>
                                      <w:dstrike w:val="false"/>
                                      <w:sz w:val="22"/>
                                      <w:u w:val="none"/>
                                      <w:effect w:val="none"/>
                                    </w:rPr>
                                    <w:t>2025</w:t>
                                  </w:r>
                                  <w:r>
                                    <w:rPr>
                                      <w:rFonts w:ascii="Arial;sans-serif" w:hAnsi="Arial;sans-serif"/>
                                      <w:b w:val="false"/>
                                      <w:i w:val="false"/>
                                      <w:caps w:val="false"/>
                                      <w:smallCaps w:val="false"/>
                                      <w:sz w:val="22"/>
                                    </w:rPr>
                                    <w:t xml:space="preserve">, with </w:t>
                                  </w:r>
                                  <w:r>
                                    <w:rPr>
                                      <w:rFonts w:ascii="Arial;sans-serif" w:hAnsi="Arial;sans-serif"/>
                                      <w:b/>
                                      <w:i w:val="false"/>
                                      <w:caps w:val="false"/>
                                      <w:smallCaps w:val="false"/>
                                      <w:strike w:val="false"/>
                                      <w:dstrike w:val="false"/>
                                      <w:color w:val="8C56EE"/>
                                      <w:sz w:val="22"/>
                                      <w:u w:val="none"/>
                                      <w:effect w:val="none"/>
                                    </w:rPr>
                                    <w:t>$141</w:t>
                                  </w:r>
                                  <w:r>
                                    <w:rPr>
                                      <w:caps w:val="false"/>
                                      <w:smallCaps w:val="false"/>
                                      <w:strike w:val="false"/>
                                      <w:dstrike w:val="false"/>
                                      <w:color w:val="8C56EE"/>
                                      <w:sz w:val="24"/>
                                      <w:u w:val="none"/>
                                      <w:effect w:val="none"/>
                                    </w:rPr>
                                    <w:t xml:space="preserve"> </w:t>
                                  </w:r>
                                  <w:r>
                                    <w:rPr>
                                      <w:rFonts w:ascii="Arial;sans-serif" w:hAnsi="Arial;sans-serif"/>
                                      <w:b/>
                                      <w:i w:val="false"/>
                                      <w:caps w:val="false"/>
                                      <w:smallCaps w:val="false"/>
                                      <w:strike w:val="false"/>
                                      <w:dstrike w:val="false"/>
                                      <w:color w:val="8C56EE"/>
                                      <w:sz w:val="22"/>
                                      <w:u w:val="none"/>
                                      <w:effect w:val="none"/>
                                    </w:rPr>
                                    <w:t>billion</w:t>
                                  </w:r>
                                  <w:r>
                                    <w:rPr>
                                      <w:caps w:val="false"/>
                                      <w:smallCaps w:val="false"/>
                                      <w:sz w:val="24"/>
                                    </w:rPr>
                                    <w:t xml:space="preserve"> </w:t>
                                  </w:r>
                                  <w:r>
                                    <w:rPr>
                                      <w:rFonts w:ascii="Arial;sans-serif" w:hAnsi="Arial;sans-serif"/>
                                      <w:b w:val="false"/>
                                      <w:i w:val="false"/>
                                      <w:caps w:val="false"/>
                                      <w:smallCaps w:val="false"/>
                                      <w:sz w:val="22"/>
                                    </w:rPr>
                                    <w:t xml:space="preserve">of net inflows over </w:t>
                                  </w:r>
                                </w:p>
                                <w:p>
                                  <w:pPr>
                                    <w:pStyle w:val="TableContents"/>
                                    <w:bidi w:val="0"/>
                                    <w:spacing w:lineRule="atLeast" w:line="160" w:before="0" w:after="0"/>
                                    <w:jc w:val="left"/>
                                    <w:rPr>
                                      <w:sz w:val="24"/>
                                    </w:rPr>
                                  </w:pPr>
                                  <w:r>
                                    <w:rPr>
                                      <w:rFonts w:ascii="Arial;sans-serif" w:hAnsi="Arial;sans-serif"/>
                                      <w:b w:val="false"/>
                                      <w:i w:val="false"/>
                                      <w:caps w:val="false"/>
                                      <w:smallCaps w:val="false"/>
                                      <w:sz w:val="22"/>
                                    </w:rPr>
                                    <w:t xml:space="preserve">the trailing twelve months, including </w:t>
                                  </w:r>
                                  <w:r>
                                    <w:rPr>
                                      <w:rFonts w:ascii="Arial;sans-serif" w:hAnsi="Arial;sans-serif"/>
                                      <w:b/>
                                      <w:i w:val="false"/>
                                      <w:caps w:val="false"/>
                                      <w:smallCaps w:val="false"/>
                                      <w:strike w:val="false"/>
                                      <w:dstrike w:val="false"/>
                                      <w:color w:val="8C56EE"/>
                                      <w:sz w:val="22"/>
                                      <w:u w:val="none"/>
                                      <w:effect w:val="none"/>
                                    </w:rPr>
                                    <w:t>$49</w:t>
                                  </w:r>
                                  <w:r>
                                    <w:rPr>
                                      <w:caps w:val="false"/>
                                      <w:smallCaps w:val="false"/>
                                      <w:strike w:val="false"/>
                                      <w:dstrike w:val="false"/>
                                      <w:color w:val="8C56EE"/>
                                      <w:sz w:val="24"/>
                                      <w:u w:val="none"/>
                                      <w:effect w:val="none"/>
                                    </w:rPr>
                                    <w:t xml:space="preserve"> </w:t>
                                  </w:r>
                                  <w:r>
                                    <w:rPr>
                                      <w:rFonts w:ascii="Arial;sans-serif" w:hAnsi="Arial;sans-serif"/>
                                      <w:b/>
                                      <w:i w:val="false"/>
                                      <w:caps w:val="false"/>
                                      <w:smallCaps w:val="false"/>
                                      <w:strike w:val="false"/>
                                      <w:dstrike w:val="false"/>
                                      <w:color w:val="8C56EE"/>
                                      <w:sz w:val="22"/>
                                      <w:u w:val="none"/>
                                      <w:effect w:val="none"/>
                                    </w:rPr>
                                    <w:t>billion</w:t>
                                  </w:r>
                                  <w:r>
                                    <w:rPr>
                                      <w:caps w:val="false"/>
                                      <w:smallCaps w:val="false"/>
                                      <w:sz w:val="24"/>
                                    </w:rPr>
                                    <w:t xml:space="preserve"> </w:t>
                                  </w:r>
                                  <w:r>
                                    <w:rPr>
                                      <w:rFonts w:ascii="Arial;sans-serif" w:hAnsi="Arial;sans-serif"/>
                                      <w:b w:val="false"/>
                                      <w:i w:val="false"/>
                                      <w:caps w:val="false"/>
                                      <w:smallCaps w:val="false"/>
                                      <w:sz w:val="22"/>
                                    </w:rPr>
                                    <w:t xml:space="preserve">in the </w:t>
                                  </w:r>
                                  <w:r>
                                    <w:rPr>
                                      <w:rFonts w:ascii="Arial;sans-serif" w:hAnsi="Arial;sans-serif"/>
                                      <w:b w:val="false"/>
                                      <w:i w:val="false"/>
                                      <w:caps w:val="false"/>
                                      <w:smallCaps w:val="false"/>
                                      <w:strike w:val="false"/>
                                      <w:dstrike w:val="false"/>
                                      <w:sz w:val="22"/>
                                      <w:u w:val="none"/>
                                      <w:effect w:val="none"/>
                                    </w:rPr>
                                    <w:t>third</w:t>
                                  </w:r>
                                  <w:r>
                                    <w:rPr>
                                      <w:caps w:val="false"/>
                                      <w:smallCaps w:val="false"/>
                                      <w:sz w:val="24"/>
                                    </w:rPr>
                                    <w:t xml:space="preserve"> </w:t>
                                  </w:r>
                                  <w:r>
                                    <w:rPr>
                                      <w:rFonts w:ascii="Arial;sans-serif" w:hAnsi="Arial;sans-serif"/>
                                      <w:b w:val="false"/>
                                      <w:i w:val="false"/>
                                      <w:caps w:val="false"/>
                                      <w:smallCaps w:val="false"/>
                                      <w:sz w:val="22"/>
                                    </w:rPr>
                                    <w:t xml:space="preserve">quarter of </w:t>
                                  </w:r>
                                </w:p>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sz w:val="22"/>
                                      <w:u w:val="none"/>
                                      <w:effect w:val="none"/>
                                    </w:rPr>
                                    <w:t>2026</w:t>
                                  </w:r>
                                  <w:r>
                                    <w:rPr>
                                      <w:rFonts w:ascii="Arial;sans-serif" w:hAnsi="Arial;sans-serif"/>
                                      <w:b w:val="false"/>
                                      <w:i w:val="false"/>
                                      <w:caps w:val="false"/>
                                      <w:smallCaps w:val="false"/>
                                      <w:sz w:val="22"/>
                                    </w:rPr>
                                    <w:t>.</w:t>
                                  </w:r>
                                </w:p>
                              </w:tc>
                              <w:tc>
                                <w:tcPr>
                                  <w:tcW w:w="3926" w:type="dxa"/>
                                  <w:vMerge w:val="continue"/>
                                  <w:tcBorders/>
                                  <w:vAlign w:val="center"/>
                                </w:tcPr>
                                <w:p>
                                  <w:pPr>
                                    <w:pStyle w:val="Normal"/>
                                    <w:bidi w:val="0"/>
                                    <w:jc w:val="left"/>
                                    <w:rPr/>
                                  </w:pPr>
                                  <w:r>
                                    <w:rPr/>
                                  </w:r>
                                </w:p>
                              </w:tc>
                            </w:tr>
                            <w:tr>
                              <w:trPr/>
                              <w:tc>
                                <w:tcPr>
                                  <w:tcW w:w="7511" w:type="dxa"/>
                                  <w:tcBorders/>
                                  <w:vAlign w:val="center"/>
                                </w:tcPr>
                                <w:p>
                                  <w:pPr>
                                    <w:pStyle w:val="TableContents"/>
                                    <w:bidi w:val="0"/>
                                    <w:spacing w:lineRule="atLeast" w:line="160" w:before="0" w:after="0"/>
                                    <w:jc w:val="left"/>
                                    <w:rPr/>
                                  </w:pPr>
                                  <w:r>
                                    <w:rPr>
                                      <w:caps w:val="false"/>
                                      <w:smallCaps w:val="false"/>
                                      <w:strike w:val="false"/>
                                      <w:dstrike w:val="false"/>
                                      <w:u w:val="none"/>
                                      <w:effect w:val="none"/>
                                      <w:shd w:fill="FFFFFF" w:val="clear"/>
                                    </w:rPr>
                                    <w:t>•</w:t>
                                  </w:r>
                                  <w:r>
                                    <w:rPr>
                                      <w:rFonts w:ascii="Arial;sans-serif" w:hAnsi="Arial;sans-serif"/>
                                      <w:b w:val="false"/>
                                      <w:i w:val="false"/>
                                      <w:caps w:val="false"/>
                                      <w:smallCaps w:val="false"/>
                                      <w:sz w:val="22"/>
                                    </w:rPr>
                                    <w:t xml:space="preserve">GAAP diluted earnings per share in the </w:t>
                                  </w:r>
                                  <w:r>
                                    <w:rPr>
                                      <w:rFonts w:ascii="Arial;sans-serif" w:hAnsi="Arial;sans-serif"/>
                                      <w:b w:val="false"/>
                                      <w:i w:val="false"/>
                                      <w:caps w:val="false"/>
                                      <w:smallCaps w:val="false"/>
                                      <w:strike w:val="false"/>
                                      <w:dstrike w:val="false"/>
                                      <w:sz w:val="22"/>
                                      <w:u w:val="none"/>
                                      <w:effect w:val="none"/>
                                    </w:rPr>
                                    <w:t>third</w:t>
                                  </w:r>
                                  <w:r>
                                    <w:rPr>
                                      <w:caps w:val="false"/>
                                      <w:smallCaps w:val="false"/>
                                      <w:sz w:val="24"/>
                                    </w:rPr>
                                    <w:t xml:space="preserve"> </w:t>
                                  </w:r>
                                  <w:r>
                                    <w:rPr>
                                      <w:rFonts w:ascii="Arial;sans-serif" w:hAnsi="Arial;sans-serif"/>
                                      <w:b w:val="false"/>
                                      <w:i w:val="false"/>
                                      <w:caps w:val="false"/>
                                      <w:smallCaps w:val="false"/>
                                      <w:sz w:val="22"/>
                                    </w:rPr>
                                    <w:t xml:space="preserve">quarter of </w:t>
                                  </w:r>
                                  <w:r>
                                    <w:rPr>
                                      <w:rFonts w:ascii="Arial;sans-serif" w:hAnsi="Arial;sans-serif"/>
                                      <w:b w:val="false"/>
                                      <w:i w:val="false"/>
                                      <w:caps w:val="false"/>
                                      <w:smallCaps w:val="false"/>
                                      <w:strike w:val="false"/>
                                      <w:dstrike w:val="false"/>
                                      <w:sz w:val="22"/>
                                      <w:u w:val="none"/>
                                      <w:effect w:val="none"/>
                                    </w:rPr>
                                    <w:t>2026</w:t>
                                  </w:r>
                                  <w:r>
                                    <w:rPr>
                                      <w:caps w:val="false"/>
                                      <w:smallCaps w:val="false"/>
                                      <w:sz w:val="24"/>
                                    </w:rPr>
                                    <w:t xml:space="preserve"> </w:t>
                                  </w:r>
                                  <w:r>
                                    <w:rPr>
                                      <w:rFonts w:ascii="Arial;sans-serif" w:hAnsi="Arial;sans-serif"/>
                                      <w:b w:val="false"/>
                                      <w:i w:val="false"/>
                                      <w:caps w:val="false"/>
                                      <w:smallCaps w:val="false"/>
                                      <w:sz w:val="22"/>
                                    </w:rPr>
                                    <w:t xml:space="preserve">was </w:t>
                                  </w:r>
                                  <w:r>
                                    <w:rPr>
                                      <w:rFonts w:ascii="Arial;sans-serif" w:hAnsi="Arial;sans-serif"/>
                                      <w:b/>
                                      <w:i w:val="false"/>
                                      <w:caps w:val="false"/>
                                      <w:smallCaps w:val="false"/>
                                      <w:strike w:val="false"/>
                                      <w:dstrike w:val="false"/>
                                      <w:color w:val="8C56EE"/>
                                      <w:sz w:val="22"/>
                                      <w:u w:val="none"/>
                                      <w:effect w:val="none"/>
                                    </w:rPr>
                                    <w:t>$0.96</w:t>
                                  </w:r>
                                  <w:r>
                                    <w:rPr>
                                      <w:rFonts w:ascii="Arial;sans-serif" w:hAnsi="Arial;sans-serif"/>
                                      <w:b w:val="false"/>
                                      <w:i w:val="false"/>
                                      <w:caps w:val="false"/>
                                      <w:smallCaps w:val="false"/>
                                      <w:sz w:val="22"/>
                                    </w:rPr>
                                    <w:t xml:space="preserve">, </w:t>
                                  </w:r>
                                </w:p>
                                <w:p>
                                  <w:pPr>
                                    <w:pStyle w:val="TableContents"/>
                                    <w:bidi w:val="0"/>
                                    <w:spacing w:lineRule="atLeast" w:line="160" w:before="0" w:after="0"/>
                                    <w:jc w:val="left"/>
                                    <w:rPr>
                                      <w:sz w:val="24"/>
                                    </w:rPr>
                                  </w:pPr>
                                  <w:r>
                                    <w:rPr>
                                      <w:rFonts w:ascii="Arial;sans-serif" w:hAnsi="Arial;sans-serif"/>
                                      <w:b w:val="false"/>
                                      <w:i w:val="false"/>
                                      <w:caps w:val="false"/>
                                      <w:smallCaps w:val="false"/>
                                      <w:sz w:val="22"/>
                                    </w:rPr>
                                    <w:t xml:space="preserve">an increase of </w:t>
                                  </w:r>
                                  <w:r>
                                    <w:rPr>
                                      <w:rFonts w:ascii="Arial;sans-serif" w:hAnsi="Arial;sans-serif"/>
                                      <w:b/>
                                      <w:i w:val="false"/>
                                      <w:caps w:val="false"/>
                                      <w:smallCaps w:val="false"/>
                                      <w:strike w:val="false"/>
                                      <w:dstrike w:val="false"/>
                                      <w:color w:val="8C56EE"/>
                                      <w:sz w:val="22"/>
                                      <w:u w:val="none"/>
                                      <w:effect w:val="none"/>
                                      <w:shd w:fill="FFFFFF" w:val="clear"/>
                                    </w:rPr>
                                    <w:t>31%</w:t>
                                  </w:r>
                                  <w:r>
                                    <w:rPr>
                                      <w:caps w:val="false"/>
                                      <w:smallCaps w:val="false"/>
                                      <w:strike w:val="false"/>
                                      <w:dstrike w:val="false"/>
                                      <w:color w:val="8C56EE"/>
                                      <w:sz w:val="24"/>
                                      <w:u w:val="none"/>
                                      <w:effect w:val="none"/>
                                      <w:shd w:fill="FFFFFF" w:val="clear"/>
                                    </w:rPr>
                                    <w:t xml:space="preserve"> </w:t>
                                  </w:r>
                                  <w:r>
                                    <w:rPr>
                                      <w:rFonts w:ascii="Arial;sans-serif" w:hAnsi="Arial;sans-serif"/>
                                      <w:b w:val="false"/>
                                      <w:i w:val="false"/>
                                      <w:caps w:val="false"/>
                                      <w:smallCaps w:val="false"/>
                                      <w:sz w:val="22"/>
                                    </w:rPr>
                                    <w:t xml:space="preserve">over the </w:t>
                                  </w:r>
                                  <w:r>
                                    <w:rPr>
                                      <w:rFonts w:ascii="Arial;sans-serif" w:hAnsi="Arial;sans-serif"/>
                                      <w:b w:val="false"/>
                                      <w:i w:val="false"/>
                                      <w:caps w:val="false"/>
                                      <w:smallCaps w:val="false"/>
                                      <w:strike w:val="false"/>
                                      <w:dstrike w:val="false"/>
                                      <w:sz w:val="22"/>
                                      <w:u w:val="none"/>
                                      <w:effect w:val="none"/>
                                    </w:rPr>
                                    <w:t>third</w:t>
                                  </w:r>
                                  <w:r>
                                    <w:rPr>
                                      <w:caps w:val="false"/>
                                      <w:smallCaps w:val="false"/>
                                      <w:sz w:val="24"/>
                                    </w:rPr>
                                    <w:t xml:space="preserve"> </w:t>
                                  </w:r>
                                  <w:r>
                                    <w:rPr>
                                      <w:rFonts w:ascii="Arial;sans-serif" w:hAnsi="Arial;sans-serif"/>
                                      <w:b w:val="false"/>
                                      <w:i w:val="false"/>
                                      <w:caps w:val="false"/>
                                      <w:smallCaps w:val="false"/>
                                      <w:sz w:val="22"/>
                                    </w:rPr>
                                    <w:t xml:space="preserve">quarter of </w:t>
                                  </w:r>
                                  <w:r>
                                    <w:rPr>
                                      <w:rFonts w:ascii="Arial;sans-serif" w:hAnsi="Arial;sans-serif"/>
                                      <w:b w:val="false"/>
                                      <w:i w:val="false"/>
                                      <w:caps w:val="false"/>
                                      <w:smallCaps w:val="false"/>
                                      <w:strike w:val="false"/>
                                      <w:dstrike w:val="false"/>
                                      <w:sz w:val="22"/>
                                      <w:u w:val="none"/>
                                      <w:effect w:val="none"/>
                                    </w:rPr>
                                    <w:t>2025</w:t>
                                  </w:r>
                                  <w:r>
                                    <w:rPr>
                                      <w:rFonts w:ascii="Arial;sans-serif" w:hAnsi="Arial;sans-serif"/>
                                      <w:b w:val="false"/>
                                      <w:i w:val="false"/>
                                      <w:caps w:val="false"/>
                                      <w:smallCaps w:val="false"/>
                                      <w:sz w:val="22"/>
                                    </w:rPr>
                                    <w:t>. Non-GAAP</w:t>
                                  </w:r>
                                  <w:r>
                                    <w:rPr>
                                      <w:rFonts w:ascii="Arial;sans-serif" w:hAnsi="Arial;sans-serif"/>
                                      <w:b w:val="false"/>
                                      <w:i w:val="false"/>
                                      <w:caps w:val="false"/>
                                      <w:smallCaps w:val="false"/>
                                      <w:sz w:val="14"/>
                                    </w:rPr>
                                    <w:t>5</w:t>
                                  </w:r>
                                  <w:r>
                                    <w:rPr>
                                      <w:caps w:val="false"/>
                                      <w:smallCaps w:val="false"/>
                                      <w:sz w:val="24"/>
                                    </w:rPr>
                                    <w:t xml:space="preserve"> </w:t>
                                  </w:r>
                                  <w:r>
                                    <w:rPr>
                                      <w:rFonts w:ascii="Arial;sans-serif" w:hAnsi="Arial;sans-serif"/>
                                      <w:b w:val="false"/>
                                      <w:i w:val="false"/>
                                      <w:caps w:val="false"/>
                                      <w:smallCaps w:val="false"/>
                                      <w:sz w:val="22"/>
                                    </w:rPr>
                                    <w:t xml:space="preserve">diluted </w:t>
                                  </w:r>
                                </w:p>
                                <w:p>
                                  <w:pPr>
                                    <w:pStyle w:val="TableContents"/>
                                    <w:bidi w:val="0"/>
                                    <w:spacing w:lineRule="atLeast" w:line="160" w:before="0" w:after="0"/>
                                    <w:jc w:val="left"/>
                                    <w:rPr>
                                      <w:sz w:val="24"/>
                                    </w:rPr>
                                  </w:pPr>
                                  <w:r>
                                    <w:rPr>
                                      <w:rFonts w:ascii="Arial;sans-serif" w:hAnsi="Arial;sans-serif"/>
                                      <w:b w:val="false"/>
                                      <w:i w:val="false"/>
                                      <w:caps w:val="false"/>
                                      <w:smallCaps w:val="false"/>
                                      <w:sz w:val="22"/>
                                    </w:rPr>
                                    <w:t xml:space="preserve">earnings per share in the </w:t>
                                  </w:r>
                                  <w:r>
                                    <w:rPr>
                                      <w:rFonts w:ascii="Arial;sans-serif" w:hAnsi="Arial;sans-serif"/>
                                      <w:b w:val="false"/>
                                      <w:i w:val="false"/>
                                      <w:caps w:val="false"/>
                                      <w:smallCaps w:val="false"/>
                                      <w:strike w:val="false"/>
                                      <w:dstrike w:val="false"/>
                                      <w:sz w:val="22"/>
                                      <w:u w:val="none"/>
                                      <w:effect w:val="none"/>
                                    </w:rPr>
                                    <w:t>third</w:t>
                                  </w:r>
                                  <w:r>
                                    <w:rPr>
                                      <w:caps w:val="false"/>
                                      <w:smallCaps w:val="false"/>
                                      <w:sz w:val="24"/>
                                    </w:rPr>
                                    <w:t xml:space="preserve"> </w:t>
                                  </w:r>
                                  <w:r>
                                    <w:rPr>
                                      <w:rFonts w:ascii="Arial;sans-serif" w:hAnsi="Arial;sans-serif"/>
                                      <w:b w:val="false"/>
                                      <w:i w:val="false"/>
                                      <w:caps w:val="false"/>
                                      <w:smallCaps w:val="false"/>
                                      <w:sz w:val="22"/>
                                    </w:rPr>
                                    <w:t xml:space="preserve">quarter of </w:t>
                                  </w:r>
                                  <w:r>
                                    <w:rPr>
                                      <w:rFonts w:ascii="Arial;sans-serif" w:hAnsi="Arial;sans-serif"/>
                                      <w:b w:val="false"/>
                                      <w:i w:val="false"/>
                                      <w:caps w:val="false"/>
                                      <w:smallCaps w:val="false"/>
                                      <w:strike w:val="false"/>
                                      <w:dstrike w:val="false"/>
                                      <w:sz w:val="22"/>
                                      <w:u w:val="none"/>
                                      <w:effect w:val="none"/>
                                    </w:rPr>
                                    <w:t>2026</w:t>
                                  </w:r>
                                  <w:r>
                                    <w:rPr>
                                      <w:caps w:val="false"/>
                                      <w:smallCaps w:val="false"/>
                                      <w:sz w:val="24"/>
                                    </w:rPr>
                                    <w:t xml:space="preserve"> </w:t>
                                  </w:r>
                                  <w:r>
                                    <w:rPr>
                                      <w:rFonts w:ascii="Arial;sans-serif" w:hAnsi="Arial;sans-serif"/>
                                      <w:b w:val="false"/>
                                      <w:i w:val="false"/>
                                      <w:caps w:val="false"/>
                                      <w:smallCaps w:val="false"/>
                                      <w:sz w:val="22"/>
                                    </w:rPr>
                                    <w:t xml:space="preserve">was </w:t>
                                  </w:r>
                                  <w:r>
                                    <w:rPr>
                                      <w:rFonts w:ascii="Arial;sans-serif" w:hAnsi="Arial;sans-serif"/>
                                      <w:b/>
                                      <w:i w:val="false"/>
                                      <w:caps w:val="false"/>
                                      <w:smallCaps w:val="false"/>
                                      <w:strike w:val="false"/>
                                      <w:dstrike w:val="false"/>
                                      <w:color w:val="8C56EE"/>
                                      <w:sz w:val="22"/>
                                      <w:u w:val="none"/>
                                      <w:effect w:val="none"/>
                                    </w:rPr>
                                    <w:t>$1.04</w:t>
                                  </w:r>
                                  <w:r>
                                    <w:rPr>
                                      <w:rFonts w:ascii="Arial;sans-serif" w:hAnsi="Arial;sans-serif"/>
                                      <w:b w:val="false"/>
                                      <w:i w:val="false"/>
                                      <w:caps w:val="false"/>
                                      <w:smallCaps w:val="false"/>
                                      <w:sz w:val="22"/>
                                    </w:rPr>
                                    <w:t>, an increase of</w:t>
                                  </w:r>
                                  <w:r>
                                    <w:rPr>
                                      <w:caps w:val="false"/>
                                      <w:smallCaps w:val="false"/>
                                      <w:strike w:val="false"/>
                                      <w:dstrike w:val="false"/>
                                      <w:sz w:val="24"/>
                                      <w:u w:val="none"/>
                                      <w:effect w:val="none"/>
                                      <w:shd w:fill="FFFFFF" w:val="clear"/>
                                    </w:rPr>
                                    <w:t xml:space="preserve"> </w:t>
                                  </w:r>
                                </w:p>
                                <w:p>
                                  <w:pPr>
                                    <w:pStyle w:val="TableContents"/>
                                    <w:bidi w:val="0"/>
                                    <w:spacing w:lineRule="atLeast" w:line="160" w:before="0" w:after="0"/>
                                    <w:jc w:val="left"/>
                                    <w:rPr>
                                      <w:sz w:val="24"/>
                                    </w:rPr>
                                  </w:pPr>
                                  <w:r>
                                    <w:rPr>
                                      <w:rFonts w:ascii="Arial;sans-serif" w:hAnsi="Arial;sans-serif"/>
                                      <w:b/>
                                      <w:i w:val="false"/>
                                      <w:caps w:val="false"/>
                                      <w:smallCaps w:val="false"/>
                                      <w:strike w:val="false"/>
                                      <w:dstrike w:val="false"/>
                                      <w:color w:val="8C56EE"/>
                                      <w:sz w:val="22"/>
                                      <w:u w:val="none"/>
                                      <w:effect w:val="none"/>
                                      <w:shd w:fill="FFFFFF" w:val="clear"/>
                                    </w:rPr>
                                    <w:t>18%</w:t>
                                  </w:r>
                                  <w:r>
                                    <w:rPr>
                                      <w:caps w:val="false"/>
                                      <w:smallCaps w:val="false"/>
                                      <w:strike w:val="false"/>
                                      <w:dstrike w:val="false"/>
                                      <w:color w:val="8C56EE"/>
                                      <w:sz w:val="24"/>
                                      <w:u w:val="none"/>
                                      <w:effect w:val="none"/>
                                    </w:rPr>
                                    <w:t xml:space="preserve"> </w:t>
                                  </w:r>
                                  <w:r>
                                    <w:rPr>
                                      <w:rFonts w:ascii="Arial;sans-serif" w:hAnsi="Arial;sans-serif"/>
                                      <w:b w:val="false"/>
                                      <w:i w:val="false"/>
                                      <w:caps w:val="false"/>
                                      <w:smallCaps w:val="false"/>
                                      <w:sz w:val="22"/>
                                    </w:rPr>
                                    <w:t xml:space="preserve">on a reported basis over the </w:t>
                                  </w:r>
                                  <w:r>
                                    <w:rPr>
                                      <w:rFonts w:ascii="Arial;sans-serif" w:hAnsi="Arial;sans-serif"/>
                                      <w:b w:val="false"/>
                                      <w:i w:val="false"/>
                                      <w:caps w:val="false"/>
                                      <w:smallCaps w:val="false"/>
                                      <w:strike w:val="false"/>
                                      <w:dstrike w:val="false"/>
                                      <w:sz w:val="22"/>
                                      <w:u w:val="none"/>
                                      <w:effect w:val="none"/>
                                    </w:rPr>
                                    <w:t>third</w:t>
                                  </w:r>
                                  <w:r>
                                    <w:rPr>
                                      <w:caps w:val="false"/>
                                      <w:smallCaps w:val="false"/>
                                      <w:sz w:val="24"/>
                                    </w:rPr>
                                    <w:t xml:space="preserve"> </w:t>
                                  </w:r>
                                  <w:r>
                                    <w:rPr>
                                      <w:rFonts w:ascii="Arial;sans-serif" w:hAnsi="Arial;sans-serif"/>
                                      <w:b w:val="false"/>
                                      <w:i w:val="false"/>
                                      <w:caps w:val="false"/>
                                      <w:smallCaps w:val="false"/>
                                      <w:sz w:val="22"/>
                                    </w:rPr>
                                    <w:t xml:space="preserve">quarter of </w:t>
                                  </w:r>
                                  <w:r>
                                    <w:rPr>
                                      <w:rFonts w:ascii="Arial;sans-serif" w:hAnsi="Arial;sans-serif"/>
                                      <w:b w:val="false"/>
                                      <w:i w:val="false"/>
                                      <w:caps w:val="false"/>
                                      <w:smallCaps w:val="false"/>
                                      <w:strike w:val="false"/>
                                      <w:dstrike w:val="false"/>
                                      <w:sz w:val="22"/>
                                      <w:u w:val="none"/>
                                      <w:effect w:val="none"/>
                                    </w:rPr>
                                    <w:t>2025</w:t>
                                  </w:r>
                                  <w:r>
                                    <w:rPr>
                                      <w:rFonts w:ascii="Arial;sans-serif" w:hAnsi="Arial;sans-serif"/>
                                      <w:b w:val="false"/>
                                      <w:i w:val="false"/>
                                      <w:caps w:val="false"/>
                                      <w:smallCaps w:val="false"/>
                                      <w:sz w:val="22"/>
                                    </w:rPr>
                                    <w:t xml:space="preserve">, or </w:t>
                                  </w:r>
                                  <w:r>
                                    <w:rPr>
                                      <w:rFonts w:ascii="Arial;sans-serif" w:hAnsi="Arial;sans-serif"/>
                                      <w:b/>
                                      <w:i w:val="false"/>
                                      <w:caps w:val="false"/>
                                      <w:smallCaps w:val="false"/>
                                      <w:strike w:val="false"/>
                                      <w:dstrike w:val="false"/>
                                      <w:color w:val="8C56EE"/>
                                      <w:sz w:val="22"/>
                                      <w:u w:val="none"/>
                                      <w:effect w:val="none"/>
                                      <w:shd w:fill="FFFFFF" w:val="clear"/>
                                    </w:rPr>
                                    <w:t>19%</w:t>
                                  </w:r>
                                  <w:r>
                                    <w:rPr>
                                      <w:caps w:val="false"/>
                                      <w:smallCaps w:val="false"/>
                                      <w:sz w:val="24"/>
                                    </w:rPr>
                                    <w:t xml:space="preserve"> </w:t>
                                  </w:r>
                                  <w:r>
                                    <w:rPr>
                                      <w:rFonts w:ascii="Arial;sans-serif" w:hAnsi="Arial;sans-serif"/>
                                      <w:b w:val="false"/>
                                      <w:i w:val="false"/>
                                      <w:caps w:val="false"/>
                                      <w:smallCaps w:val="false"/>
                                      <w:sz w:val="22"/>
                                    </w:rPr>
                                    <w:t xml:space="preserve">on an </w:t>
                                  </w:r>
                                </w:p>
                                <w:p>
                                  <w:pPr>
                                    <w:pStyle w:val="TableContents"/>
                                    <w:bidi w:val="0"/>
                                    <w:spacing w:lineRule="atLeast" w:line="160" w:before="0" w:after="0"/>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organic basis.</w:t>
                                  </w:r>
                                </w:p>
                              </w:tc>
                              <w:tc>
                                <w:tcPr>
                                  <w:tcW w:w="3926" w:type="dxa"/>
                                  <w:vMerge w:val="continue"/>
                                  <w:tcBorders/>
                                  <w:vAlign w:val="center"/>
                                </w:tcPr>
                                <w:p>
                                  <w:pPr>
                                    <w:pStyle w:val="Normal"/>
                                    <w:bidi w:val="0"/>
                                    <w:jc w:val="left"/>
                                    <w:rPr/>
                                  </w:pPr>
                                  <w:r>
                                    <w:rPr/>
                                  </w:r>
                                </w:p>
                              </w:tc>
                            </w:tr>
                            <w:tr>
                              <w:trPr/>
                              <w:tc>
                                <w:tcPr>
                                  <w:tcW w:w="7511" w:type="dxa"/>
                                  <w:tcBorders/>
                                  <w:vAlign w:val="center"/>
                                </w:tcPr>
                                <w:p>
                                  <w:pPr>
                                    <w:pStyle w:val="TableContents"/>
                                    <w:bidi w:val="0"/>
                                    <w:spacing w:lineRule="atLeast" w:line="160" w:before="0" w:after="0"/>
                                    <w:jc w:val="left"/>
                                    <w:rPr/>
                                  </w:pPr>
                                  <w:r>
                                    <w:rPr>
                                      <w:caps w:val="false"/>
                                      <w:smallCaps w:val="false"/>
                                      <w:strike w:val="false"/>
                                      <w:dstrike w:val="false"/>
                                      <w:u w:val="none"/>
                                      <w:effect w:val="none"/>
                                      <w:shd w:fill="FFFFFF" w:val="clear"/>
                                    </w:rPr>
                                    <w:t>•</w:t>
                                  </w:r>
                                  <w:r>
                                    <w:rPr>
                                      <w:rFonts w:ascii="Arial;sans-serif" w:hAnsi="Arial;sans-serif"/>
                                      <w:b w:val="false"/>
                                      <w:i w:val="false"/>
                                      <w:caps w:val="false"/>
                                      <w:smallCaps w:val="false"/>
                                      <w:sz w:val="22"/>
                                    </w:rPr>
                                    <w:t xml:space="preserve">In the </w:t>
                                  </w:r>
                                  <w:r>
                                    <w:rPr>
                                      <w:rFonts w:ascii="Arial;sans-serif" w:hAnsi="Arial;sans-serif"/>
                                      <w:b w:val="false"/>
                                      <w:i w:val="false"/>
                                      <w:caps w:val="false"/>
                                      <w:smallCaps w:val="false"/>
                                      <w:strike w:val="false"/>
                                      <w:dstrike w:val="false"/>
                                      <w:sz w:val="22"/>
                                      <w:u w:val="none"/>
                                      <w:effect w:val="none"/>
                                    </w:rPr>
                                    <w:t>third</w:t>
                                  </w:r>
                                  <w:r>
                                    <w:rPr>
                                      <w:caps w:val="false"/>
                                      <w:smallCaps w:val="false"/>
                                      <w:sz w:val="24"/>
                                    </w:rPr>
                                    <w:t xml:space="preserve"> </w:t>
                                  </w:r>
                                  <w:r>
                                    <w:rPr>
                                      <w:rFonts w:ascii="Arial;sans-serif" w:hAnsi="Arial;sans-serif"/>
                                      <w:b w:val="false"/>
                                      <w:i w:val="false"/>
                                      <w:caps w:val="false"/>
                                      <w:smallCaps w:val="false"/>
                                      <w:sz w:val="22"/>
                                    </w:rPr>
                                    <w:t xml:space="preserve">quarter of </w:t>
                                  </w:r>
                                  <w:r>
                                    <w:rPr>
                                      <w:rFonts w:ascii="Arial;sans-serif" w:hAnsi="Arial;sans-serif"/>
                                      <w:b w:val="false"/>
                                      <w:i w:val="false"/>
                                      <w:caps w:val="false"/>
                                      <w:smallCaps w:val="false"/>
                                      <w:strike w:val="false"/>
                                      <w:dstrike w:val="false"/>
                                      <w:sz w:val="22"/>
                                      <w:u w:val="none"/>
                                      <w:effect w:val="none"/>
                                    </w:rPr>
                                    <w:t>2026</w:t>
                                  </w:r>
                                  <w:r>
                                    <w:rPr>
                                      <w:rFonts w:ascii="Arial;sans-serif" w:hAnsi="Arial;sans-serif"/>
                                      <w:b w:val="false"/>
                                      <w:i w:val="false"/>
                                      <w:caps w:val="false"/>
                                      <w:smallCaps w:val="false"/>
                                      <w:sz w:val="22"/>
                                    </w:rPr>
                                    <w:t xml:space="preserve">, the company returned </w:t>
                                  </w:r>
                                  <w:r>
                                    <w:rPr>
                                      <w:rFonts w:ascii="Arial;sans-serif" w:hAnsi="Arial;sans-serif"/>
                                      <w:b/>
                                      <w:i w:val="false"/>
                                      <w:caps w:val="false"/>
                                      <w:smallCaps w:val="false"/>
                                      <w:strike w:val="false"/>
                                      <w:dstrike w:val="false"/>
                                      <w:color w:val="8C56EE"/>
                                      <w:sz w:val="22"/>
                                      <w:u w:val="none"/>
                                      <w:effect w:val="none"/>
                                    </w:rPr>
                                    <w:t>$173</w:t>
                                  </w:r>
                                  <w:r>
                                    <w:rPr>
                                      <w:caps w:val="false"/>
                                      <w:smallCaps w:val="false"/>
                                      <w:strike w:val="false"/>
                                      <w:dstrike w:val="false"/>
                                      <w:color w:val="8C56EE"/>
                                      <w:sz w:val="24"/>
                                      <w:u w:val="none"/>
                                      <w:effect w:val="none"/>
                                    </w:rPr>
                                    <w:t xml:space="preserve"> </w:t>
                                  </w:r>
                                  <w:r>
                                    <w:rPr>
                                      <w:rFonts w:ascii="Arial;sans-serif" w:hAnsi="Arial;sans-serif"/>
                                      <w:b/>
                                      <w:i w:val="false"/>
                                      <w:caps w:val="false"/>
                                      <w:smallCaps w:val="false"/>
                                      <w:strike w:val="false"/>
                                      <w:dstrike w:val="false"/>
                                      <w:color w:val="8C56EE"/>
                                      <w:sz w:val="22"/>
                                      <w:u w:val="none"/>
                                      <w:effect w:val="none"/>
                                    </w:rPr>
                                    <w:t>million</w:t>
                                  </w:r>
                                  <w:r>
                                    <w:rPr>
                                      <w:caps w:val="false"/>
                                      <w:smallCaps w:val="false"/>
                                      <w:sz w:val="24"/>
                                    </w:rPr>
                                    <w:t xml:space="preserve"> </w:t>
                                  </w:r>
                                  <w:r>
                                    <w:rPr>
                                      <w:rFonts w:ascii="Arial;sans-serif" w:hAnsi="Arial;sans-serif"/>
                                      <w:b w:val="false"/>
                                      <w:i w:val="false"/>
                                      <w:caps w:val="false"/>
                                      <w:smallCaps w:val="false"/>
                                      <w:sz w:val="22"/>
                                    </w:rPr>
                                    <w:t xml:space="preserve">to </w:t>
                                  </w:r>
                                </w:p>
                                <w:p>
                                  <w:pPr>
                                    <w:pStyle w:val="TableContents"/>
                                    <w:bidi w:val="0"/>
                                    <w:spacing w:lineRule="atLeast" w:line="160" w:before="0" w:after="0"/>
                                    <w:jc w:val="left"/>
                                    <w:rPr/>
                                  </w:pPr>
                                  <w:r>
                                    <w:rPr>
                                      <w:rFonts w:ascii="Arial;sans-serif" w:hAnsi="Arial;sans-serif"/>
                                      <w:b w:val="false"/>
                                      <w:i w:val="false"/>
                                      <w:caps w:val="false"/>
                                      <w:smallCaps w:val="false"/>
                                      <w:sz w:val="22"/>
                                    </w:rPr>
                                    <w:t>shareholders through dividends and</w:t>
                                  </w:r>
                                  <w:r>
                                    <w:rPr>
                                      <w:caps w:val="false"/>
                                      <w:smallCaps w:val="false"/>
                                      <w:strike w:val="false"/>
                                      <w:dstrike w:val="false"/>
                                      <w:u w:val="none"/>
                                      <w:effect w:val="none"/>
                                      <w:shd w:fill="FFFFFF" w:val="clear"/>
                                    </w:rPr>
                                    <w:t xml:space="preserve"> </w:t>
                                  </w:r>
                                  <w:r>
                                    <w:rPr>
                                      <w:rFonts w:ascii="Arial;sans-serif" w:hAnsi="Arial;sans-serif"/>
                                      <w:b/>
                                      <w:i w:val="false"/>
                                      <w:caps w:val="false"/>
                                      <w:smallCaps w:val="false"/>
                                      <w:strike w:val="false"/>
                                      <w:dstrike w:val="false"/>
                                      <w:color w:val="8C56EE"/>
                                      <w:sz w:val="22"/>
                                      <w:u w:val="none"/>
                                      <w:effect w:val="none"/>
                                    </w:rPr>
                                    <w:t>$</w:t>
                                  </w:r>
                                  <w:r>
                                    <w:rPr>
                                      <w:rFonts w:ascii="Arial;sans-serif" w:hAnsi="Arial;sans-serif"/>
                                      <w:b/>
                                      <w:i w:val="false"/>
                                      <w:caps w:val="false"/>
                                      <w:smallCaps w:val="false"/>
                                      <w:strike w:val="false"/>
                                      <w:dstrike w:val="false"/>
                                      <w:color w:val="8C56EE"/>
                                      <w:sz w:val="22"/>
                                      <w:u w:val="none"/>
                                      <w:effect w:val="none"/>
                                      <w:shd w:fill="FFFFFF" w:val="clear"/>
                                    </w:rPr>
                                    <w:t>323</w:t>
                                  </w:r>
                                  <w:r>
                                    <w:rPr>
                                      <w:caps w:val="false"/>
                                      <w:smallCaps w:val="false"/>
                                      <w:strike w:val="false"/>
                                      <w:dstrike w:val="false"/>
                                      <w:u w:val="none"/>
                                      <w:effect w:val="none"/>
                                      <w:shd w:fill="FFFFFF" w:val="clear"/>
                                    </w:rPr>
                                    <w:t xml:space="preserve"> </w:t>
                                  </w:r>
                                  <w:r>
                                    <w:rPr>
                                      <w:rFonts w:ascii="Arial;sans-serif" w:hAnsi="Arial;sans-serif"/>
                                      <w:b/>
                                      <w:i w:val="false"/>
                                      <w:caps w:val="false"/>
                                      <w:smallCaps w:val="false"/>
                                      <w:strike w:val="false"/>
                                      <w:dstrike w:val="false"/>
                                      <w:color w:val="8C56EE"/>
                                      <w:sz w:val="22"/>
                                      <w:u w:val="none"/>
                                      <w:effect w:val="none"/>
                                    </w:rPr>
                                    <w:t>million</w:t>
                                  </w:r>
                                  <w:r>
                                    <w:rPr>
                                      <w:caps w:val="false"/>
                                      <w:smallCaps w:val="false"/>
                                    </w:rPr>
                                    <w:t xml:space="preserve"> </w:t>
                                  </w:r>
                                  <w:r>
                                    <w:rPr>
                                      <w:rFonts w:ascii="Arial;sans-serif" w:hAnsi="Arial;sans-serif"/>
                                      <w:b w:val="false"/>
                                      <w:i w:val="false"/>
                                      <w:caps w:val="false"/>
                                      <w:smallCaps w:val="false"/>
                                      <w:sz w:val="22"/>
                                    </w:rPr>
                                    <w:t xml:space="preserve">through repurchases of </w:t>
                                  </w:r>
                                </w:p>
                                <w:p>
                                  <w:pPr>
                                    <w:pStyle w:val="TableContents"/>
                                    <w:bidi w:val="0"/>
                                    <w:spacing w:lineRule="atLeast" w:line="160" w:before="0" w:after="0"/>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 xml:space="preserve">common stock. </w:t>
                                  </w:r>
                                </w:p>
                              </w:tc>
                              <w:tc>
                                <w:tcPr>
                                  <w:tcW w:w="3926" w:type="dxa"/>
                                  <w:vMerge w:val="continue"/>
                                  <w:tcBorders/>
                                  <w:vAlign w:val="center"/>
                                </w:tcPr>
                                <w:p>
                                  <w:pPr>
                                    <w:pStyle w:val="Normal"/>
                                    <w:bidi w:val="0"/>
                                    <w:jc w:val="left"/>
                                    <w:rPr/>
                                  </w:pPr>
                                  <w:r>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60.25pt;height:355.45pt;mso-wrap-distance-left:0pt;mso-wrap-distance-right:0pt;mso-wrap-distance-top:0pt;mso-wrap-distance-bottom:0pt;margin-top:0pt;mso-position-vertical:top;mso-position-vertical-relative:text;margin-left:28.8pt;mso-position-horizontal-relative:page">
                <v:textbox>
                  <w:txbxContent>
                    <w:tbl>
                      <w:tblPr>
                        <w:tblW w:w="11437" w:type="dxa"/>
                        <w:jc w:val="left"/>
                        <w:tblInd w:w="0" w:type="dxa"/>
                        <w:tblLayout w:type="fixed"/>
                        <w:tblCellMar>
                          <w:top w:w="28" w:type="dxa"/>
                          <w:left w:w="28" w:type="dxa"/>
                          <w:bottom w:w="28" w:type="dxa"/>
                          <w:right w:w="28" w:type="dxa"/>
                        </w:tblCellMar>
                      </w:tblPr>
                      <w:tblGrid>
                        <w:gridCol w:w="7511"/>
                        <w:gridCol w:w="3926"/>
                      </w:tblGrid>
                      <w:tr>
                        <w:trPr/>
                        <w:tc>
                          <w:tcPr>
                            <w:tcW w:w="7511" w:type="dxa"/>
                            <w:tcBorders/>
                            <w:vAlign w:val="center"/>
                          </w:tcPr>
                          <w:p>
                            <w:pPr>
                              <w:pStyle w:val="TableContents"/>
                              <w:bidi w:val="0"/>
                              <w:spacing w:before="0" w:after="283"/>
                              <w:jc w:val="left"/>
                              <w:rPr>
                                <w:sz w:val="4"/>
                                <w:szCs w:val="4"/>
                              </w:rPr>
                            </w:pPr>
                            <w:r>
                              <w:rPr>
                                <w:sz w:val="4"/>
                                <w:szCs w:val="4"/>
                              </w:rPr>
                            </w:r>
                          </w:p>
                        </w:tc>
                        <w:tc>
                          <w:tcPr>
                            <w:tcW w:w="3926" w:type="dxa"/>
                            <w:tcBorders/>
                            <w:vAlign w:val="center"/>
                          </w:tcPr>
                          <w:p>
                            <w:pPr>
                              <w:pStyle w:val="TableContents"/>
                              <w:bidi w:val="0"/>
                              <w:spacing w:before="0" w:after="283"/>
                              <w:jc w:val="left"/>
                              <w:rPr>
                                <w:sz w:val="4"/>
                                <w:szCs w:val="4"/>
                              </w:rPr>
                            </w:pPr>
                            <w:r>
                              <w:rPr>
                                <w:sz w:val="4"/>
                                <w:szCs w:val="4"/>
                              </w:rPr>
                            </w:r>
                          </w:p>
                        </w:tc>
                      </w:tr>
                      <w:tr>
                        <w:trPr/>
                        <w:tc>
                          <w:tcPr>
                            <w:tcW w:w="7511" w:type="dxa"/>
                            <w:tcBorders/>
                            <w:vAlign w:val="center"/>
                          </w:tcPr>
                          <w:p>
                            <w:pPr>
                              <w:pStyle w:val="TableContents"/>
                              <w:bidi w:val="0"/>
                              <w:spacing w:before="0" w:after="283"/>
                              <w:jc w:val="left"/>
                              <w:rPr>
                                <w:sz w:val="4"/>
                                <w:szCs w:val="4"/>
                              </w:rPr>
                            </w:pPr>
                            <w:r>
                              <w:rPr>
                                <w:sz w:val="4"/>
                                <w:szCs w:val="4"/>
                              </w:rPr>
                            </w:r>
                          </w:p>
                        </w:tc>
                        <w:tc>
                          <w:tcPr>
                            <w:tcW w:w="3926" w:type="dxa"/>
                            <w:vMerge w:val="restart"/>
                            <w:tcBorders/>
                            <w:vAlign w:val="center"/>
                          </w:tcPr>
                          <w:p>
                            <w:pPr>
                              <w:pStyle w:val="TableContents"/>
                              <w:bidi w:val="0"/>
                              <w:spacing w:before="0" w:after="283"/>
                              <w:jc w:val="left"/>
                              <w:rPr>
                                <w:sz w:val="4"/>
                                <w:szCs w:val="4"/>
                              </w:rPr>
                            </w:pPr>
                            <w:r>
                              <w:rPr>
                                <w:sz w:val="4"/>
                                <w:szCs w:val="4"/>
                              </w:rPr>
                            </w:r>
                          </w:p>
                        </w:tc>
                      </w:tr>
                      <w:tr>
                        <w:trPr/>
                        <w:tc>
                          <w:tcPr>
                            <w:tcW w:w="7511" w:type="dxa"/>
                            <w:tcBorders/>
                            <w:vAlign w:val="center"/>
                          </w:tcPr>
                          <w:p>
                            <w:pPr>
                              <w:pStyle w:val="TableContents"/>
                              <w:bidi w:val="0"/>
                              <w:spacing w:lineRule="atLeast" w:line="160" w:before="0" w:after="0"/>
                              <w:jc w:val="left"/>
                              <w:rPr/>
                            </w:pPr>
                            <w:r>
                              <w:rPr>
                                <w:caps w:val="false"/>
                                <w:smallCaps w:val="false"/>
                              </w:rPr>
                              <w:t>•</w:t>
                            </w:r>
                            <w:r>
                              <w:rPr>
                                <w:rFonts w:ascii="Arial;sans-serif" w:hAnsi="Arial;sans-serif"/>
                                <w:b w:val="false"/>
                                <w:i w:val="false"/>
                                <w:caps w:val="false"/>
                                <w:smallCaps w:val="false"/>
                                <w:strike w:val="false"/>
                                <w:dstrike w:val="false"/>
                                <w:sz w:val="22"/>
                                <w:u w:val="none"/>
                                <w:effect w:val="none"/>
                              </w:rPr>
                              <w:t>Third</w:t>
                            </w:r>
                            <w:r>
                              <w:rPr>
                                <w:caps w:val="false"/>
                                <w:smallCaps w:val="false"/>
                                <w:sz w:val="24"/>
                              </w:rPr>
                              <w:t xml:space="preserve"> </w:t>
                            </w:r>
                            <w:r>
                              <w:rPr>
                                <w:rFonts w:ascii="Arial;sans-serif" w:hAnsi="Arial;sans-serif"/>
                                <w:b w:val="false"/>
                                <w:i w:val="false"/>
                                <w:caps w:val="false"/>
                                <w:smallCaps w:val="false"/>
                                <w:sz w:val="22"/>
                              </w:rPr>
                              <w:t xml:space="preserve">quarter </w:t>
                            </w:r>
                            <w:r>
                              <w:rPr>
                                <w:rFonts w:ascii="Arial;sans-serif" w:hAnsi="Arial;sans-serif"/>
                                <w:b w:val="false"/>
                                <w:i w:val="false"/>
                                <w:caps w:val="false"/>
                                <w:smallCaps w:val="false"/>
                                <w:strike w:val="false"/>
                                <w:dstrike w:val="false"/>
                                <w:sz w:val="22"/>
                                <w:u w:val="none"/>
                                <w:effect w:val="none"/>
                              </w:rPr>
                              <w:t>2026</w:t>
                            </w:r>
                            <w:r>
                              <w:rPr>
                                <w:caps w:val="false"/>
                                <w:smallCaps w:val="false"/>
                                <w:sz w:val="24"/>
                              </w:rPr>
                              <w:t xml:space="preserve"> </w:t>
                            </w:r>
                            <w:r>
                              <w:rPr>
                                <w:rFonts w:ascii="Arial;sans-serif" w:hAnsi="Arial;sans-serif"/>
                                <w:b w:val="false"/>
                                <w:i w:val="false"/>
                                <w:caps w:val="false"/>
                                <w:smallCaps w:val="false"/>
                                <w:sz w:val="22"/>
                              </w:rPr>
                              <w:t>net revenue</w:t>
                            </w:r>
                            <w:r>
                              <w:rPr>
                                <w:rFonts w:ascii="Arial;sans-serif" w:hAnsi="Arial;sans-serif"/>
                                <w:b w:val="false"/>
                                <w:i w:val="false"/>
                                <w:caps w:val="false"/>
                                <w:smallCaps w:val="false"/>
                                <w:sz w:val="14"/>
                              </w:rPr>
                              <w:t>1</w:t>
                            </w:r>
                            <w:r>
                              <w:rPr>
                                <w:caps w:val="false"/>
                                <w:smallCaps w:val="false"/>
                                <w:sz w:val="24"/>
                              </w:rPr>
                              <w:t xml:space="preserve"> </w:t>
                            </w:r>
                            <w:r>
                              <w:rPr>
                                <w:rFonts w:ascii="Arial;sans-serif" w:hAnsi="Arial;sans-serif"/>
                                <w:b w:val="false"/>
                                <w:i w:val="false"/>
                                <w:caps w:val="false"/>
                                <w:smallCaps w:val="false"/>
                                <w:sz w:val="22"/>
                              </w:rPr>
                              <w:t>was</w:t>
                            </w:r>
                            <w:r>
                              <w:rPr>
                                <w:caps w:val="false"/>
                                <w:smallCaps w:val="false"/>
                                <w:sz w:val="24"/>
                              </w:rPr>
                              <w:t xml:space="preserve"> </w:t>
                            </w:r>
                            <w:r>
                              <w:rPr>
                                <w:rFonts w:ascii="Arial;sans-serif" w:hAnsi="Arial;sans-serif"/>
                                <w:b/>
                                <w:i w:val="false"/>
                                <w:caps w:val="false"/>
                                <w:smallCaps w:val="false"/>
                                <w:strike w:val="false"/>
                                <w:dstrike w:val="false"/>
                                <w:color w:val="8C56EE"/>
                                <w:sz w:val="22"/>
                                <w:u w:val="none"/>
                                <w:effect w:val="none"/>
                              </w:rPr>
                              <w:t>$1.5</w:t>
                            </w:r>
                            <w:r>
                              <w:rPr>
                                <w:caps w:val="false"/>
                                <w:smallCaps w:val="false"/>
                                <w:strike w:val="false"/>
                                <w:dstrike w:val="false"/>
                                <w:color w:val="8C56EE"/>
                                <w:sz w:val="24"/>
                                <w:u w:val="none"/>
                                <w:effect w:val="none"/>
                              </w:rPr>
                              <w:t xml:space="preserve"> </w:t>
                            </w:r>
                            <w:r>
                              <w:rPr>
                                <w:rFonts w:ascii="Arial;sans-serif" w:hAnsi="Arial;sans-serif"/>
                                <w:b/>
                                <w:i w:val="false"/>
                                <w:caps w:val="false"/>
                                <w:smallCaps w:val="false"/>
                                <w:strike w:val="false"/>
                                <w:dstrike w:val="false"/>
                                <w:color w:val="8C56EE"/>
                                <w:sz w:val="22"/>
                                <w:u w:val="none"/>
                                <w:effect w:val="none"/>
                              </w:rPr>
                              <w:t>billion</w:t>
                            </w:r>
                            <w:r>
                              <w:rPr>
                                <w:rFonts w:ascii="Arial;sans-serif" w:hAnsi="Arial;sans-serif"/>
                                <w:b w:val="false"/>
                                <w:i w:val="false"/>
                                <w:caps w:val="false"/>
                                <w:smallCaps w:val="false"/>
                                <w:sz w:val="22"/>
                              </w:rPr>
                              <w:t xml:space="preserve">, an increase of </w:t>
                            </w:r>
                            <w:r>
                              <w:rPr>
                                <w:rFonts w:ascii="Arial;sans-serif" w:hAnsi="Arial;sans-serif"/>
                                <w:b/>
                                <w:i w:val="false"/>
                                <w:caps w:val="false"/>
                                <w:smallCaps w:val="false"/>
                                <w:strike w:val="false"/>
                                <w:dstrike w:val="false"/>
                                <w:color w:val="8C56EE"/>
                                <w:sz w:val="22"/>
                                <w:u w:val="none"/>
                                <w:effect w:val="none"/>
                              </w:rPr>
                              <w:t>13%</w:t>
                            </w:r>
                            <w:r>
                              <w:rPr>
                                <w:caps w:val="false"/>
                                <w:smallCaps w:val="false"/>
                                <w:strike w:val="false"/>
                                <w:dstrike w:val="false"/>
                                <w:color w:val="8C56EE"/>
                                <w:sz w:val="24"/>
                                <w:u w:val="none"/>
                                <w:effect w:val="none"/>
                              </w:rPr>
                              <w:t xml:space="preserve"> </w:t>
                            </w:r>
                          </w:p>
                          <w:p>
                            <w:pPr>
                              <w:pStyle w:val="TableContents"/>
                              <w:bidi w:val="0"/>
                              <w:spacing w:lineRule="atLeast" w:line="160" w:before="0" w:after="0"/>
                              <w:jc w:val="left"/>
                              <w:rPr>
                                <w:sz w:val="24"/>
                              </w:rPr>
                            </w:pPr>
                            <w:r>
                              <w:rPr>
                                <w:rFonts w:ascii="Arial;sans-serif" w:hAnsi="Arial;sans-serif"/>
                                <w:b w:val="false"/>
                                <w:i w:val="false"/>
                                <w:caps w:val="false"/>
                                <w:smallCaps w:val="false"/>
                                <w:sz w:val="22"/>
                              </w:rPr>
                              <w:t xml:space="preserve">over the </w:t>
                            </w:r>
                            <w:r>
                              <w:rPr>
                                <w:rFonts w:ascii="Arial;sans-serif" w:hAnsi="Arial;sans-serif"/>
                                <w:b w:val="false"/>
                                <w:i w:val="false"/>
                                <w:caps w:val="false"/>
                                <w:smallCaps w:val="false"/>
                                <w:strike w:val="false"/>
                                <w:dstrike w:val="false"/>
                                <w:sz w:val="22"/>
                                <w:u w:val="none"/>
                                <w:effect w:val="none"/>
                              </w:rPr>
                              <w:t>third</w:t>
                            </w:r>
                            <w:r>
                              <w:rPr>
                                <w:caps w:val="false"/>
                                <w:smallCaps w:val="false"/>
                                <w:sz w:val="24"/>
                              </w:rPr>
                              <w:t xml:space="preserve"> </w:t>
                            </w:r>
                            <w:r>
                              <w:rPr>
                                <w:rFonts w:ascii="Arial;sans-serif" w:hAnsi="Arial;sans-serif"/>
                                <w:b w:val="false"/>
                                <w:i w:val="false"/>
                                <w:caps w:val="false"/>
                                <w:smallCaps w:val="false"/>
                                <w:sz w:val="22"/>
                              </w:rPr>
                              <w:t xml:space="preserve">quarter of </w:t>
                            </w:r>
                            <w:r>
                              <w:rPr>
                                <w:rFonts w:ascii="Arial;sans-serif" w:hAnsi="Arial;sans-serif"/>
                                <w:b w:val="false"/>
                                <w:i w:val="false"/>
                                <w:caps w:val="false"/>
                                <w:smallCaps w:val="false"/>
                                <w:strike w:val="false"/>
                                <w:dstrike w:val="false"/>
                                <w:sz w:val="22"/>
                                <w:u w:val="none"/>
                                <w:effect w:val="none"/>
                              </w:rPr>
                              <w:t>2025</w:t>
                            </w:r>
                            <w:r>
                              <w:rPr>
                                <w:rFonts w:ascii="Arial;sans-serif" w:hAnsi="Arial;sans-serif"/>
                                <w:b w:val="false"/>
                                <w:i w:val="false"/>
                                <w:caps w:val="false"/>
                                <w:smallCaps w:val="false"/>
                                <w:sz w:val="22"/>
                              </w:rPr>
                              <w:t xml:space="preserve">, or </w:t>
                            </w:r>
                            <w:r>
                              <w:rPr>
                                <w:rFonts w:ascii="Arial;sans-serif" w:hAnsi="Arial;sans-serif"/>
                                <w:b/>
                                <w:i w:val="false"/>
                                <w:caps w:val="false"/>
                                <w:smallCaps w:val="false"/>
                                <w:strike w:val="false"/>
                                <w:dstrike w:val="false"/>
                                <w:color w:val="8C56EE"/>
                                <w:sz w:val="22"/>
                                <w:u w:val="none"/>
                                <w:effect w:val="none"/>
                              </w:rPr>
                              <w:t>14%</w:t>
                            </w:r>
                            <w:r>
                              <w:rPr>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 xml:space="preserve">on an </w:t>
                            </w:r>
                            <w:r>
                              <w:rPr>
                                <w:rFonts w:ascii="Arial;sans-serif" w:hAnsi="Arial;sans-serif"/>
                                <w:b w:val="false"/>
                                <w:i w:val="false"/>
                                <w:caps w:val="false"/>
                                <w:smallCaps w:val="false"/>
                                <w:sz w:val="22"/>
                              </w:rPr>
                              <w:t>organic</w:t>
                            </w:r>
                            <w:r>
                              <w:rPr>
                                <w:rFonts w:ascii="Arial;sans-serif" w:hAnsi="Arial;sans-serif"/>
                                <w:b w:val="false"/>
                                <w:i w:val="false"/>
                                <w:caps w:val="false"/>
                                <w:smallCaps w:val="false"/>
                                <w:sz w:val="14"/>
                              </w:rPr>
                              <w:t>2</w:t>
                            </w:r>
                            <w:r>
                              <w:rPr>
                                <w:caps w:val="false"/>
                                <w:smallCaps w:val="false"/>
                                <w:sz w:val="24"/>
                              </w:rPr>
                              <w:t xml:space="preserve"> </w:t>
                            </w:r>
                            <w:r>
                              <w:rPr>
                                <w:rFonts w:ascii="Arial;sans-serif" w:hAnsi="Arial;sans-serif"/>
                                <w:b w:val="false"/>
                                <w:i w:val="false"/>
                                <w:caps w:val="false"/>
                                <w:smallCaps w:val="false"/>
                                <w:sz w:val="22"/>
                              </w:rPr>
                              <w:t xml:space="preserve">basis. Solutions </w:t>
                            </w:r>
                          </w:p>
                          <w:p>
                            <w:pPr>
                              <w:pStyle w:val="TableContents"/>
                              <w:bidi w:val="0"/>
                              <w:spacing w:lineRule="atLeast" w:line="160" w:before="0" w:after="0"/>
                              <w:jc w:val="left"/>
                              <w:rPr>
                                <w:sz w:val="24"/>
                              </w:rPr>
                            </w:pPr>
                            <w:r>
                              <w:rPr>
                                <w:rFonts w:ascii="Arial;sans-serif" w:hAnsi="Arial;sans-serif"/>
                                <w:b w:val="false"/>
                                <w:i w:val="false"/>
                                <w:caps w:val="false"/>
                                <w:smallCaps w:val="false"/>
                                <w:sz w:val="22"/>
                              </w:rPr>
                              <w:t>revenue</w:t>
                            </w:r>
                            <w:r>
                              <w:rPr>
                                <w:rFonts w:ascii="Arial;sans-serif" w:hAnsi="Arial;sans-serif"/>
                                <w:b w:val="false"/>
                                <w:i w:val="false"/>
                                <w:caps w:val="false"/>
                                <w:smallCaps w:val="false"/>
                                <w:sz w:val="14"/>
                              </w:rPr>
                              <w:t>3</w:t>
                            </w:r>
                            <w:r>
                              <w:rPr>
                                <w:caps w:val="false"/>
                                <w:smallCaps w:val="false"/>
                                <w:sz w:val="24"/>
                              </w:rPr>
                              <w:t xml:space="preserve"> </w:t>
                            </w:r>
                            <w:r>
                              <w:rPr>
                                <w:rFonts w:ascii="Arial;sans-serif" w:hAnsi="Arial;sans-serif"/>
                                <w:b w:val="false"/>
                                <w:i w:val="false"/>
                                <w:caps w:val="false"/>
                                <w:smallCaps w:val="false"/>
                                <w:sz w:val="22"/>
                              </w:rPr>
                              <w:t xml:space="preserve">increased </w:t>
                            </w:r>
                            <w:r>
                              <w:rPr>
                                <w:rFonts w:ascii="Arial;sans-serif" w:hAnsi="Arial;sans-serif"/>
                                <w:b/>
                                <w:i w:val="false"/>
                                <w:caps w:val="false"/>
                                <w:smallCaps w:val="false"/>
                                <w:strike w:val="false"/>
                                <w:dstrike w:val="false"/>
                                <w:color w:val="8C56EE"/>
                                <w:sz w:val="22"/>
                                <w:u w:val="none"/>
                                <w:effect w:val="none"/>
                              </w:rPr>
                              <w:t>17%</w:t>
                            </w:r>
                            <w:r>
                              <w:rPr>
                                <w:rFonts w:ascii="Arial;sans-serif" w:hAnsi="Arial;sans-serif"/>
                                <w:b w:val="false"/>
                                <w:i w:val="false"/>
                                <w:caps w:val="false"/>
                                <w:smallCaps w:val="false"/>
                                <w:sz w:val="22"/>
                              </w:rPr>
                              <w:t xml:space="preserve">, or </w:t>
                            </w:r>
                            <w:r>
                              <w:rPr>
                                <w:rFonts w:ascii="Arial;sans-serif" w:hAnsi="Arial;sans-serif"/>
                                <w:b/>
                                <w:i w:val="false"/>
                                <w:caps w:val="false"/>
                                <w:smallCaps w:val="false"/>
                                <w:strike w:val="false"/>
                                <w:dstrike w:val="false"/>
                                <w:color w:val="8C56EE"/>
                                <w:sz w:val="22"/>
                                <w:u w:val="none"/>
                                <w:effect w:val="none"/>
                              </w:rPr>
                              <w:t>18%</w:t>
                            </w:r>
                            <w:r>
                              <w:rPr>
                                <w:caps w:val="false"/>
                                <w:smallCaps w:val="false"/>
                                <w:sz w:val="24"/>
                              </w:rPr>
                              <w:t xml:space="preserve"> </w:t>
                            </w:r>
                            <w:r>
                              <w:rPr>
                                <w:rFonts w:ascii="Arial;sans-serif" w:hAnsi="Arial;sans-serif"/>
                                <w:b w:val="false"/>
                                <w:i w:val="false"/>
                                <w:caps w:val="false"/>
                                <w:smallCaps w:val="false"/>
                                <w:sz w:val="22"/>
                              </w:rPr>
                              <w:t>on an organic basis.</w:t>
                            </w:r>
                          </w:p>
                        </w:tc>
                        <w:tc>
                          <w:tcPr>
                            <w:tcW w:w="3926" w:type="dxa"/>
                            <w:vMerge w:val="continue"/>
                            <w:tcBorders/>
                            <w:vAlign w:val="center"/>
                          </w:tcPr>
                          <w:p>
                            <w:pPr>
                              <w:pStyle w:val="Normal"/>
                              <w:bidi w:val="0"/>
                              <w:jc w:val="left"/>
                              <w:rPr/>
                            </w:pPr>
                            <w:r>
                              <w:rPr/>
                            </w:r>
                          </w:p>
                        </w:tc>
                      </w:tr>
                      <w:tr>
                        <w:trPr/>
                        <w:tc>
                          <w:tcPr>
                            <w:tcW w:w="7511" w:type="dxa"/>
                            <w:tcBorders/>
                            <w:vAlign w:val="center"/>
                          </w:tcPr>
                          <w:p>
                            <w:pPr>
                              <w:pStyle w:val="TableContents"/>
                              <w:bidi w:val="0"/>
                              <w:spacing w:lineRule="atLeast" w:line="160" w:before="0" w:after="0"/>
                              <w:jc w:val="left"/>
                              <w:rPr/>
                            </w:pPr>
                            <w:r>
                              <w:rPr>
                                <w:caps w:val="false"/>
                                <w:smallCaps w:val="false"/>
                              </w:rPr>
                              <w:t>•</w:t>
                            </w:r>
                            <w:r>
                              <w:rPr>
                                <w:rFonts w:ascii="Arial;sans-serif" w:hAnsi="Arial;sans-serif"/>
                                <w:b w:val="false"/>
                                <w:i w:val="false"/>
                                <w:caps w:val="false"/>
                                <w:smallCaps w:val="false"/>
                                <w:sz w:val="22"/>
                              </w:rPr>
                              <w:t>Annualized Recurring Revenue (ARR)</w:t>
                            </w:r>
                            <w:r>
                              <w:rPr>
                                <w:rFonts w:ascii="Arial;sans-serif" w:hAnsi="Arial;sans-serif"/>
                                <w:b w:val="false"/>
                                <w:i w:val="false"/>
                                <w:caps w:val="false"/>
                                <w:smallCaps w:val="false"/>
                                <w:sz w:val="14"/>
                              </w:rPr>
                              <w:t>3,4</w:t>
                            </w:r>
                            <w:r>
                              <w:rPr>
                                <w:caps w:val="false"/>
                                <w:smallCaps w:val="false"/>
                                <w:sz w:val="24"/>
                              </w:rPr>
                              <w:t xml:space="preserve"> </w:t>
                            </w:r>
                            <w:r>
                              <w:rPr>
                                <w:rFonts w:ascii="Arial;sans-serif" w:hAnsi="Arial;sans-serif"/>
                                <w:b w:val="false"/>
                                <w:i w:val="false"/>
                                <w:caps w:val="false"/>
                                <w:smallCaps w:val="false"/>
                                <w:sz w:val="22"/>
                              </w:rPr>
                              <w:t xml:space="preserve">of </w:t>
                            </w:r>
                            <w:r>
                              <w:rPr>
                                <w:rFonts w:ascii="Arial;sans-serif" w:hAnsi="Arial;sans-serif"/>
                                <w:b/>
                                <w:i w:val="false"/>
                                <w:caps w:val="false"/>
                                <w:smallCaps w:val="false"/>
                                <w:strike w:val="false"/>
                                <w:dstrike w:val="false"/>
                                <w:color w:val="8C56EE"/>
                                <w:sz w:val="22"/>
                                <w:u w:val="none"/>
                                <w:effect w:val="none"/>
                              </w:rPr>
                              <w:t>$3.4</w:t>
                            </w:r>
                            <w:r>
                              <w:rPr>
                                <w:caps w:val="false"/>
                                <w:smallCaps w:val="false"/>
                                <w:strike w:val="false"/>
                                <w:dstrike w:val="false"/>
                                <w:color w:val="8C56EE"/>
                                <w:sz w:val="24"/>
                                <w:u w:val="none"/>
                                <w:effect w:val="none"/>
                              </w:rPr>
                              <w:t xml:space="preserve"> </w:t>
                            </w:r>
                            <w:r>
                              <w:rPr>
                                <w:rFonts w:ascii="Arial;sans-serif" w:hAnsi="Arial;sans-serif"/>
                                <w:b/>
                                <w:i w:val="false"/>
                                <w:caps w:val="false"/>
                                <w:smallCaps w:val="false"/>
                                <w:strike w:val="false"/>
                                <w:dstrike w:val="false"/>
                                <w:color w:val="8C56EE"/>
                                <w:sz w:val="22"/>
                                <w:u w:val="none"/>
                                <w:effect w:val="none"/>
                              </w:rPr>
                              <w:t>billion</w:t>
                            </w:r>
                            <w:r>
                              <w:rPr>
                                <w:caps w:val="false"/>
                                <w:smallCaps w:val="false"/>
                                <w:sz w:val="24"/>
                              </w:rPr>
                              <w:t xml:space="preserve"> </w:t>
                            </w:r>
                            <w:r>
                              <w:rPr>
                                <w:rFonts w:ascii="Arial;sans-serif" w:hAnsi="Arial;sans-serif"/>
                                <w:b w:val="false"/>
                                <w:i w:val="false"/>
                                <w:caps w:val="false"/>
                                <w:smallCaps w:val="false"/>
                                <w:sz w:val="22"/>
                              </w:rPr>
                              <w:t>increased</w:t>
                            </w:r>
                            <w:r>
                              <w:rPr>
                                <w:caps w:val="false"/>
                                <w:smallCaps w:val="false"/>
                                <w:strike w:val="false"/>
                                <w:dstrike w:val="false"/>
                                <w:sz w:val="24"/>
                                <w:u w:val="none"/>
                                <w:effect w:val="none"/>
                                <w:shd w:fill="FFFFFF" w:val="clear"/>
                              </w:rPr>
                              <w:t xml:space="preserve"> </w:t>
                            </w:r>
                            <w:r>
                              <w:rPr>
                                <w:rFonts w:ascii="Arial;sans-serif" w:hAnsi="Arial;sans-serif"/>
                                <w:b/>
                                <w:i w:val="false"/>
                                <w:caps w:val="false"/>
                                <w:smallCaps w:val="false"/>
                                <w:strike w:val="false"/>
                                <w:dstrike w:val="false"/>
                                <w:color w:val="8C56EE"/>
                                <w:sz w:val="22"/>
                                <w:u w:val="none"/>
                                <w:effect w:val="none"/>
                              </w:rPr>
                              <w:t>12%</w:t>
                            </w:r>
                            <w:r>
                              <w:rPr>
                                <w:caps w:val="false"/>
                                <w:smallCaps w:val="false"/>
                                <w:strike w:val="false"/>
                                <w:dstrike w:val="false"/>
                                <w:sz w:val="24"/>
                                <w:u w:val="none"/>
                                <w:effect w:val="none"/>
                                <w:shd w:fill="FFFFFF" w:val="clear"/>
                              </w:rPr>
                              <w:t xml:space="preserve"> </w:t>
                            </w:r>
                          </w:p>
                          <w:p>
                            <w:pPr>
                              <w:pStyle w:val="TableContents"/>
                              <w:bidi w:val="0"/>
                              <w:spacing w:lineRule="atLeast" w:line="160" w:before="0" w:after="0"/>
                              <w:jc w:val="left"/>
                              <w:rPr>
                                <w:sz w:val="24"/>
                              </w:rPr>
                            </w:pPr>
                            <w:r>
                              <w:rPr>
                                <w:rFonts w:ascii="Arial;sans-serif" w:hAnsi="Arial;sans-serif"/>
                                <w:b w:val="false"/>
                                <w:i w:val="false"/>
                                <w:caps w:val="false"/>
                                <w:smallCaps w:val="false"/>
                                <w:sz w:val="22"/>
                              </w:rPr>
                              <w:t xml:space="preserve">on a reported basis over the </w:t>
                            </w:r>
                            <w:r>
                              <w:rPr>
                                <w:rFonts w:ascii="Arial;sans-serif" w:hAnsi="Arial;sans-serif"/>
                                <w:b w:val="false"/>
                                <w:i w:val="false"/>
                                <w:caps w:val="false"/>
                                <w:smallCaps w:val="false"/>
                                <w:strike w:val="false"/>
                                <w:dstrike w:val="false"/>
                                <w:sz w:val="22"/>
                                <w:u w:val="none"/>
                                <w:effect w:val="none"/>
                              </w:rPr>
                              <w:t>third</w:t>
                            </w:r>
                            <w:r>
                              <w:rPr>
                                <w:caps w:val="false"/>
                                <w:smallCaps w:val="false"/>
                                <w:sz w:val="24"/>
                              </w:rPr>
                              <w:t xml:space="preserve"> </w:t>
                            </w:r>
                            <w:r>
                              <w:rPr>
                                <w:rFonts w:ascii="Arial;sans-serif" w:hAnsi="Arial;sans-serif"/>
                                <w:b w:val="false"/>
                                <w:i w:val="false"/>
                                <w:caps w:val="false"/>
                                <w:smallCaps w:val="false"/>
                                <w:sz w:val="22"/>
                              </w:rPr>
                              <w:t xml:space="preserve">quarter of </w:t>
                            </w:r>
                            <w:r>
                              <w:rPr>
                                <w:rFonts w:ascii="Arial;sans-serif" w:hAnsi="Arial;sans-serif"/>
                                <w:b w:val="false"/>
                                <w:i w:val="false"/>
                                <w:caps w:val="false"/>
                                <w:smallCaps w:val="false"/>
                                <w:strike w:val="false"/>
                                <w:dstrike w:val="false"/>
                                <w:sz w:val="22"/>
                                <w:u w:val="none"/>
                                <w:effect w:val="none"/>
                              </w:rPr>
                              <w:t>2025</w:t>
                            </w:r>
                            <w:r>
                              <w:rPr>
                                <w:rFonts w:ascii="Arial;sans-serif" w:hAnsi="Arial;sans-serif"/>
                                <w:b w:val="false"/>
                                <w:i w:val="false"/>
                                <w:caps w:val="false"/>
                                <w:smallCaps w:val="false"/>
                                <w:sz w:val="22"/>
                              </w:rPr>
                              <w:t xml:space="preserve">, or </w:t>
                            </w:r>
                            <w:r>
                              <w:rPr>
                                <w:rFonts w:ascii="Arial;sans-serif" w:hAnsi="Arial;sans-serif"/>
                                <w:b/>
                                <w:i w:val="false"/>
                                <w:caps w:val="false"/>
                                <w:smallCaps w:val="false"/>
                                <w:strike w:val="false"/>
                                <w:dstrike w:val="false"/>
                                <w:color w:val="8C56EE"/>
                                <w:sz w:val="22"/>
                                <w:u w:val="none"/>
                                <w:effect w:val="none"/>
                              </w:rPr>
                              <w:t>14%</w:t>
                            </w:r>
                            <w:r>
                              <w:rPr>
                                <w:caps w:val="false"/>
                                <w:smallCaps w:val="false"/>
                                <w:sz w:val="24"/>
                              </w:rPr>
                              <w:t xml:space="preserve"> </w:t>
                            </w:r>
                            <w:r>
                              <w:rPr>
                                <w:rFonts w:ascii="Arial;sans-serif" w:hAnsi="Arial;sans-serif"/>
                                <w:b w:val="false"/>
                                <w:i w:val="false"/>
                                <w:caps w:val="false"/>
                                <w:smallCaps w:val="false"/>
                                <w:sz w:val="22"/>
                              </w:rPr>
                              <w:t xml:space="preserve">on an organic </w:t>
                            </w:r>
                          </w:p>
                          <w:p>
                            <w:pPr>
                              <w:pStyle w:val="TableContents"/>
                              <w:bidi w:val="0"/>
                              <w:spacing w:lineRule="atLeast" w:line="160" w:before="0" w:after="0"/>
                              <w:jc w:val="left"/>
                              <w:rPr>
                                <w:sz w:val="24"/>
                              </w:rPr>
                            </w:pPr>
                            <w:r>
                              <w:rPr>
                                <w:rFonts w:ascii="Arial;sans-serif" w:hAnsi="Arial;sans-serif"/>
                                <w:b w:val="false"/>
                                <w:i w:val="false"/>
                                <w:caps w:val="false"/>
                                <w:smallCaps w:val="false"/>
                                <w:sz w:val="22"/>
                              </w:rPr>
                              <w:t xml:space="preserve">basis. Annualized SaaS revenue increased </w:t>
                            </w:r>
                            <w:r>
                              <w:rPr>
                                <w:rFonts w:ascii="Arial;sans-serif" w:hAnsi="Arial;sans-serif"/>
                                <w:b/>
                                <w:i w:val="false"/>
                                <w:caps w:val="false"/>
                                <w:smallCaps w:val="false"/>
                                <w:strike w:val="false"/>
                                <w:dstrike w:val="false"/>
                                <w:color w:val="8C56EE"/>
                                <w:sz w:val="22"/>
                                <w:u w:val="none"/>
                                <w:effect w:val="none"/>
                              </w:rPr>
                              <w:t>12%</w:t>
                            </w:r>
                            <w:r>
                              <w:rPr>
                                <w:rFonts w:ascii="Arial;sans-serif" w:hAnsi="Arial;sans-serif"/>
                                <w:b w:val="false"/>
                                <w:i w:val="false"/>
                                <w:caps w:val="false"/>
                                <w:smallCaps w:val="false"/>
                                <w:sz w:val="22"/>
                              </w:rPr>
                              <w:t xml:space="preserve">, or </w:t>
                            </w:r>
                            <w:r>
                              <w:rPr>
                                <w:rFonts w:ascii="Arial;sans-serif" w:hAnsi="Arial;sans-serif"/>
                                <w:b/>
                                <w:i w:val="false"/>
                                <w:caps w:val="false"/>
                                <w:smallCaps w:val="false"/>
                                <w:strike w:val="false"/>
                                <w:dstrike w:val="false"/>
                                <w:color w:val="8C56EE"/>
                                <w:sz w:val="22"/>
                                <w:u w:val="none"/>
                                <w:effect w:val="none"/>
                              </w:rPr>
                              <w:t>16%</w:t>
                            </w:r>
                            <w:r>
                              <w:rPr>
                                <w:caps w:val="false"/>
                                <w:smallCaps w:val="false"/>
                                <w:sz w:val="24"/>
                              </w:rPr>
                              <w:t xml:space="preserve"> </w:t>
                            </w:r>
                            <w:r>
                              <w:rPr>
                                <w:rFonts w:ascii="Arial;sans-serif" w:hAnsi="Arial;sans-serif"/>
                                <w:b w:val="false"/>
                                <w:i w:val="false"/>
                                <w:caps w:val="false"/>
                                <w:smallCaps w:val="false"/>
                                <w:sz w:val="22"/>
                              </w:rPr>
                              <w:t xml:space="preserve">on an organic </w:t>
                            </w:r>
                          </w:p>
                          <w:p>
                            <w:pPr>
                              <w:pStyle w:val="TableContents"/>
                              <w:bidi w:val="0"/>
                              <w:spacing w:lineRule="atLeast" w:line="160" w:before="0" w:after="0"/>
                              <w:jc w:val="left"/>
                              <w:rPr>
                                <w:sz w:val="24"/>
                              </w:rPr>
                            </w:pPr>
                            <w:r>
                              <w:rPr>
                                <w:rFonts w:ascii="Arial;sans-serif" w:hAnsi="Arial;sans-serif"/>
                                <w:b w:val="false"/>
                                <w:i w:val="false"/>
                                <w:caps w:val="false"/>
                                <w:smallCaps w:val="false"/>
                                <w:sz w:val="22"/>
                              </w:rPr>
                              <w:t xml:space="preserve">basis, and represented </w:t>
                            </w:r>
                            <w:r>
                              <w:rPr>
                                <w:rFonts w:ascii="Arial;sans-serif" w:hAnsi="Arial;sans-serif"/>
                                <w:b/>
                                <w:i w:val="false"/>
                                <w:caps w:val="false"/>
                                <w:smallCaps w:val="false"/>
                                <w:strike w:val="false"/>
                                <w:dstrike w:val="false"/>
                                <w:color w:val="8C56EE"/>
                                <w:sz w:val="22"/>
                                <w:u w:val="none"/>
                                <w:effect w:val="none"/>
                              </w:rPr>
                              <w:t>38%</w:t>
                            </w:r>
                            <w:r>
                              <w:rPr>
                                <w:caps w:val="false"/>
                                <w:smallCaps w:val="false"/>
                                <w:sz w:val="24"/>
                              </w:rPr>
                              <w:t xml:space="preserve"> </w:t>
                            </w:r>
                            <w:r>
                              <w:rPr>
                                <w:rFonts w:ascii="Arial;sans-serif" w:hAnsi="Arial;sans-serif"/>
                                <w:b w:val="false"/>
                                <w:i w:val="false"/>
                                <w:caps w:val="false"/>
                                <w:smallCaps w:val="false"/>
                                <w:sz w:val="22"/>
                              </w:rPr>
                              <w:t xml:space="preserve">of ARR. </w:t>
                            </w:r>
                          </w:p>
                        </w:tc>
                        <w:tc>
                          <w:tcPr>
                            <w:tcW w:w="3926" w:type="dxa"/>
                            <w:vMerge w:val="continue"/>
                            <w:tcBorders/>
                            <w:vAlign w:val="center"/>
                          </w:tcPr>
                          <w:p>
                            <w:pPr>
                              <w:pStyle w:val="Normal"/>
                              <w:bidi w:val="0"/>
                              <w:jc w:val="left"/>
                              <w:rPr/>
                            </w:pPr>
                            <w:r>
                              <w:rPr/>
                            </w:r>
                          </w:p>
                        </w:tc>
                      </w:tr>
                      <w:tr>
                        <w:trPr/>
                        <w:tc>
                          <w:tcPr>
                            <w:tcW w:w="7511" w:type="dxa"/>
                            <w:tcBorders/>
                            <w:vAlign w:val="center"/>
                          </w:tcPr>
                          <w:p>
                            <w:pPr>
                              <w:pStyle w:val="TableContents"/>
                              <w:bidi w:val="0"/>
                              <w:spacing w:lineRule="atLeast" w:line="160" w:before="0" w:after="0"/>
                              <w:jc w:val="left"/>
                              <w:rPr/>
                            </w:pPr>
                            <w:r>
                              <w:rPr>
                                <w:caps w:val="false"/>
                                <w:smallCaps w:val="false"/>
                              </w:rPr>
                              <w:t>•</w:t>
                            </w:r>
                            <w:r>
                              <w:rPr>
                                <w:rFonts w:ascii="Arial;sans-serif" w:hAnsi="Arial;sans-serif"/>
                                <w:b w:val="false"/>
                                <w:i w:val="false"/>
                                <w:caps w:val="false"/>
                                <w:smallCaps w:val="false"/>
                                <w:sz w:val="22"/>
                              </w:rPr>
                              <w:t xml:space="preserve">Financial Technology revenue was </w:t>
                            </w:r>
                            <w:r>
                              <w:rPr>
                                <w:rFonts w:ascii="Arial;sans-serif" w:hAnsi="Arial;sans-serif"/>
                                <w:b/>
                                <w:i w:val="false"/>
                                <w:caps w:val="false"/>
                                <w:smallCaps w:val="false"/>
                                <w:strike w:val="false"/>
                                <w:dstrike w:val="false"/>
                                <w:color w:val="8C56EE"/>
                                <w:sz w:val="22"/>
                                <w:u w:val="none"/>
                                <w:effect w:val="none"/>
                              </w:rPr>
                              <w:t>$529</w:t>
                            </w:r>
                            <w:r>
                              <w:rPr>
                                <w:caps w:val="false"/>
                                <w:smallCaps w:val="false"/>
                                <w:strike w:val="false"/>
                                <w:dstrike w:val="false"/>
                                <w:color w:val="8C56EE"/>
                                <w:sz w:val="24"/>
                                <w:u w:val="none"/>
                                <w:effect w:val="none"/>
                              </w:rPr>
                              <w:t xml:space="preserve"> </w:t>
                            </w:r>
                            <w:r>
                              <w:rPr>
                                <w:rFonts w:ascii="Arial;sans-serif" w:hAnsi="Arial;sans-serif"/>
                                <w:b/>
                                <w:i w:val="false"/>
                                <w:caps w:val="false"/>
                                <w:smallCaps w:val="false"/>
                                <w:strike w:val="false"/>
                                <w:dstrike w:val="false"/>
                                <w:color w:val="8C56EE"/>
                                <w:sz w:val="22"/>
                                <w:u w:val="none"/>
                                <w:effect w:val="none"/>
                              </w:rPr>
                              <w:t xml:space="preserve">million, </w:t>
                            </w:r>
                            <w:r>
                              <w:rPr>
                                <w:rFonts w:ascii="Arial;sans-serif" w:hAnsi="Arial;sans-serif"/>
                                <w:b w:val="false"/>
                                <w:i w:val="false"/>
                                <w:caps w:val="false"/>
                                <w:smallCaps w:val="false"/>
                                <w:sz w:val="22"/>
                              </w:rPr>
                              <w:t xml:space="preserve">an increase of </w:t>
                            </w:r>
                            <w:r>
                              <w:rPr>
                                <w:rFonts w:ascii="Arial;sans-serif" w:hAnsi="Arial;sans-serif"/>
                                <w:b/>
                                <w:i w:val="false"/>
                                <w:caps w:val="false"/>
                                <w:smallCaps w:val="false"/>
                                <w:strike w:val="false"/>
                                <w:dstrike w:val="false"/>
                                <w:color w:val="8C56EE"/>
                                <w:sz w:val="22"/>
                                <w:u w:val="none"/>
                                <w:effect w:val="none"/>
                              </w:rPr>
                              <w:t>16%</w:t>
                            </w:r>
                            <w:r>
                              <w:rPr>
                                <w:caps w:val="false"/>
                                <w:smallCaps w:val="false"/>
                                <w:sz w:val="24"/>
                              </w:rPr>
                              <w:t xml:space="preserve"> </w:t>
                            </w:r>
                            <w:r>
                              <w:rPr>
                                <w:rFonts w:ascii="Arial;sans-serif" w:hAnsi="Arial;sans-serif"/>
                                <w:b w:val="false"/>
                                <w:i w:val="false"/>
                                <w:caps w:val="false"/>
                                <w:smallCaps w:val="false"/>
                                <w:sz w:val="22"/>
                              </w:rPr>
                              <w:t xml:space="preserve">on </w:t>
                            </w:r>
                          </w:p>
                          <w:p>
                            <w:pPr>
                              <w:pStyle w:val="TableContents"/>
                              <w:bidi w:val="0"/>
                              <w:spacing w:lineRule="atLeast" w:line="160" w:before="0" w:after="0"/>
                              <w:jc w:val="left"/>
                              <w:rPr>
                                <w:sz w:val="24"/>
                              </w:rPr>
                            </w:pPr>
                            <w:r>
                              <w:rPr>
                                <w:rFonts w:ascii="Arial;sans-serif" w:hAnsi="Arial;sans-serif"/>
                                <w:b w:val="false"/>
                                <w:i w:val="false"/>
                                <w:caps w:val="false"/>
                                <w:smallCaps w:val="false"/>
                                <w:sz w:val="22"/>
                              </w:rPr>
                              <w:t xml:space="preserve">both a reported and organic basis over the </w:t>
                            </w:r>
                            <w:r>
                              <w:rPr>
                                <w:rFonts w:ascii="Arial;sans-serif" w:hAnsi="Arial;sans-serif"/>
                                <w:b w:val="false"/>
                                <w:i w:val="false"/>
                                <w:caps w:val="false"/>
                                <w:smallCaps w:val="false"/>
                                <w:strike w:val="false"/>
                                <w:dstrike w:val="false"/>
                                <w:sz w:val="22"/>
                                <w:u w:val="none"/>
                                <w:effect w:val="none"/>
                              </w:rPr>
                              <w:t>third</w:t>
                            </w:r>
                            <w:r>
                              <w:rPr>
                                <w:caps w:val="false"/>
                                <w:smallCaps w:val="false"/>
                                <w:sz w:val="24"/>
                              </w:rPr>
                              <w:t xml:space="preserve"> </w:t>
                            </w:r>
                            <w:r>
                              <w:rPr>
                                <w:rFonts w:ascii="Arial;sans-serif" w:hAnsi="Arial;sans-serif"/>
                                <w:b w:val="false"/>
                                <w:i w:val="false"/>
                                <w:caps w:val="false"/>
                                <w:smallCaps w:val="false"/>
                                <w:sz w:val="22"/>
                              </w:rPr>
                              <w:t xml:space="preserve">quarter of </w:t>
                            </w:r>
                            <w:r>
                              <w:rPr>
                                <w:rFonts w:ascii="Arial;sans-serif" w:hAnsi="Arial;sans-serif"/>
                                <w:b w:val="false"/>
                                <w:i w:val="false"/>
                                <w:caps w:val="false"/>
                                <w:smallCaps w:val="false"/>
                                <w:strike w:val="false"/>
                                <w:dstrike w:val="false"/>
                                <w:sz w:val="22"/>
                                <w:u w:val="none"/>
                                <w:effect w:val="none"/>
                              </w:rPr>
                              <w:t>2025</w:t>
                            </w:r>
                            <w:r>
                              <w:rPr>
                                <w:rFonts w:ascii="Arial;sans-serif" w:hAnsi="Arial;sans-serif"/>
                                <w:b w:val="false"/>
                                <w:i w:val="false"/>
                                <w:caps w:val="false"/>
                                <w:smallCaps w:val="false"/>
                                <w:sz w:val="22"/>
                              </w:rPr>
                              <w:t>.</w:t>
                            </w:r>
                          </w:p>
                        </w:tc>
                        <w:tc>
                          <w:tcPr>
                            <w:tcW w:w="3926" w:type="dxa"/>
                            <w:vMerge w:val="continue"/>
                            <w:tcBorders/>
                            <w:vAlign w:val="center"/>
                          </w:tcPr>
                          <w:p>
                            <w:pPr>
                              <w:pStyle w:val="Normal"/>
                              <w:bidi w:val="0"/>
                              <w:jc w:val="left"/>
                              <w:rPr/>
                            </w:pPr>
                            <w:r>
                              <w:rPr/>
                            </w:r>
                          </w:p>
                        </w:tc>
                      </w:tr>
                      <w:tr>
                        <w:trPr/>
                        <w:tc>
                          <w:tcPr>
                            <w:tcW w:w="7511" w:type="dxa"/>
                            <w:tcBorders/>
                            <w:vAlign w:val="center"/>
                          </w:tcPr>
                          <w:p>
                            <w:pPr>
                              <w:pStyle w:val="TableContents"/>
                              <w:bidi w:val="0"/>
                              <w:spacing w:lineRule="atLeast" w:line="160" w:before="0" w:after="0"/>
                              <w:jc w:val="left"/>
                              <w:rPr/>
                            </w:pPr>
                            <w:r>
                              <w:rPr>
                                <w:caps w:val="false"/>
                                <w:smallCaps w:val="false"/>
                              </w:rPr>
                              <w:t>•</w:t>
                            </w:r>
                            <w:r>
                              <w:rPr>
                                <w:rFonts w:ascii="Arial;sans-serif" w:hAnsi="Arial;sans-serif"/>
                                <w:b w:val="false"/>
                                <w:i w:val="false"/>
                                <w:caps w:val="false"/>
                                <w:smallCaps w:val="false"/>
                                <w:sz w:val="22"/>
                              </w:rPr>
                              <w:t xml:space="preserve">Index revenue of </w:t>
                            </w:r>
                            <w:r>
                              <w:rPr>
                                <w:rFonts w:ascii="Arial;sans-serif" w:hAnsi="Arial;sans-serif"/>
                                <w:b/>
                                <w:i w:val="false"/>
                                <w:caps w:val="false"/>
                                <w:smallCaps w:val="false"/>
                                <w:strike w:val="false"/>
                                <w:dstrike w:val="false"/>
                                <w:color w:val="8C56EE"/>
                                <w:sz w:val="22"/>
                                <w:u w:val="none"/>
                                <w:effect w:val="none"/>
                              </w:rPr>
                              <w:t>$286</w:t>
                            </w:r>
                            <w:r>
                              <w:rPr>
                                <w:caps w:val="false"/>
                                <w:smallCaps w:val="false"/>
                                <w:strike w:val="false"/>
                                <w:dstrike w:val="false"/>
                                <w:color w:val="8C56EE"/>
                                <w:sz w:val="24"/>
                                <w:u w:val="none"/>
                                <w:effect w:val="none"/>
                              </w:rPr>
                              <w:t xml:space="preserve"> </w:t>
                            </w:r>
                            <w:r>
                              <w:rPr>
                                <w:rFonts w:ascii="Arial;sans-serif" w:hAnsi="Arial;sans-serif"/>
                                <w:b/>
                                <w:i w:val="false"/>
                                <w:caps w:val="false"/>
                                <w:smallCaps w:val="false"/>
                                <w:strike w:val="false"/>
                                <w:dstrike w:val="false"/>
                                <w:color w:val="8C56EE"/>
                                <w:sz w:val="22"/>
                                <w:u w:val="none"/>
                                <w:effect w:val="none"/>
                              </w:rPr>
                              <w:t>million</w:t>
                            </w:r>
                            <w:r>
                              <w:rPr>
                                <w:caps w:val="false"/>
                                <w:smallCaps w:val="false"/>
                                <w:sz w:val="24"/>
                              </w:rPr>
                              <w:t xml:space="preserve"> </w:t>
                            </w:r>
                            <w:r>
                              <w:rPr>
                                <w:rFonts w:ascii="Arial;sans-serif" w:hAnsi="Arial;sans-serif"/>
                                <w:b w:val="false"/>
                                <w:i w:val="false"/>
                                <w:caps w:val="false"/>
                                <w:smallCaps w:val="false"/>
                                <w:sz w:val="22"/>
                              </w:rPr>
                              <w:t xml:space="preserve">grew </w:t>
                            </w:r>
                            <w:r>
                              <w:rPr>
                                <w:rFonts w:ascii="Arial;sans-serif" w:hAnsi="Arial;sans-serif"/>
                                <w:b/>
                                <w:i w:val="false"/>
                                <w:caps w:val="false"/>
                                <w:smallCaps w:val="false"/>
                                <w:strike w:val="false"/>
                                <w:dstrike w:val="false"/>
                                <w:color w:val="8C56EE"/>
                                <w:sz w:val="22"/>
                                <w:u w:val="none"/>
                                <w:effect w:val="none"/>
                                <w:shd w:fill="FFFFFF" w:val="clear"/>
                              </w:rPr>
                              <w:t>39%</w:t>
                            </w:r>
                            <w:r>
                              <w:rPr>
                                <w:caps w:val="false"/>
                                <w:smallCaps w:val="false"/>
                                <w:sz w:val="24"/>
                              </w:rPr>
                              <w:t xml:space="preserve"> </w:t>
                            </w:r>
                            <w:r>
                              <w:rPr>
                                <w:rFonts w:ascii="Arial;sans-serif" w:hAnsi="Arial;sans-serif"/>
                                <w:b w:val="false"/>
                                <w:i w:val="false"/>
                                <w:caps w:val="false"/>
                                <w:smallCaps w:val="false"/>
                                <w:sz w:val="22"/>
                              </w:rPr>
                              <w:t xml:space="preserve">on both a reported and organic </w:t>
                            </w:r>
                          </w:p>
                          <w:p>
                            <w:pPr>
                              <w:pStyle w:val="TableContents"/>
                              <w:bidi w:val="0"/>
                              <w:spacing w:lineRule="atLeast" w:line="160" w:before="0" w:after="0"/>
                              <w:jc w:val="left"/>
                              <w:rPr>
                                <w:sz w:val="24"/>
                              </w:rPr>
                            </w:pPr>
                            <w:r>
                              <w:rPr>
                                <w:rFonts w:ascii="Arial;sans-serif" w:hAnsi="Arial;sans-serif"/>
                                <w:b w:val="false"/>
                                <w:i w:val="false"/>
                                <w:caps w:val="false"/>
                                <w:smallCaps w:val="false"/>
                                <w:sz w:val="22"/>
                              </w:rPr>
                              <w:t xml:space="preserve">basis over the </w:t>
                            </w:r>
                            <w:r>
                              <w:rPr>
                                <w:rFonts w:ascii="Arial;sans-serif" w:hAnsi="Arial;sans-serif"/>
                                <w:b w:val="false"/>
                                <w:i w:val="false"/>
                                <w:caps w:val="false"/>
                                <w:smallCaps w:val="false"/>
                                <w:strike w:val="false"/>
                                <w:dstrike w:val="false"/>
                                <w:sz w:val="22"/>
                                <w:u w:val="none"/>
                                <w:effect w:val="none"/>
                              </w:rPr>
                              <w:t>third</w:t>
                            </w:r>
                            <w:r>
                              <w:rPr>
                                <w:caps w:val="false"/>
                                <w:smallCaps w:val="false"/>
                                <w:sz w:val="24"/>
                              </w:rPr>
                              <w:t xml:space="preserve"> </w:t>
                            </w:r>
                            <w:r>
                              <w:rPr>
                                <w:rFonts w:ascii="Arial;sans-serif" w:hAnsi="Arial;sans-serif"/>
                                <w:b w:val="false"/>
                                <w:i w:val="false"/>
                                <w:caps w:val="false"/>
                                <w:smallCaps w:val="false"/>
                                <w:sz w:val="22"/>
                              </w:rPr>
                              <w:t xml:space="preserve">quarter of </w:t>
                            </w:r>
                            <w:r>
                              <w:rPr>
                                <w:rFonts w:ascii="Arial;sans-serif" w:hAnsi="Arial;sans-serif"/>
                                <w:b w:val="false"/>
                                <w:i w:val="false"/>
                                <w:caps w:val="false"/>
                                <w:smallCaps w:val="false"/>
                                <w:strike w:val="false"/>
                                <w:dstrike w:val="false"/>
                                <w:sz w:val="22"/>
                                <w:u w:val="none"/>
                                <w:effect w:val="none"/>
                              </w:rPr>
                              <w:t>2025</w:t>
                            </w:r>
                            <w:r>
                              <w:rPr>
                                <w:rFonts w:ascii="Arial;sans-serif" w:hAnsi="Arial;sans-serif"/>
                                <w:b w:val="false"/>
                                <w:i w:val="false"/>
                                <w:caps w:val="false"/>
                                <w:smallCaps w:val="false"/>
                                <w:sz w:val="22"/>
                              </w:rPr>
                              <w:t xml:space="preserve">, with </w:t>
                            </w:r>
                            <w:r>
                              <w:rPr>
                                <w:rFonts w:ascii="Arial;sans-serif" w:hAnsi="Arial;sans-serif"/>
                                <w:b/>
                                <w:i w:val="false"/>
                                <w:caps w:val="false"/>
                                <w:smallCaps w:val="false"/>
                                <w:strike w:val="false"/>
                                <w:dstrike w:val="false"/>
                                <w:color w:val="8C56EE"/>
                                <w:sz w:val="22"/>
                                <w:u w:val="none"/>
                                <w:effect w:val="none"/>
                              </w:rPr>
                              <w:t>$141</w:t>
                            </w:r>
                            <w:r>
                              <w:rPr>
                                <w:caps w:val="false"/>
                                <w:smallCaps w:val="false"/>
                                <w:strike w:val="false"/>
                                <w:dstrike w:val="false"/>
                                <w:color w:val="8C56EE"/>
                                <w:sz w:val="24"/>
                                <w:u w:val="none"/>
                                <w:effect w:val="none"/>
                              </w:rPr>
                              <w:t xml:space="preserve"> </w:t>
                            </w:r>
                            <w:r>
                              <w:rPr>
                                <w:rFonts w:ascii="Arial;sans-serif" w:hAnsi="Arial;sans-serif"/>
                                <w:b/>
                                <w:i w:val="false"/>
                                <w:caps w:val="false"/>
                                <w:smallCaps w:val="false"/>
                                <w:strike w:val="false"/>
                                <w:dstrike w:val="false"/>
                                <w:color w:val="8C56EE"/>
                                <w:sz w:val="22"/>
                                <w:u w:val="none"/>
                                <w:effect w:val="none"/>
                              </w:rPr>
                              <w:t>billion</w:t>
                            </w:r>
                            <w:r>
                              <w:rPr>
                                <w:caps w:val="false"/>
                                <w:smallCaps w:val="false"/>
                                <w:sz w:val="24"/>
                              </w:rPr>
                              <w:t xml:space="preserve"> </w:t>
                            </w:r>
                            <w:r>
                              <w:rPr>
                                <w:rFonts w:ascii="Arial;sans-serif" w:hAnsi="Arial;sans-serif"/>
                                <w:b w:val="false"/>
                                <w:i w:val="false"/>
                                <w:caps w:val="false"/>
                                <w:smallCaps w:val="false"/>
                                <w:sz w:val="22"/>
                              </w:rPr>
                              <w:t xml:space="preserve">of net inflows over </w:t>
                            </w:r>
                          </w:p>
                          <w:p>
                            <w:pPr>
                              <w:pStyle w:val="TableContents"/>
                              <w:bidi w:val="0"/>
                              <w:spacing w:lineRule="atLeast" w:line="160" w:before="0" w:after="0"/>
                              <w:jc w:val="left"/>
                              <w:rPr>
                                <w:sz w:val="24"/>
                              </w:rPr>
                            </w:pPr>
                            <w:r>
                              <w:rPr>
                                <w:rFonts w:ascii="Arial;sans-serif" w:hAnsi="Arial;sans-serif"/>
                                <w:b w:val="false"/>
                                <w:i w:val="false"/>
                                <w:caps w:val="false"/>
                                <w:smallCaps w:val="false"/>
                                <w:sz w:val="22"/>
                              </w:rPr>
                              <w:t xml:space="preserve">the trailing twelve months, including </w:t>
                            </w:r>
                            <w:r>
                              <w:rPr>
                                <w:rFonts w:ascii="Arial;sans-serif" w:hAnsi="Arial;sans-serif"/>
                                <w:b/>
                                <w:i w:val="false"/>
                                <w:caps w:val="false"/>
                                <w:smallCaps w:val="false"/>
                                <w:strike w:val="false"/>
                                <w:dstrike w:val="false"/>
                                <w:color w:val="8C56EE"/>
                                <w:sz w:val="22"/>
                                <w:u w:val="none"/>
                                <w:effect w:val="none"/>
                              </w:rPr>
                              <w:t>$49</w:t>
                            </w:r>
                            <w:r>
                              <w:rPr>
                                <w:caps w:val="false"/>
                                <w:smallCaps w:val="false"/>
                                <w:strike w:val="false"/>
                                <w:dstrike w:val="false"/>
                                <w:color w:val="8C56EE"/>
                                <w:sz w:val="24"/>
                                <w:u w:val="none"/>
                                <w:effect w:val="none"/>
                              </w:rPr>
                              <w:t xml:space="preserve"> </w:t>
                            </w:r>
                            <w:r>
                              <w:rPr>
                                <w:rFonts w:ascii="Arial;sans-serif" w:hAnsi="Arial;sans-serif"/>
                                <w:b/>
                                <w:i w:val="false"/>
                                <w:caps w:val="false"/>
                                <w:smallCaps w:val="false"/>
                                <w:strike w:val="false"/>
                                <w:dstrike w:val="false"/>
                                <w:color w:val="8C56EE"/>
                                <w:sz w:val="22"/>
                                <w:u w:val="none"/>
                                <w:effect w:val="none"/>
                              </w:rPr>
                              <w:t>billion</w:t>
                            </w:r>
                            <w:r>
                              <w:rPr>
                                <w:caps w:val="false"/>
                                <w:smallCaps w:val="false"/>
                                <w:sz w:val="24"/>
                              </w:rPr>
                              <w:t xml:space="preserve"> </w:t>
                            </w:r>
                            <w:r>
                              <w:rPr>
                                <w:rFonts w:ascii="Arial;sans-serif" w:hAnsi="Arial;sans-serif"/>
                                <w:b w:val="false"/>
                                <w:i w:val="false"/>
                                <w:caps w:val="false"/>
                                <w:smallCaps w:val="false"/>
                                <w:sz w:val="22"/>
                              </w:rPr>
                              <w:t xml:space="preserve">in the </w:t>
                            </w:r>
                            <w:r>
                              <w:rPr>
                                <w:rFonts w:ascii="Arial;sans-serif" w:hAnsi="Arial;sans-serif"/>
                                <w:b w:val="false"/>
                                <w:i w:val="false"/>
                                <w:caps w:val="false"/>
                                <w:smallCaps w:val="false"/>
                                <w:strike w:val="false"/>
                                <w:dstrike w:val="false"/>
                                <w:sz w:val="22"/>
                                <w:u w:val="none"/>
                                <w:effect w:val="none"/>
                              </w:rPr>
                              <w:t>third</w:t>
                            </w:r>
                            <w:r>
                              <w:rPr>
                                <w:caps w:val="false"/>
                                <w:smallCaps w:val="false"/>
                                <w:sz w:val="24"/>
                              </w:rPr>
                              <w:t xml:space="preserve"> </w:t>
                            </w:r>
                            <w:r>
                              <w:rPr>
                                <w:rFonts w:ascii="Arial;sans-serif" w:hAnsi="Arial;sans-serif"/>
                                <w:b w:val="false"/>
                                <w:i w:val="false"/>
                                <w:caps w:val="false"/>
                                <w:smallCaps w:val="false"/>
                                <w:sz w:val="22"/>
                              </w:rPr>
                              <w:t xml:space="preserve">quarter of </w:t>
                            </w:r>
                          </w:p>
                          <w:p>
                            <w:pPr>
                              <w:pStyle w:val="TableContents"/>
                              <w:bidi w:val="0"/>
                              <w:spacing w:lineRule="atLeast" w:line="160" w:before="0" w:after="0"/>
                              <w:jc w:val="left"/>
                              <w:rPr>
                                <w:sz w:val="24"/>
                              </w:rPr>
                            </w:pPr>
                            <w:r>
                              <w:rPr>
                                <w:rFonts w:ascii="Arial;sans-serif" w:hAnsi="Arial;sans-serif"/>
                                <w:b w:val="false"/>
                                <w:i w:val="false"/>
                                <w:caps w:val="false"/>
                                <w:smallCaps w:val="false"/>
                                <w:strike w:val="false"/>
                                <w:dstrike w:val="false"/>
                                <w:sz w:val="22"/>
                                <w:u w:val="none"/>
                                <w:effect w:val="none"/>
                              </w:rPr>
                              <w:t>2026</w:t>
                            </w:r>
                            <w:r>
                              <w:rPr>
                                <w:rFonts w:ascii="Arial;sans-serif" w:hAnsi="Arial;sans-serif"/>
                                <w:b w:val="false"/>
                                <w:i w:val="false"/>
                                <w:caps w:val="false"/>
                                <w:smallCaps w:val="false"/>
                                <w:sz w:val="22"/>
                              </w:rPr>
                              <w:t>.</w:t>
                            </w:r>
                          </w:p>
                        </w:tc>
                        <w:tc>
                          <w:tcPr>
                            <w:tcW w:w="3926" w:type="dxa"/>
                            <w:vMerge w:val="continue"/>
                            <w:tcBorders/>
                            <w:vAlign w:val="center"/>
                          </w:tcPr>
                          <w:p>
                            <w:pPr>
                              <w:pStyle w:val="Normal"/>
                              <w:bidi w:val="0"/>
                              <w:jc w:val="left"/>
                              <w:rPr/>
                            </w:pPr>
                            <w:r>
                              <w:rPr/>
                            </w:r>
                          </w:p>
                        </w:tc>
                      </w:tr>
                      <w:tr>
                        <w:trPr/>
                        <w:tc>
                          <w:tcPr>
                            <w:tcW w:w="7511" w:type="dxa"/>
                            <w:tcBorders/>
                            <w:vAlign w:val="center"/>
                          </w:tcPr>
                          <w:p>
                            <w:pPr>
                              <w:pStyle w:val="TableContents"/>
                              <w:bidi w:val="0"/>
                              <w:spacing w:lineRule="atLeast" w:line="160" w:before="0" w:after="0"/>
                              <w:jc w:val="left"/>
                              <w:rPr/>
                            </w:pPr>
                            <w:r>
                              <w:rPr>
                                <w:caps w:val="false"/>
                                <w:smallCaps w:val="false"/>
                                <w:strike w:val="false"/>
                                <w:dstrike w:val="false"/>
                                <w:u w:val="none"/>
                                <w:effect w:val="none"/>
                                <w:shd w:fill="FFFFFF" w:val="clear"/>
                              </w:rPr>
                              <w:t>•</w:t>
                            </w:r>
                            <w:r>
                              <w:rPr>
                                <w:rFonts w:ascii="Arial;sans-serif" w:hAnsi="Arial;sans-serif"/>
                                <w:b w:val="false"/>
                                <w:i w:val="false"/>
                                <w:caps w:val="false"/>
                                <w:smallCaps w:val="false"/>
                                <w:sz w:val="22"/>
                              </w:rPr>
                              <w:t xml:space="preserve">GAAP diluted earnings per share in the </w:t>
                            </w:r>
                            <w:r>
                              <w:rPr>
                                <w:rFonts w:ascii="Arial;sans-serif" w:hAnsi="Arial;sans-serif"/>
                                <w:b w:val="false"/>
                                <w:i w:val="false"/>
                                <w:caps w:val="false"/>
                                <w:smallCaps w:val="false"/>
                                <w:strike w:val="false"/>
                                <w:dstrike w:val="false"/>
                                <w:sz w:val="22"/>
                                <w:u w:val="none"/>
                                <w:effect w:val="none"/>
                              </w:rPr>
                              <w:t>third</w:t>
                            </w:r>
                            <w:r>
                              <w:rPr>
                                <w:caps w:val="false"/>
                                <w:smallCaps w:val="false"/>
                                <w:sz w:val="24"/>
                              </w:rPr>
                              <w:t xml:space="preserve"> </w:t>
                            </w:r>
                            <w:r>
                              <w:rPr>
                                <w:rFonts w:ascii="Arial;sans-serif" w:hAnsi="Arial;sans-serif"/>
                                <w:b w:val="false"/>
                                <w:i w:val="false"/>
                                <w:caps w:val="false"/>
                                <w:smallCaps w:val="false"/>
                                <w:sz w:val="22"/>
                              </w:rPr>
                              <w:t xml:space="preserve">quarter of </w:t>
                            </w:r>
                            <w:r>
                              <w:rPr>
                                <w:rFonts w:ascii="Arial;sans-serif" w:hAnsi="Arial;sans-serif"/>
                                <w:b w:val="false"/>
                                <w:i w:val="false"/>
                                <w:caps w:val="false"/>
                                <w:smallCaps w:val="false"/>
                                <w:strike w:val="false"/>
                                <w:dstrike w:val="false"/>
                                <w:sz w:val="22"/>
                                <w:u w:val="none"/>
                                <w:effect w:val="none"/>
                              </w:rPr>
                              <w:t>2026</w:t>
                            </w:r>
                            <w:r>
                              <w:rPr>
                                <w:caps w:val="false"/>
                                <w:smallCaps w:val="false"/>
                                <w:sz w:val="24"/>
                              </w:rPr>
                              <w:t xml:space="preserve"> </w:t>
                            </w:r>
                            <w:r>
                              <w:rPr>
                                <w:rFonts w:ascii="Arial;sans-serif" w:hAnsi="Arial;sans-serif"/>
                                <w:b w:val="false"/>
                                <w:i w:val="false"/>
                                <w:caps w:val="false"/>
                                <w:smallCaps w:val="false"/>
                                <w:sz w:val="22"/>
                              </w:rPr>
                              <w:t xml:space="preserve">was </w:t>
                            </w:r>
                            <w:r>
                              <w:rPr>
                                <w:rFonts w:ascii="Arial;sans-serif" w:hAnsi="Arial;sans-serif"/>
                                <w:b/>
                                <w:i w:val="false"/>
                                <w:caps w:val="false"/>
                                <w:smallCaps w:val="false"/>
                                <w:strike w:val="false"/>
                                <w:dstrike w:val="false"/>
                                <w:color w:val="8C56EE"/>
                                <w:sz w:val="22"/>
                                <w:u w:val="none"/>
                                <w:effect w:val="none"/>
                              </w:rPr>
                              <w:t>$0.96</w:t>
                            </w:r>
                            <w:r>
                              <w:rPr>
                                <w:rFonts w:ascii="Arial;sans-serif" w:hAnsi="Arial;sans-serif"/>
                                <w:b w:val="false"/>
                                <w:i w:val="false"/>
                                <w:caps w:val="false"/>
                                <w:smallCaps w:val="false"/>
                                <w:sz w:val="22"/>
                              </w:rPr>
                              <w:t xml:space="preserve">, </w:t>
                            </w:r>
                          </w:p>
                          <w:p>
                            <w:pPr>
                              <w:pStyle w:val="TableContents"/>
                              <w:bidi w:val="0"/>
                              <w:spacing w:lineRule="atLeast" w:line="160" w:before="0" w:after="0"/>
                              <w:jc w:val="left"/>
                              <w:rPr>
                                <w:sz w:val="24"/>
                              </w:rPr>
                            </w:pPr>
                            <w:r>
                              <w:rPr>
                                <w:rFonts w:ascii="Arial;sans-serif" w:hAnsi="Arial;sans-serif"/>
                                <w:b w:val="false"/>
                                <w:i w:val="false"/>
                                <w:caps w:val="false"/>
                                <w:smallCaps w:val="false"/>
                                <w:sz w:val="22"/>
                              </w:rPr>
                              <w:t xml:space="preserve">an increase of </w:t>
                            </w:r>
                            <w:r>
                              <w:rPr>
                                <w:rFonts w:ascii="Arial;sans-serif" w:hAnsi="Arial;sans-serif"/>
                                <w:b/>
                                <w:i w:val="false"/>
                                <w:caps w:val="false"/>
                                <w:smallCaps w:val="false"/>
                                <w:strike w:val="false"/>
                                <w:dstrike w:val="false"/>
                                <w:color w:val="8C56EE"/>
                                <w:sz w:val="22"/>
                                <w:u w:val="none"/>
                                <w:effect w:val="none"/>
                                <w:shd w:fill="FFFFFF" w:val="clear"/>
                              </w:rPr>
                              <w:t>31%</w:t>
                            </w:r>
                            <w:r>
                              <w:rPr>
                                <w:caps w:val="false"/>
                                <w:smallCaps w:val="false"/>
                                <w:strike w:val="false"/>
                                <w:dstrike w:val="false"/>
                                <w:color w:val="8C56EE"/>
                                <w:sz w:val="24"/>
                                <w:u w:val="none"/>
                                <w:effect w:val="none"/>
                                <w:shd w:fill="FFFFFF" w:val="clear"/>
                              </w:rPr>
                              <w:t xml:space="preserve"> </w:t>
                            </w:r>
                            <w:r>
                              <w:rPr>
                                <w:rFonts w:ascii="Arial;sans-serif" w:hAnsi="Arial;sans-serif"/>
                                <w:b w:val="false"/>
                                <w:i w:val="false"/>
                                <w:caps w:val="false"/>
                                <w:smallCaps w:val="false"/>
                                <w:sz w:val="22"/>
                              </w:rPr>
                              <w:t xml:space="preserve">over the </w:t>
                            </w:r>
                            <w:r>
                              <w:rPr>
                                <w:rFonts w:ascii="Arial;sans-serif" w:hAnsi="Arial;sans-serif"/>
                                <w:b w:val="false"/>
                                <w:i w:val="false"/>
                                <w:caps w:val="false"/>
                                <w:smallCaps w:val="false"/>
                                <w:strike w:val="false"/>
                                <w:dstrike w:val="false"/>
                                <w:sz w:val="22"/>
                                <w:u w:val="none"/>
                                <w:effect w:val="none"/>
                              </w:rPr>
                              <w:t>third</w:t>
                            </w:r>
                            <w:r>
                              <w:rPr>
                                <w:caps w:val="false"/>
                                <w:smallCaps w:val="false"/>
                                <w:sz w:val="24"/>
                              </w:rPr>
                              <w:t xml:space="preserve"> </w:t>
                            </w:r>
                            <w:r>
                              <w:rPr>
                                <w:rFonts w:ascii="Arial;sans-serif" w:hAnsi="Arial;sans-serif"/>
                                <w:b w:val="false"/>
                                <w:i w:val="false"/>
                                <w:caps w:val="false"/>
                                <w:smallCaps w:val="false"/>
                                <w:sz w:val="22"/>
                              </w:rPr>
                              <w:t xml:space="preserve">quarter of </w:t>
                            </w:r>
                            <w:r>
                              <w:rPr>
                                <w:rFonts w:ascii="Arial;sans-serif" w:hAnsi="Arial;sans-serif"/>
                                <w:b w:val="false"/>
                                <w:i w:val="false"/>
                                <w:caps w:val="false"/>
                                <w:smallCaps w:val="false"/>
                                <w:strike w:val="false"/>
                                <w:dstrike w:val="false"/>
                                <w:sz w:val="22"/>
                                <w:u w:val="none"/>
                                <w:effect w:val="none"/>
                              </w:rPr>
                              <w:t>2025</w:t>
                            </w:r>
                            <w:r>
                              <w:rPr>
                                <w:rFonts w:ascii="Arial;sans-serif" w:hAnsi="Arial;sans-serif"/>
                                <w:b w:val="false"/>
                                <w:i w:val="false"/>
                                <w:caps w:val="false"/>
                                <w:smallCaps w:val="false"/>
                                <w:sz w:val="22"/>
                              </w:rPr>
                              <w:t>. Non-GAAP</w:t>
                            </w:r>
                            <w:r>
                              <w:rPr>
                                <w:rFonts w:ascii="Arial;sans-serif" w:hAnsi="Arial;sans-serif"/>
                                <w:b w:val="false"/>
                                <w:i w:val="false"/>
                                <w:caps w:val="false"/>
                                <w:smallCaps w:val="false"/>
                                <w:sz w:val="14"/>
                              </w:rPr>
                              <w:t>5</w:t>
                            </w:r>
                            <w:r>
                              <w:rPr>
                                <w:caps w:val="false"/>
                                <w:smallCaps w:val="false"/>
                                <w:sz w:val="24"/>
                              </w:rPr>
                              <w:t xml:space="preserve"> </w:t>
                            </w:r>
                            <w:r>
                              <w:rPr>
                                <w:rFonts w:ascii="Arial;sans-serif" w:hAnsi="Arial;sans-serif"/>
                                <w:b w:val="false"/>
                                <w:i w:val="false"/>
                                <w:caps w:val="false"/>
                                <w:smallCaps w:val="false"/>
                                <w:sz w:val="22"/>
                              </w:rPr>
                              <w:t xml:space="preserve">diluted </w:t>
                            </w:r>
                          </w:p>
                          <w:p>
                            <w:pPr>
                              <w:pStyle w:val="TableContents"/>
                              <w:bidi w:val="0"/>
                              <w:spacing w:lineRule="atLeast" w:line="160" w:before="0" w:after="0"/>
                              <w:jc w:val="left"/>
                              <w:rPr>
                                <w:sz w:val="24"/>
                              </w:rPr>
                            </w:pPr>
                            <w:r>
                              <w:rPr>
                                <w:rFonts w:ascii="Arial;sans-serif" w:hAnsi="Arial;sans-serif"/>
                                <w:b w:val="false"/>
                                <w:i w:val="false"/>
                                <w:caps w:val="false"/>
                                <w:smallCaps w:val="false"/>
                                <w:sz w:val="22"/>
                              </w:rPr>
                              <w:t xml:space="preserve">earnings per share in the </w:t>
                            </w:r>
                            <w:r>
                              <w:rPr>
                                <w:rFonts w:ascii="Arial;sans-serif" w:hAnsi="Arial;sans-serif"/>
                                <w:b w:val="false"/>
                                <w:i w:val="false"/>
                                <w:caps w:val="false"/>
                                <w:smallCaps w:val="false"/>
                                <w:strike w:val="false"/>
                                <w:dstrike w:val="false"/>
                                <w:sz w:val="22"/>
                                <w:u w:val="none"/>
                                <w:effect w:val="none"/>
                              </w:rPr>
                              <w:t>third</w:t>
                            </w:r>
                            <w:r>
                              <w:rPr>
                                <w:caps w:val="false"/>
                                <w:smallCaps w:val="false"/>
                                <w:sz w:val="24"/>
                              </w:rPr>
                              <w:t xml:space="preserve"> </w:t>
                            </w:r>
                            <w:r>
                              <w:rPr>
                                <w:rFonts w:ascii="Arial;sans-serif" w:hAnsi="Arial;sans-serif"/>
                                <w:b w:val="false"/>
                                <w:i w:val="false"/>
                                <w:caps w:val="false"/>
                                <w:smallCaps w:val="false"/>
                                <w:sz w:val="22"/>
                              </w:rPr>
                              <w:t xml:space="preserve">quarter of </w:t>
                            </w:r>
                            <w:r>
                              <w:rPr>
                                <w:rFonts w:ascii="Arial;sans-serif" w:hAnsi="Arial;sans-serif"/>
                                <w:b w:val="false"/>
                                <w:i w:val="false"/>
                                <w:caps w:val="false"/>
                                <w:smallCaps w:val="false"/>
                                <w:strike w:val="false"/>
                                <w:dstrike w:val="false"/>
                                <w:sz w:val="22"/>
                                <w:u w:val="none"/>
                                <w:effect w:val="none"/>
                              </w:rPr>
                              <w:t>2026</w:t>
                            </w:r>
                            <w:r>
                              <w:rPr>
                                <w:caps w:val="false"/>
                                <w:smallCaps w:val="false"/>
                                <w:sz w:val="24"/>
                              </w:rPr>
                              <w:t xml:space="preserve"> </w:t>
                            </w:r>
                            <w:r>
                              <w:rPr>
                                <w:rFonts w:ascii="Arial;sans-serif" w:hAnsi="Arial;sans-serif"/>
                                <w:b w:val="false"/>
                                <w:i w:val="false"/>
                                <w:caps w:val="false"/>
                                <w:smallCaps w:val="false"/>
                                <w:sz w:val="22"/>
                              </w:rPr>
                              <w:t xml:space="preserve">was </w:t>
                            </w:r>
                            <w:r>
                              <w:rPr>
                                <w:rFonts w:ascii="Arial;sans-serif" w:hAnsi="Arial;sans-serif"/>
                                <w:b/>
                                <w:i w:val="false"/>
                                <w:caps w:val="false"/>
                                <w:smallCaps w:val="false"/>
                                <w:strike w:val="false"/>
                                <w:dstrike w:val="false"/>
                                <w:color w:val="8C56EE"/>
                                <w:sz w:val="22"/>
                                <w:u w:val="none"/>
                                <w:effect w:val="none"/>
                              </w:rPr>
                              <w:t>$1.04</w:t>
                            </w:r>
                            <w:r>
                              <w:rPr>
                                <w:rFonts w:ascii="Arial;sans-serif" w:hAnsi="Arial;sans-serif"/>
                                <w:b w:val="false"/>
                                <w:i w:val="false"/>
                                <w:caps w:val="false"/>
                                <w:smallCaps w:val="false"/>
                                <w:sz w:val="22"/>
                              </w:rPr>
                              <w:t>, an increase of</w:t>
                            </w:r>
                            <w:r>
                              <w:rPr>
                                <w:caps w:val="false"/>
                                <w:smallCaps w:val="false"/>
                                <w:strike w:val="false"/>
                                <w:dstrike w:val="false"/>
                                <w:sz w:val="24"/>
                                <w:u w:val="none"/>
                                <w:effect w:val="none"/>
                                <w:shd w:fill="FFFFFF" w:val="clear"/>
                              </w:rPr>
                              <w:t xml:space="preserve"> </w:t>
                            </w:r>
                          </w:p>
                          <w:p>
                            <w:pPr>
                              <w:pStyle w:val="TableContents"/>
                              <w:bidi w:val="0"/>
                              <w:spacing w:lineRule="atLeast" w:line="160" w:before="0" w:after="0"/>
                              <w:jc w:val="left"/>
                              <w:rPr>
                                <w:sz w:val="24"/>
                              </w:rPr>
                            </w:pPr>
                            <w:r>
                              <w:rPr>
                                <w:rFonts w:ascii="Arial;sans-serif" w:hAnsi="Arial;sans-serif"/>
                                <w:b/>
                                <w:i w:val="false"/>
                                <w:caps w:val="false"/>
                                <w:smallCaps w:val="false"/>
                                <w:strike w:val="false"/>
                                <w:dstrike w:val="false"/>
                                <w:color w:val="8C56EE"/>
                                <w:sz w:val="22"/>
                                <w:u w:val="none"/>
                                <w:effect w:val="none"/>
                                <w:shd w:fill="FFFFFF" w:val="clear"/>
                              </w:rPr>
                              <w:t>18%</w:t>
                            </w:r>
                            <w:r>
                              <w:rPr>
                                <w:caps w:val="false"/>
                                <w:smallCaps w:val="false"/>
                                <w:strike w:val="false"/>
                                <w:dstrike w:val="false"/>
                                <w:color w:val="8C56EE"/>
                                <w:sz w:val="24"/>
                                <w:u w:val="none"/>
                                <w:effect w:val="none"/>
                              </w:rPr>
                              <w:t xml:space="preserve"> </w:t>
                            </w:r>
                            <w:r>
                              <w:rPr>
                                <w:rFonts w:ascii="Arial;sans-serif" w:hAnsi="Arial;sans-serif"/>
                                <w:b w:val="false"/>
                                <w:i w:val="false"/>
                                <w:caps w:val="false"/>
                                <w:smallCaps w:val="false"/>
                                <w:sz w:val="22"/>
                              </w:rPr>
                              <w:t xml:space="preserve">on a reported basis over the </w:t>
                            </w:r>
                            <w:r>
                              <w:rPr>
                                <w:rFonts w:ascii="Arial;sans-serif" w:hAnsi="Arial;sans-serif"/>
                                <w:b w:val="false"/>
                                <w:i w:val="false"/>
                                <w:caps w:val="false"/>
                                <w:smallCaps w:val="false"/>
                                <w:strike w:val="false"/>
                                <w:dstrike w:val="false"/>
                                <w:sz w:val="22"/>
                                <w:u w:val="none"/>
                                <w:effect w:val="none"/>
                              </w:rPr>
                              <w:t>third</w:t>
                            </w:r>
                            <w:r>
                              <w:rPr>
                                <w:caps w:val="false"/>
                                <w:smallCaps w:val="false"/>
                                <w:sz w:val="24"/>
                              </w:rPr>
                              <w:t xml:space="preserve"> </w:t>
                            </w:r>
                            <w:r>
                              <w:rPr>
                                <w:rFonts w:ascii="Arial;sans-serif" w:hAnsi="Arial;sans-serif"/>
                                <w:b w:val="false"/>
                                <w:i w:val="false"/>
                                <w:caps w:val="false"/>
                                <w:smallCaps w:val="false"/>
                                <w:sz w:val="22"/>
                              </w:rPr>
                              <w:t xml:space="preserve">quarter of </w:t>
                            </w:r>
                            <w:r>
                              <w:rPr>
                                <w:rFonts w:ascii="Arial;sans-serif" w:hAnsi="Arial;sans-serif"/>
                                <w:b w:val="false"/>
                                <w:i w:val="false"/>
                                <w:caps w:val="false"/>
                                <w:smallCaps w:val="false"/>
                                <w:strike w:val="false"/>
                                <w:dstrike w:val="false"/>
                                <w:sz w:val="22"/>
                                <w:u w:val="none"/>
                                <w:effect w:val="none"/>
                              </w:rPr>
                              <w:t>2025</w:t>
                            </w:r>
                            <w:r>
                              <w:rPr>
                                <w:rFonts w:ascii="Arial;sans-serif" w:hAnsi="Arial;sans-serif"/>
                                <w:b w:val="false"/>
                                <w:i w:val="false"/>
                                <w:caps w:val="false"/>
                                <w:smallCaps w:val="false"/>
                                <w:sz w:val="22"/>
                              </w:rPr>
                              <w:t xml:space="preserve">, or </w:t>
                            </w:r>
                            <w:r>
                              <w:rPr>
                                <w:rFonts w:ascii="Arial;sans-serif" w:hAnsi="Arial;sans-serif"/>
                                <w:b/>
                                <w:i w:val="false"/>
                                <w:caps w:val="false"/>
                                <w:smallCaps w:val="false"/>
                                <w:strike w:val="false"/>
                                <w:dstrike w:val="false"/>
                                <w:color w:val="8C56EE"/>
                                <w:sz w:val="22"/>
                                <w:u w:val="none"/>
                                <w:effect w:val="none"/>
                                <w:shd w:fill="FFFFFF" w:val="clear"/>
                              </w:rPr>
                              <w:t>19%</w:t>
                            </w:r>
                            <w:r>
                              <w:rPr>
                                <w:caps w:val="false"/>
                                <w:smallCaps w:val="false"/>
                                <w:sz w:val="24"/>
                              </w:rPr>
                              <w:t xml:space="preserve"> </w:t>
                            </w:r>
                            <w:r>
                              <w:rPr>
                                <w:rFonts w:ascii="Arial;sans-serif" w:hAnsi="Arial;sans-serif"/>
                                <w:b w:val="false"/>
                                <w:i w:val="false"/>
                                <w:caps w:val="false"/>
                                <w:smallCaps w:val="false"/>
                                <w:sz w:val="22"/>
                              </w:rPr>
                              <w:t xml:space="preserve">on an </w:t>
                            </w:r>
                          </w:p>
                          <w:p>
                            <w:pPr>
                              <w:pStyle w:val="TableContents"/>
                              <w:bidi w:val="0"/>
                              <w:spacing w:lineRule="atLeast" w:line="160" w:before="0" w:after="0"/>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organic basis.</w:t>
                            </w:r>
                          </w:p>
                        </w:tc>
                        <w:tc>
                          <w:tcPr>
                            <w:tcW w:w="3926" w:type="dxa"/>
                            <w:vMerge w:val="continue"/>
                            <w:tcBorders/>
                            <w:vAlign w:val="center"/>
                          </w:tcPr>
                          <w:p>
                            <w:pPr>
                              <w:pStyle w:val="Normal"/>
                              <w:bidi w:val="0"/>
                              <w:jc w:val="left"/>
                              <w:rPr/>
                            </w:pPr>
                            <w:r>
                              <w:rPr/>
                            </w:r>
                          </w:p>
                        </w:tc>
                      </w:tr>
                      <w:tr>
                        <w:trPr/>
                        <w:tc>
                          <w:tcPr>
                            <w:tcW w:w="7511" w:type="dxa"/>
                            <w:tcBorders/>
                            <w:vAlign w:val="center"/>
                          </w:tcPr>
                          <w:p>
                            <w:pPr>
                              <w:pStyle w:val="TableContents"/>
                              <w:bidi w:val="0"/>
                              <w:spacing w:lineRule="atLeast" w:line="160" w:before="0" w:after="0"/>
                              <w:jc w:val="left"/>
                              <w:rPr/>
                            </w:pPr>
                            <w:r>
                              <w:rPr>
                                <w:caps w:val="false"/>
                                <w:smallCaps w:val="false"/>
                                <w:strike w:val="false"/>
                                <w:dstrike w:val="false"/>
                                <w:u w:val="none"/>
                                <w:effect w:val="none"/>
                                <w:shd w:fill="FFFFFF" w:val="clear"/>
                              </w:rPr>
                              <w:t>•</w:t>
                            </w:r>
                            <w:r>
                              <w:rPr>
                                <w:rFonts w:ascii="Arial;sans-serif" w:hAnsi="Arial;sans-serif"/>
                                <w:b w:val="false"/>
                                <w:i w:val="false"/>
                                <w:caps w:val="false"/>
                                <w:smallCaps w:val="false"/>
                                <w:sz w:val="22"/>
                              </w:rPr>
                              <w:t xml:space="preserve">In the </w:t>
                            </w:r>
                            <w:r>
                              <w:rPr>
                                <w:rFonts w:ascii="Arial;sans-serif" w:hAnsi="Arial;sans-serif"/>
                                <w:b w:val="false"/>
                                <w:i w:val="false"/>
                                <w:caps w:val="false"/>
                                <w:smallCaps w:val="false"/>
                                <w:strike w:val="false"/>
                                <w:dstrike w:val="false"/>
                                <w:sz w:val="22"/>
                                <w:u w:val="none"/>
                                <w:effect w:val="none"/>
                              </w:rPr>
                              <w:t>third</w:t>
                            </w:r>
                            <w:r>
                              <w:rPr>
                                <w:caps w:val="false"/>
                                <w:smallCaps w:val="false"/>
                                <w:sz w:val="24"/>
                              </w:rPr>
                              <w:t xml:space="preserve"> </w:t>
                            </w:r>
                            <w:r>
                              <w:rPr>
                                <w:rFonts w:ascii="Arial;sans-serif" w:hAnsi="Arial;sans-serif"/>
                                <w:b w:val="false"/>
                                <w:i w:val="false"/>
                                <w:caps w:val="false"/>
                                <w:smallCaps w:val="false"/>
                                <w:sz w:val="22"/>
                              </w:rPr>
                              <w:t xml:space="preserve">quarter of </w:t>
                            </w:r>
                            <w:r>
                              <w:rPr>
                                <w:rFonts w:ascii="Arial;sans-serif" w:hAnsi="Arial;sans-serif"/>
                                <w:b w:val="false"/>
                                <w:i w:val="false"/>
                                <w:caps w:val="false"/>
                                <w:smallCaps w:val="false"/>
                                <w:strike w:val="false"/>
                                <w:dstrike w:val="false"/>
                                <w:sz w:val="22"/>
                                <w:u w:val="none"/>
                                <w:effect w:val="none"/>
                              </w:rPr>
                              <w:t>2026</w:t>
                            </w:r>
                            <w:r>
                              <w:rPr>
                                <w:rFonts w:ascii="Arial;sans-serif" w:hAnsi="Arial;sans-serif"/>
                                <w:b w:val="false"/>
                                <w:i w:val="false"/>
                                <w:caps w:val="false"/>
                                <w:smallCaps w:val="false"/>
                                <w:sz w:val="22"/>
                              </w:rPr>
                              <w:t xml:space="preserve">, the company returned </w:t>
                            </w:r>
                            <w:r>
                              <w:rPr>
                                <w:rFonts w:ascii="Arial;sans-serif" w:hAnsi="Arial;sans-serif"/>
                                <w:b/>
                                <w:i w:val="false"/>
                                <w:caps w:val="false"/>
                                <w:smallCaps w:val="false"/>
                                <w:strike w:val="false"/>
                                <w:dstrike w:val="false"/>
                                <w:color w:val="8C56EE"/>
                                <w:sz w:val="22"/>
                                <w:u w:val="none"/>
                                <w:effect w:val="none"/>
                              </w:rPr>
                              <w:t>$173</w:t>
                            </w:r>
                            <w:r>
                              <w:rPr>
                                <w:caps w:val="false"/>
                                <w:smallCaps w:val="false"/>
                                <w:strike w:val="false"/>
                                <w:dstrike w:val="false"/>
                                <w:color w:val="8C56EE"/>
                                <w:sz w:val="24"/>
                                <w:u w:val="none"/>
                                <w:effect w:val="none"/>
                              </w:rPr>
                              <w:t xml:space="preserve"> </w:t>
                            </w:r>
                            <w:r>
                              <w:rPr>
                                <w:rFonts w:ascii="Arial;sans-serif" w:hAnsi="Arial;sans-serif"/>
                                <w:b/>
                                <w:i w:val="false"/>
                                <w:caps w:val="false"/>
                                <w:smallCaps w:val="false"/>
                                <w:strike w:val="false"/>
                                <w:dstrike w:val="false"/>
                                <w:color w:val="8C56EE"/>
                                <w:sz w:val="22"/>
                                <w:u w:val="none"/>
                                <w:effect w:val="none"/>
                              </w:rPr>
                              <w:t>million</w:t>
                            </w:r>
                            <w:r>
                              <w:rPr>
                                <w:caps w:val="false"/>
                                <w:smallCaps w:val="false"/>
                                <w:sz w:val="24"/>
                              </w:rPr>
                              <w:t xml:space="preserve"> </w:t>
                            </w:r>
                            <w:r>
                              <w:rPr>
                                <w:rFonts w:ascii="Arial;sans-serif" w:hAnsi="Arial;sans-serif"/>
                                <w:b w:val="false"/>
                                <w:i w:val="false"/>
                                <w:caps w:val="false"/>
                                <w:smallCaps w:val="false"/>
                                <w:sz w:val="22"/>
                              </w:rPr>
                              <w:t xml:space="preserve">to </w:t>
                            </w:r>
                          </w:p>
                          <w:p>
                            <w:pPr>
                              <w:pStyle w:val="TableContents"/>
                              <w:bidi w:val="0"/>
                              <w:spacing w:lineRule="atLeast" w:line="160" w:before="0" w:after="0"/>
                              <w:jc w:val="left"/>
                              <w:rPr/>
                            </w:pPr>
                            <w:r>
                              <w:rPr>
                                <w:rFonts w:ascii="Arial;sans-serif" w:hAnsi="Arial;sans-serif"/>
                                <w:b w:val="false"/>
                                <w:i w:val="false"/>
                                <w:caps w:val="false"/>
                                <w:smallCaps w:val="false"/>
                                <w:sz w:val="22"/>
                              </w:rPr>
                              <w:t>shareholders through dividends and</w:t>
                            </w:r>
                            <w:r>
                              <w:rPr>
                                <w:caps w:val="false"/>
                                <w:smallCaps w:val="false"/>
                                <w:strike w:val="false"/>
                                <w:dstrike w:val="false"/>
                                <w:u w:val="none"/>
                                <w:effect w:val="none"/>
                                <w:shd w:fill="FFFFFF" w:val="clear"/>
                              </w:rPr>
                              <w:t xml:space="preserve"> </w:t>
                            </w:r>
                            <w:r>
                              <w:rPr>
                                <w:rFonts w:ascii="Arial;sans-serif" w:hAnsi="Arial;sans-serif"/>
                                <w:b/>
                                <w:i w:val="false"/>
                                <w:caps w:val="false"/>
                                <w:smallCaps w:val="false"/>
                                <w:strike w:val="false"/>
                                <w:dstrike w:val="false"/>
                                <w:color w:val="8C56EE"/>
                                <w:sz w:val="22"/>
                                <w:u w:val="none"/>
                                <w:effect w:val="none"/>
                              </w:rPr>
                              <w:t>$</w:t>
                            </w:r>
                            <w:r>
                              <w:rPr>
                                <w:rFonts w:ascii="Arial;sans-serif" w:hAnsi="Arial;sans-serif"/>
                                <w:b/>
                                <w:i w:val="false"/>
                                <w:caps w:val="false"/>
                                <w:smallCaps w:val="false"/>
                                <w:strike w:val="false"/>
                                <w:dstrike w:val="false"/>
                                <w:color w:val="8C56EE"/>
                                <w:sz w:val="22"/>
                                <w:u w:val="none"/>
                                <w:effect w:val="none"/>
                                <w:shd w:fill="FFFFFF" w:val="clear"/>
                              </w:rPr>
                              <w:t>323</w:t>
                            </w:r>
                            <w:r>
                              <w:rPr>
                                <w:caps w:val="false"/>
                                <w:smallCaps w:val="false"/>
                                <w:strike w:val="false"/>
                                <w:dstrike w:val="false"/>
                                <w:u w:val="none"/>
                                <w:effect w:val="none"/>
                                <w:shd w:fill="FFFFFF" w:val="clear"/>
                              </w:rPr>
                              <w:t xml:space="preserve"> </w:t>
                            </w:r>
                            <w:r>
                              <w:rPr>
                                <w:rFonts w:ascii="Arial;sans-serif" w:hAnsi="Arial;sans-serif"/>
                                <w:b/>
                                <w:i w:val="false"/>
                                <w:caps w:val="false"/>
                                <w:smallCaps w:val="false"/>
                                <w:strike w:val="false"/>
                                <w:dstrike w:val="false"/>
                                <w:color w:val="8C56EE"/>
                                <w:sz w:val="22"/>
                                <w:u w:val="none"/>
                                <w:effect w:val="none"/>
                              </w:rPr>
                              <w:t>million</w:t>
                            </w:r>
                            <w:r>
                              <w:rPr>
                                <w:caps w:val="false"/>
                                <w:smallCaps w:val="false"/>
                              </w:rPr>
                              <w:t xml:space="preserve"> </w:t>
                            </w:r>
                            <w:r>
                              <w:rPr>
                                <w:rFonts w:ascii="Arial;sans-serif" w:hAnsi="Arial;sans-serif"/>
                                <w:b w:val="false"/>
                                <w:i w:val="false"/>
                                <w:caps w:val="false"/>
                                <w:smallCaps w:val="false"/>
                                <w:sz w:val="22"/>
                              </w:rPr>
                              <w:t xml:space="preserve">through repurchases of </w:t>
                            </w:r>
                          </w:p>
                          <w:p>
                            <w:pPr>
                              <w:pStyle w:val="TableContents"/>
                              <w:bidi w:val="0"/>
                              <w:spacing w:lineRule="atLeast" w:line="160" w:before="0" w:after="0"/>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 xml:space="preserve">common stock. </w:t>
                            </w:r>
                          </w:p>
                        </w:tc>
                        <w:tc>
                          <w:tcPr>
                            <w:tcW w:w="3926" w:type="dxa"/>
                            <w:vMerge w:val="continue"/>
                            <w:tcBorders/>
                            <w:vAlign w:val="center"/>
                          </w:tcPr>
                          <w:p>
                            <w:pPr>
                              <w:pStyle w:val="Normal"/>
                              <w:bidi w:val="0"/>
                              <w:jc w:val="left"/>
                              <w:rPr/>
                            </w:pPr>
                            <w:r>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page">
                  <wp:posOffset>365760</wp:posOffset>
                </wp:positionH>
                <wp:positionV relativeFrom="line">
                  <wp:posOffset>635</wp:posOffset>
                </wp:positionV>
                <wp:extent cx="7115175" cy="3108960"/>
                <wp:effectExtent l="0" t="0" r="0" b="0"/>
                <wp:wrapNone/>
                <wp:docPr id="6" name="Frame6"/>
                <a:graphic xmlns:a="http://schemas.openxmlformats.org/drawingml/2006/main">
                  <a:graphicData uri="http://schemas.microsoft.com/office/word/2010/wordprocessingShape">
                    <wps:wsp>
                      <wps:cNvSpPr txBox="1"/>
                      <wps:spPr>
                        <a:xfrm>
                          <a:off x="0" y="0"/>
                          <a:ext cx="7115175" cy="3108960"/>
                        </a:xfrm>
                        <a:prstGeom prst="rect"/>
                        <a:solidFill>
                          <a:srgbClr val="FFFFFF"/>
                        </a:solidFill>
                      </wps:spPr>
                      <wps:txbx>
                        <w:txbxContent>
                          <w:tbl>
                            <w:tblPr>
                              <w:tblW w:w="11437" w:type="dxa"/>
                              <w:jc w:val="left"/>
                              <w:tblInd w:w="0" w:type="dxa"/>
                              <w:tblLayout w:type="fixed"/>
                              <w:tblCellMar>
                                <w:top w:w="28" w:type="dxa"/>
                                <w:left w:w="28" w:type="dxa"/>
                                <w:bottom w:w="28" w:type="dxa"/>
                                <w:right w:w="28" w:type="dxa"/>
                              </w:tblCellMar>
                            </w:tblPr>
                            <w:tblGrid>
                              <w:gridCol w:w="5546"/>
                              <w:gridCol w:w="491"/>
                              <w:gridCol w:w="491"/>
                              <w:gridCol w:w="491"/>
                              <w:gridCol w:w="492"/>
                              <w:gridCol w:w="3926"/>
                            </w:tblGrid>
                            <w:tr>
                              <w:trPr/>
                              <w:tc>
                                <w:tcPr>
                                  <w:tcW w:w="55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26" w:type="dxa"/>
                                  <w:tcBorders/>
                                  <w:vAlign w:val="center"/>
                                </w:tcPr>
                                <w:p>
                                  <w:pPr>
                                    <w:pStyle w:val="TableContents"/>
                                    <w:bidi w:val="0"/>
                                    <w:spacing w:before="0" w:after="283"/>
                                    <w:jc w:val="left"/>
                                    <w:rPr>
                                      <w:sz w:val="4"/>
                                      <w:szCs w:val="4"/>
                                    </w:rPr>
                                  </w:pPr>
                                  <w:r>
                                    <w:rPr>
                                      <w:sz w:val="4"/>
                                      <w:szCs w:val="4"/>
                                    </w:rPr>
                                  </w:r>
                                </w:p>
                              </w:tc>
                            </w:tr>
                            <w:tr>
                              <w:trPr/>
                              <w:tc>
                                <w:tcPr>
                                  <w:tcW w:w="7511" w:type="dxa"/>
                                  <w:gridSpan w:val="5"/>
                                  <w:tcBorders/>
                                  <w:vAlign w:val="center"/>
                                </w:tcPr>
                                <w:p>
                                  <w:pPr>
                                    <w:pStyle w:val="TableContents"/>
                                    <w:bidi w:val="0"/>
                                    <w:spacing w:before="0" w:after="283"/>
                                    <w:jc w:val="left"/>
                                    <w:rPr>
                                      <w:sz w:val="4"/>
                                      <w:szCs w:val="4"/>
                                    </w:rPr>
                                  </w:pPr>
                                  <w:r>
                                    <w:rPr>
                                      <w:sz w:val="4"/>
                                      <w:szCs w:val="4"/>
                                    </w:rPr>
                                  </w:r>
                                </w:p>
                              </w:tc>
                              <w:tc>
                                <w:tcPr>
                                  <w:tcW w:w="3926" w:type="dxa"/>
                                  <w:vMerge w:val="restart"/>
                                  <w:tcBorders/>
                                  <w:vAlign w:val="center"/>
                                </w:tcPr>
                                <w:p>
                                  <w:pPr>
                                    <w:pStyle w:val="TableContents"/>
                                    <w:bidi w:val="0"/>
                                    <w:spacing w:before="0" w:after="283"/>
                                    <w:jc w:val="left"/>
                                    <w:rPr>
                                      <w:sz w:val="4"/>
                                      <w:szCs w:val="4"/>
                                    </w:rPr>
                                  </w:pPr>
                                  <w:r>
                                    <w:rPr>
                                      <w:sz w:val="4"/>
                                      <w:szCs w:val="4"/>
                                    </w:rPr>
                                  </w:r>
                                </w:p>
                              </w:tc>
                            </w:tr>
                            <w:tr>
                              <w:trPr/>
                              <w:tc>
                                <w:tcPr>
                                  <w:tcW w:w="5546" w:type="dxa"/>
                                  <w:tcBorders/>
                                  <w:shd w:fill="8C56EE"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FFFFFF"/>
                                      <w:sz w:val="16"/>
                                      <w:u w:val="none"/>
                                      <w:effect w:val="none"/>
                                    </w:rPr>
                                  </w:pPr>
                                  <w:r>
                                    <w:rPr>
                                      <w:rFonts w:ascii="Arial;sans-serif" w:hAnsi="Arial;sans-serif"/>
                                      <w:b w:val="false"/>
                                      <w:i w:val="false"/>
                                      <w:caps w:val="false"/>
                                      <w:smallCaps w:val="false"/>
                                      <w:strike w:val="false"/>
                                      <w:dstrike w:val="false"/>
                                      <w:color w:val="FFFFFF"/>
                                      <w:sz w:val="16"/>
                                      <w:u w:val="none"/>
                                      <w:effect w:val="none"/>
                                    </w:rPr>
                                    <w:t>(US$ millions, except per share)</w:t>
                                  </w:r>
                                </w:p>
                              </w:tc>
                              <w:tc>
                                <w:tcPr>
                                  <w:tcW w:w="491" w:type="dxa"/>
                                  <w:tcBorders/>
                                  <w:shd w:fill="8C56EE" w:val="clear"/>
                                  <w:vAlign w:val="center"/>
                                </w:tcPr>
                                <w:p>
                                  <w:pPr>
                                    <w:pStyle w:val="TableContents"/>
                                    <w:bidi w:val="0"/>
                                    <w:spacing w:before="0" w:after="283"/>
                                    <w:jc w:val="left"/>
                                    <w:rPr>
                                      <w:sz w:val="4"/>
                                      <w:szCs w:val="4"/>
                                    </w:rPr>
                                  </w:pPr>
                                  <w:r>
                                    <w:rPr>
                                      <w:sz w:val="4"/>
                                      <w:szCs w:val="4"/>
                                    </w:rPr>
                                  </w:r>
                                </w:p>
                              </w:tc>
                              <w:tc>
                                <w:tcPr>
                                  <w:tcW w:w="491" w:type="dxa"/>
                                  <w:tcBorders/>
                                  <w:shd w:fill="8C56EE" w:val="clear"/>
                                  <w:vAlign w:val="center"/>
                                </w:tcPr>
                                <w:p>
                                  <w:pPr>
                                    <w:pStyle w:val="TableContents"/>
                                    <w:bidi w:val="0"/>
                                    <w:spacing w:before="0" w:after="283"/>
                                    <w:jc w:val="left"/>
                                    <w:rPr>
                                      <w:sz w:val="4"/>
                                      <w:szCs w:val="4"/>
                                    </w:rPr>
                                  </w:pPr>
                                  <w:r>
                                    <w:rPr>
                                      <w:sz w:val="4"/>
                                      <w:szCs w:val="4"/>
                                    </w:rPr>
                                  </w:r>
                                </w:p>
                              </w:tc>
                              <w:tc>
                                <w:tcPr>
                                  <w:tcW w:w="491" w:type="dxa"/>
                                  <w:tcBorders/>
                                  <w:shd w:fill="8C56EE" w:val="clear"/>
                                  <w:vAlign w:val="center"/>
                                </w:tcPr>
                                <w:p>
                                  <w:pPr>
                                    <w:pStyle w:val="TableContents"/>
                                    <w:bidi w:val="0"/>
                                    <w:spacing w:before="0" w:after="283"/>
                                    <w:jc w:val="left"/>
                                    <w:rPr>
                                      <w:sz w:val="4"/>
                                      <w:szCs w:val="4"/>
                                    </w:rPr>
                                  </w:pPr>
                                  <w:r>
                                    <w:rPr>
                                      <w:sz w:val="4"/>
                                      <w:szCs w:val="4"/>
                                    </w:rPr>
                                  </w:r>
                                </w:p>
                              </w:tc>
                              <w:tc>
                                <w:tcPr>
                                  <w:tcW w:w="492" w:type="dxa"/>
                                  <w:tcBorders/>
                                  <w:shd w:fill="8C56EE" w:val="clear"/>
                                  <w:vAlign w:val="center"/>
                                </w:tcPr>
                                <w:p>
                                  <w:pPr>
                                    <w:pStyle w:val="TableContents"/>
                                    <w:bidi w:val="0"/>
                                    <w:spacing w:before="0" w:after="283"/>
                                    <w:jc w:val="left"/>
                                    <w:rPr>
                                      <w:sz w:val="4"/>
                                      <w:szCs w:val="4"/>
                                    </w:rPr>
                                  </w:pPr>
                                  <w:r>
                                    <w:rPr>
                                      <w:sz w:val="4"/>
                                      <w:szCs w:val="4"/>
                                    </w:rPr>
                                  </w:r>
                                </w:p>
                              </w:tc>
                              <w:tc>
                                <w:tcPr>
                                  <w:tcW w:w="3926" w:type="dxa"/>
                                  <w:vMerge w:val="continue"/>
                                  <w:tcBorders/>
                                  <w:vAlign w:val="center"/>
                                </w:tcPr>
                                <w:p>
                                  <w:pPr>
                                    <w:pStyle w:val="Normal"/>
                                    <w:bidi w:val="0"/>
                                    <w:jc w:val="left"/>
                                    <w:rPr/>
                                  </w:pPr>
                                  <w:r>
                                    <w:rPr/>
                                  </w:r>
                                </w:p>
                              </w:tc>
                            </w:tr>
                            <w:tr>
                              <w:trPr/>
                              <w:tc>
                                <w:tcPr>
                                  <w:tcW w:w="554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22"/>
                                      <w:u w:val="none"/>
                                      <w:effect w:val="none"/>
                                    </w:rPr>
                                  </w:pPr>
                                  <w:r>
                                    <w:rPr>
                                      <w:rFonts w:ascii="Arial;sans-serif" w:hAnsi="Arial;sans-serif"/>
                                      <w:b w:val="false"/>
                                      <w:i w:val="false"/>
                                      <w:caps w:val="false"/>
                                      <w:smallCaps w:val="false"/>
                                      <w:strike w:val="false"/>
                                      <w:dstrike w:val="false"/>
                                      <w:color w:val="000000"/>
                                      <w:sz w:val="22"/>
                                      <w:u w:val="none"/>
                                      <w:effect w:val="none"/>
                                    </w:rPr>
                                    <w:t>Solutions revenue</w:t>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26" w:type="dxa"/>
                                  <w:vMerge w:val="continue"/>
                                  <w:tcBorders/>
                                  <w:vAlign w:val="center"/>
                                </w:tcPr>
                                <w:p>
                                  <w:pPr>
                                    <w:pStyle w:val="Normal"/>
                                    <w:bidi w:val="0"/>
                                    <w:jc w:val="left"/>
                                    <w:rPr/>
                                  </w:pPr>
                                  <w:r>
                                    <w:rPr/>
                                  </w:r>
                                </w:p>
                              </w:tc>
                            </w:tr>
                            <w:tr>
                              <w:trPr/>
                              <w:tc>
                                <w:tcPr>
                                  <w:tcW w:w="5546" w:type="dxa"/>
                                  <w:tcBorders/>
                                  <w:vAlign w:val="center"/>
                                </w:tcPr>
                                <w:p>
                                  <w:pPr>
                                    <w:pStyle w:val="TableContents"/>
                                    <w:bidi w:val="0"/>
                                    <w:spacing w:lineRule="atLeast" w:line="160" w:before="0" w:after="0"/>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Market Services net revenue</w:t>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26" w:type="dxa"/>
                                  <w:vMerge w:val="continue"/>
                                  <w:tcBorders/>
                                  <w:vAlign w:val="center"/>
                                </w:tcPr>
                                <w:p>
                                  <w:pPr>
                                    <w:pStyle w:val="Normal"/>
                                    <w:bidi w:val="0"/>
                                    <w:jc w:val="left"/>
                                    <w:rPr/>
                                  </w:pPr>
                                  <w:r>
                                    <w:rPr/>
                                  </w:r>
                                </w:p>
                              </w:tc>
                            </w:tr>
                            <w:tr>
                              <w:trPr/>
                              <w:tc>
                                <w:tcPr>
                                  <w:tcW w:w="554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22"/>
                                      <w:u w:val="none"/>
                                      <w:effect w:val="none"/>
                                    </w:rPr>
                                  </w:pPr>
                                  <w:r>
                                    <w:rPr>
                                      <w:rFonts w:ascii="Arial;sans-serif" w:hAnsi="Arial;sans-serif"/>
                                      <w:b w:val="false"/>
                                      <w:i w:val="false"/>
                                      <w:caps w:val="false"/>
                                      <w:smallCaps w:val="false"/>
                                      <w:strike w:val="false"/>
                                      <w:dstrike w:val="false"/>
                                      <w:color w:val="000000"/>
                                      <w:sz w:val="22"/>
                                      <w:u w:val="none"/>
                                      <w:effect w:val="none"/>
                                    </w:rPr>
                                    <w:t>Net revenue</w:t>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26" w:type="dxa"/>
                                  <w:vMerge w:val="continue"/>
                                  <w:tcBorders/>
                                  <w:vAlign w:val="center"/>
                                </w:tcPr>
                                <w:p>
                                  <w:pPr>
                                    <w:pStyle w:val="Normal"/>
                                    <w:bidi w:val="0"/>
                                    <w:jc w:val="left"/>
                                    <w:rPr/>
                                  </w:pPr>
                                  <w:r>
                                    <w:rPr/>
                                  </w:r>
                                </w:p>
                              </w:tc>
                            </w:tr>
                            <w:tr>
                              <w:trPr/>
                              <w:tc>
                                <w:tcPr>
                                  <w:tcW w:w="554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22"/>
                                      <w:u w:val="none"/>
                                      <w:effect w:val="none"/>
                                    </w:rPr>
                                  </w:pPr>
                                  <w:r>
                                    <w:rPr>
                                      <w:rFonts w:ascii="Arial;sans-serif" w:hAnsi="Arial;sans-serif"/>
                                      <w:b w:val="false"/>
                                      <w:i w:val="false"/>
                                      <w:caps w:val="false"/>
                                      <w:smallCaps w:val="false"/>
                                      <w:strike w:val="false"/>
                                      <w:dstrike w:val="false"/>
                                      <w:color w:val="000000"/>
                                      <w:sz w:val="22"/>
                                      <w:u w:val="none"/>
                                      <w:effect w:val="none"/>
                                    </w:rPr>
                                    <w:t>GAAP operating income</w:t>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26" w:type="dxa"/>
                                  <w:vMerge w:val="continue"/>
                                  <w:tcBorders/>
                                  <w:vAlign w:val="center"/>
                                </w:tcPr>
                                <w:p>
                                  <w:pPr>
                                    <w:pStyle w:val="Normal"/>
                                    <w:bidi w:val="0"/>
                                    <w:jc w:val="left"/>
                                    <w:rPr/>
                                  </w:pPr>
                                  <w:r>
                                    <w:rPr/>
                                  </w:r>
                                </w:p>
                              </w:tc>
                            </w:tr>
                            <w:tr>
                              <w:trPr/>
                              <w:tc>
                                <w:tcPr>
                                  <w:tcW w:w="554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22"/>
                                      <w:u w:val="none"/>
                                      <w:effect w:val="none"/>
                                    </w:rPr>
                                  </w:pPr>
                                  <w:r>
                                    <w:rPr>
                                      <w:rFonts w:ascii="Arial;sans-serif" w:hAnsi="Arial;sans-serif"/>
                                      <w:b w:val="false"/>
                                      <w:i w:val="false"/>
                                      <w:caps w:val="false"/>
                                      <w:smallCaps w:val="false"/>
                                      <w:strike w:val="false"/>
                                      <w:dstrike w:val="false"/>
                                      <w:color w:val="000000"/>
                                      <w:sz w:val="22"/>
                                      <w:u w:val="none"/>
                                      <w:effect w:val="none"/>
                                    </w:rPr>
                                    <w:t>Non-GAAP operating income</w:t>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26" w:type="dxa"/>
                                  <w:vMerge w:val="continue"/>
                                  <w:tcBorders/>
                                  <w:vAlign w:val="center"/>
                                </w:tcPr>
                                <w:p>
                                  <w:pPr>
                                    <w:pStyle w:val="Normal"/>
                                    <w:bidi w:val="0"/>
                                    <w:jc w:val="left"/>
                                    <w:rPr/>
                                  </w:pPr>
                                  <w:r>
                                    <w:rPr/>
                                  </w:r>
                                </w:p>
                              </w:tc>
                            </w:tr>
                            <w:tr>
                              <w:trPr/>
                              <w:tc>
                                <w:tcPr>
                                  <w:tcW w:w="554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22"/>
                                      <w:u w:val="none"/>
                                      <w:effect w:val="none"/>
                                    </w:rPr>
                                  </w:pPr>
                                  <w:r>
                                    <w:rPr>
                                      <w:rFonts w:ascii="Arial;sans-serif" w:hAnsi="Arial;sans-serif"/>
                                      <w:b w:val="false"/>
                                      <w:i w:val="false"/>
                                      <w:caps w:val="false"/>
                                      <w:smallCaps w:val="false"/>
                                      <w:strike w:val="false"/>
                                      <w:dstrike w:val="false"/>
                                      <w:color w:val="000000"/>
                                      <w:sz w:val="22"/>
                                      <w:u w:val="none"/>
                                      <w:effect w:val="none"/>
                                    </w:rPr>
                                    <w:t>ARR</w:t>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26" w:type="dxa"/>
                                  <w:vMerge w:val="continue"/>
                                  <w:tcBorders/>
                                  <w:vAlign w:val="center"/>
                                </w:tcPr>
                                <w:p>
                                  <w:pPr>
                                    <w:pStyle w:val="Normal"/>
                                    <w:bidi w:val="0"/>
                                    <w:jc w:val="left"/>
                                    <w:rPr/>
                                  </w:pPr>
                                  <w:r>
                                    <w:rPr/>
                                  </w:r>
                                </w:p>
                              </w:tc>
                            </w:tr>
                            <w:tr>
                              <w:trPr/>
                              <w:tc>
                                <w:tcPr>
                                  <w:tcW w:w="554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22"/>
                                      <w:u w:val="none"/>
                                      <w:effect w:val="none"/>
                                    </w:rPr>
                                  </w:pPr>
                                  <w:r>
                                    <w:rPr>
                                      <w:rFonts w:ascii="Arial;sans-serif" w:hAnsi="Arial;sans-serif"/>
                                      <w:b w:val="false"/>
                                      <w:i w:val="false"/>
                                      <w:caps w:val="false"/>
                                      <w:smallCaps w:val="false"/>
                                      <w:strike w:val="false"/>
                                      <w:dstrike w:val="false"/>
                                      <w:color w:val="000000"/>
                                      <w:sz w:val="22"/>
                                      <w:u w:val="none"/>
                                      <w:effect w:val="none"/>
                                    </w:rPr>
                                    <w:t>GAAP diluted EPS</w:t>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26" w:type="dxa"/>
                                  <w:vMerge w:val="continue"/>
                                  <w:tcBorders/>
                                  <w:vAlign w:val="center"/>
                                </w:tcPr>
                                <w:p>
                                  <w:pPr>
                                    <w:pStyle w:val="Normal"/>
                                    <w:bidi w:val="0"/>
                                    <w:jc w:val="left"/>
                                    <w:rPr/>
                                  </w:pPr>
                                  <w:r>
                                    <w:rPr/>
                                  </w:r>
                                </w:p>
                              </w:tc>
                            </w:tr>
                            <w:tr>
                              <w:trPr/>
                              <w:tc>
                                <w:tcPr>
                                  <w:tcW w:w="554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22"/>
                                      <w:u w:val="none"/>
                                      <w:effect w:val="none"/>
                                    </w:rPr>
                                  </w:pPr>
                                  <w:r>
                                    <w:rPr>
                                      <w:rFonts w:ascii="Arial;sans-serif" w:hAnsi="Arial;sans-serif"/>
                                      <w:b w:val="false"/>
                                      <w:i w:val="false"/>
                                      <w:caps w:val="false"/>
                                      <w:smallCaps w:val="false"/>
                                      <w:strike w:val="false"/>
                                      <w:dstrike w:val="false"/>
                                      <w:color w:val="000000"/>
                                      <w:sz w:val="22"/>
                                      <w:u w:val="none"/>
                                      <w:effect w:val="none"/>
                                    </w:rPr>
                                    <w:t>Non-GAAP diluted EPS</w:t>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26" w:type="dxa"/>
                                  <w:vMerge w:val="continue"/>
                                  <w:tcBorders/>
                                  <w:vAlign w:val="center"/>
                                </w:tcPr>
                                <w:p>
                                  <w:pPr>
                                    <w:pStyle w:val="Normal"/>
                                    <w:bidi w:val="0"/>
                                    <w:jc w:val="left"/>
                                    <w:rPr/>
                                  </w:pPr>
                                  <w:r>
                                    <w:rPr/>
                                  </w:r>
                                </w:p>
                              </w:tc>
                            </w:tr>
                            <w:tr>
                              <w:trPr/>
                              <w:tc>
                                <w:tcPr>
                                  <w:tcW w:w="7019" w:type="dxa"/>
                                  <w:gridSpan w:val="4"/>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26" w:type="dxa"/>
                                  <w:vMerge w:val="continue"/>
                                  <w:tcBorders/>
                                  <w:vAlign w:val="center"/>
                                </w:tcPr>
                                <w:p>
                                  <w:pPr>
                                    <w:pStyle w:val="Normal"/>
                                    <w:bidi w:val="0"/>
                                    <w:jc w:val="left"/>
                                    <w:rPr/>
                                  </w:pPr>
                                  <w:r>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60.25pt;height:244.8pt;mso-wrap-distance-left:0pt;mso-wrap-distance-right:0pt;mso-wrap-distance-top:0pt;mso-wrap-distance-bottom:0pt;margin-top:0pt;mso-position-vertical:top;mso-position-vertical-relative:text;margin-left:28.8pt;mso-position-horizontal-relative:page">
                <v:textbox>
                  <w:txbxContent>
                    <w:tbl>
                      <w:tblPr>
                        <w:tblW w:w="11437" w:type="dxa"/>
                        <w:jc w:val="left"/>
                        <w:tblInd w:w="0" w:type="dxa"/>
                        <w:tblLayout w:type="fixed"/>
                        <w:tblCellMar>
                          <w:top w:w="28" w:type="dxa"/>
                          <w:left w:w="28" w:type="dxa"/>
                          <w:bottom w:w="28" w:type="dxa"/>
                          <w:right w:w="28" w:type="dxa"/>
                        </w:tblCellMar>
                      </w:tblPr>
                      <w:tblGrid>
                        <w:gridCol w:w="5546"/>
                        <w:gridCol w:w="491"/>
                        <w:gridCol w:w="491"/>
                        <w:gridCol w:w="491"/>
                        <w:gridCol w:w="492"/>
                        <w:gridCol w:w="3926"/>
                      </w:tblGrid>
                      <w:tr>
                        <w:trPr/>
                        <w:tc>
                          <w:tcPr>
                            <w:tcW w:w="554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26" w:type="dxa"/>
                            <w:tcBorders/>
                            <w:vAlign w:val="center"/>
                          </w:tcPr>
                          <w:p>
                            <w:pPr>
                              <w:pStyle w:val="TableContents"/>
                              <w:bidi w:val="0"/>
                              <w:spacing w:before="0" w:after="283"/>
                              <w:jc w:val="left"/>
                              <w:rPr>
                                <w:sz w:val="4"/>
                                <w:szCs w:val="4"/>
                              </w:rPr>
                            </w:pPr>
                            <w:r>
                              <w:rPr>
                                <w:sz w:val="4"/>
                                <w:szCs w:val="4"/>
                              </w:rPr>
                            </w:r>
                          </w:p>
                        </w:tc>
                      </w:tr>
                      <w:tr>
                        <w:trPr/>
                        <w:tc>
                          <w:tcPr>
                            <w:tcW w:w="7511" w:type="dxa"/>
                            <w:gridSpan w:val="5"/>
                            <w:tcBorders/>
                            <w:vAlign w:val="center"/>
                          </w:tcPr>
                          <w:p>
                            <w:pPr>
                              <w:pStyle w:val="TableContents"/>
                              <w:bidi w:val="0"/>
                              <w:spacing w:before="0" w:after="283"/>
                              <w:jc w:val="left"/>
                              <w:rPr>
                                <w:sz w:val="4"/>
                                <w:szCs w:val="4"/>
                              </w:rPr>
                            </w:pPr>
                            <w:r>
                              <w:rPr>
                                <w:sz w:val="4"/>
                                <w:szCs w:val="4"/>
                              </w:rPr>
                            </w:r>
                          </w:p>
                        </w:tc>
                        <w:tc>
                          <w:tcPr>
                            <w:tcW w:w="3926" w:type="dxa"/>
                            <w:vMerge w:val="restart"/>
                            <w:tcBorders/>
                            <w:vAlign w:val="center"/>
                          </w:tcPr>
                          <w:p>
                            <w:pPr>
                              <w:pStyle w:val="TableContents"/>
                              <w:bidi w:val="0"/>
                              <w:spacing w:before="0" w:after="283"/>
                              <w:jc w:val="left"/>
                              <w:rPr>
                                <w:sz w:val="4"/>
                                <w:szCs w:val="4"/>
                              </w:rPr>
                            </w:pPr>
                            <w:r>
                              <w:rPr>
                                <w:sz w:val="4"/>
                                <w:szCs w:val="4"/>
                              </w:rPr>
                            </w:r>
                          </w:p>
                        </w:tc>
                      </w:tr>
                      <w:tr>
                        <w:trPr/>
                        <w:tc>
                          <w:tcPr>
                            <w:tcW w:w="5546" w:type="dxa"/>
                            <w:tcBorders/>
                            <w:shd w:fill="8C56EE" w:val="clear"/>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FFFFFF"/>
                                <w:sz w:val="16"/>
                                <w:u w:val="none"/>
                                <w:effect w:val="none"/>
                              </w:rPr>
                            </w:pPr>
                            <w:r>
                              <w:rPr>
                                <w:rFonts w:ascii="Arial;sans-serif" w:hAnsi="Arial;sans-serif"/>
                                <w:b w:val="false"/>
                                <w:i w:val="false"/>
                                <w:caps w:val="false"/>
                                <w:smallCaps w:val="false"/>
                                <w:strike w:val="false"/>
                                <w:dstrike w:val="false"/>
                                <w:color w:val="FFFFFF"/>
                                <w:sz w:val="16"/>
                                <w:u w:val="none"/>
                                <w:effect w:val="none"/>
                              </w:rPr>
                              <w:t>(US$ millions, except per share)</w:t>
                            </w:r>
                          </w:p>
                        </w:tc>
                        <w:tc>
                          <w:tcPr>
                            <w:tcW w:w="491" w:type="dxa"/>
                            <w:tcBorders/>
                            <w:shd w:fill="8C56EE" w:val="clear"/>
                            <w:vAlign w:val="center"/>
                          </w:tcPr>
                          <w:p>
                            <w:pPr>
                              <w:pStyle w:val="TableContents"/>
                              <w:bidi w:val="0"/>
                              <w:spacing w:before="0" w:after="283"/>
                              <w:jc w:val="left"/>
                              <w:rPr>
                                <w:sz w:val="4"/>
                                <w:szCs w:val="4"/>
                              </w:rPr>
                            </w:pPr>
                            <w:r>
                              <w:rPr>
                                <w:sz w:val="4"/>
                                <w:szCs w:val="4"/>
                              </w:rPr>
                            </w:r>
                          </w:p>
                        </w:tc>
                        <w:tc>
                          <w:tcPr>
                            <w:tcW w:w="491" w:type="dxa"/>
                            <w:tcBorders/>
                            <w:shd w:fill="8C56EE" w:val="clear"/>
                            <w:vAlign w:val="center"/>
                          </w:tcPr>
                          <w:p>
                            <w:pPr>
                              <w:pStyle w:val="TableContents"/>
                              <w:bidi w:val="0"/>
                              <w:spacing w:before="0" w:after="283"/>
                              <w:jc w:val="left"/>
                              <w:rPr>
                                <w:sz w:val="4"/>
                                <w:szCs w:val="4"/>
                              </w:rPr>
                            </w:pPr>
                            <w:r>
                              <w:rPr>
                                <w:sz w:val="4"/>
                                <w:szCs w:val="4"/>
                              </w:rPr>
                            </w:r>
                          </w:p>
                        </w:tc>
                        <w:tc>
                          <w:tcPr>
                            <w:tcW w:w="491" w:type="dxa"/>
                            <w:tcBorders/>
                            <w:shd w:fill="8C56EE" w:val="clear"/>
                            <w:vAlign w:val="center"/>
                          </w:tcPr>
                          <w:p>
                            <w:pPr>
                              <w:pStyle w:val="TableContents"/>
                              <w:bidi w:val="0"/>
                              <w:spacing w:before="0" w:after="283"/>
                              <w:jc w:val="left"/>
                              <w:rPr>
                                <w:sz w:val="4"/>
                                <w:szCs w:val="4"/>
                              </w:rPr>
                            </w:pPr>
                            <w:r>
                              <w:rPr>
                                <w:sz w:val="4"/>
                                <w:szCs w:val="4"/>
                              </w:rPr>
                            </w:r>
                          </w:p>
                        </w:tc>
                        <w:tc>
                          <w:tcPr>
                            <w:tcW w:w="492" w:type="dxa"/>
                            <w:tcBorders/>
                            <w:shd w:fill="8C56EE" w:val="clear"/>
                            <w:vAlign w:val="center"/>
                          </w:tcPr>
                          <w:p>
                            <w:pPr>
                              <w:pStyle w:val="TableContents"/>
                              <w:bidi w:val="0"/>
                              <w:spacing w:before="0" w:after="283"/>
                              <w:jc w:val="left"/>
                              <w:rPr>
                                <w:sz w:val="4"/>
                                <w:szCs w:val="4"/>
                              </w:rPr>
                            </w:pPr>
                            <w:r>
                              <w:rPr>
                                <w:sz w:val="4"/>
                                <w:szCs w:val="4"/>
                              </w:rPr>
                            </w:r>
                          </w:p>
                        </w:tc>
                        <w:tc>
                          <w:tcPr>
                            <w:tcW w:w="3926" w:type="dxa"/>
                            <w:vMerge w:val="continue"/>
                            <w:tcBorders/>
                            <w:vAlign w:val="center"/>
                          </w:tcPr>
                          <w:p>
                            <w:pPr>
                              <w:pStyle w:val="Normal"/>
                              <w:bidi w:val="0"/>
                              <w:jc w:val="left"/>
                              <w:rPr/>
                            </w:pPr>
                            <w:r>
                              <w:rPr/>
                            </w:r>
                          </w:p>
                        </w:tc>
                      </w:tr>
                      <w:tr>
                        <w:trPr/>
                        <w:tc>
                          <w:tcPr>
                            <w:tcW w:w="554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22"/>
                                <w:u w:val="none"/>
                                <w:effect w:val="none"/>
                              </w:rPr>
                            </w:pPr>
                            <w:r>
                              <w:rPr>
                                <w:rFonts w:ascii="Arial;sans-serif" w:hAnsi="Arial;sans-serif"/>
                                <w:b w:val="false"/>
                                <w:i w:val="false"/>
                                <w:caps w:val="false"/>
                                <w:smallCaps w:val="false"/>
                                <w:strike w:val="false"/>
                                <w:dstrike w:val="false"/>
                                <w:color w:val="000000"/>
                                <w:sz w:val="22"/>
                                <w:u w:val="none"/>
                                <w:effect w:val="none"/>
                              </w:rPr>
                              <w:t>Solutions revenue</w:t>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26" w:type="dxa"/>
                            <w:vMerge w:val="continue"/>
                            <w:tcBorders/>
                            <w:vAlign w:val="center"/>
                          </w:tcPr>
                          <w:p>
                            <w:pPr>
                              <w:pStyle w:val="Normal"/>
                              <w:bidi w:val="0"/>
                              <w:jc w:val="left"/>
                              <w:rPr/>
                            </w:pPr>
                            <w:r>
                              <w:rPr/>
                            </w:r>
                          </w:p>
                        </w:tc>
                      </w:tr>
                      <w:tr>
                        <w:trPr/>
                        <w:tc>
                          <w:tcPr>
                            <w:tcW w:w="5546" w:type="dxa"/>
                            <w:tcBorders/>
                            <w:vAlign w:val="center"/>
                          </w:tcPr>
                          <w:p>
                            <w:pPr>
                              <w:pStyle w:val="TableContents"/>
                              <w:bidi w:val="0"/>
                              <w:spacing w:lineRule="atLeast" w:line="160" w:before="0" w:after="0"/>
                              <w:jc w:val="left"/>
                              <w:rPr>
                                <w:rFonts w:ascii="Arial;sans-serif" w:hAnsi="Arial;sans-serif"/>
                                <w:b w:val="false"/>
                                <w:i w:val="false"/>
                                <w:caps w:val="false"/>
                                <w:smallCaps w:val="false"/>
                                <w:sz w:val="22"/>
                              </w:rPr>
                            </w:pPr>
                            <w:r>
                              <w:rPr>
                                <w:rFonts w:ascii="Arial;sans-serif" w:hAnsi="Arial;sans-serif"/>
                                <w:b w:val="false"/>
                                <w:i w:val="false"/>
                                <w:caps w:val="false"/>
                                <w:smallCaps w:val="false"/>
                                <w:sz w:val="22"/>
                              </w:rPr>
                              <w:t>Market Services net revenue</w:t>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26" w:type="dxa"/>
                            <w:vMerge w:val="continue"/>
                            <w:tcBorders/>
                            <w:vAlign w:val="center"/>
                          </w:tcPr>
                          <w:p>
                            <w:pPr>
                              <w:pStyle w:val="Normal"/>
                              <w:bidi w:val="0"/>
                              <w:jc w:val="left"/>
                              <w:rPr/>
                            </w:pPr>
                            <w:r>
                              <w:rPr/>
                            </w:r>
                          </w:p>
                        </w:tc>
                      </w:tr>
                      <w:tr>
                        <w:trPr/>
                        <w:tc>
                          <w:tcPr>
                            <w:tcW w:w="554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22"/>
                                <w:u w:val="none"/>
                                <w:effect w:val="none"/>
                              </w:rPr>
                            </w:pPr>
                            <w:r>
                              <w:rPr>
                                <w:rFonts w:ascii="Arial;sans-serif" w:hAnsi="Arial;sans-serif"/>
                                <w:b w:val="false"/>
                                <w:i w:val="false"/>
                                <w:caps w:val="false"/>
                                <w:smallCaps w:val="false"/>
                                <w:strike w:val="false"/>
                                <w:dstrike w:val="false"/>
                                <w:color w:val="000000"/>
                                <w:sz w:val="22"/>
                                <w:u w:val="none"/>
                                <w:effect w:val="none"/>
                              </w:rPr>
                              <w:t>Net revenue</w:t>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26" w:type="dxa"/>
                            <w:vMerge w:val="continue"/>
                            <w:tcBorders/>
                            <w:vAlign w:val="center"/>
                          </w:tcPr>
                          <w:p>
                            <w:pPr>
                              <w:pStyle w:val="Normal"/>
                              <w:bidi w:val="0"/>
                              <w:jc w:val="left"/>
                              <w:rPr/>
                            </w:pPr>
                            <w:r>
                              <w:rPr/>
                            </w:r>
                          </w:p>
                        </w:tc>
                      </w:tr>
                      <w:tr>
                        <w:trPr/>
                        <w:tc>
                          <w:tcPr>
                            <w:tcW w:w="554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22"/>
                                <w:u w:val="none"/>
                                <w:effect w:val="none"/>
                              </w:rPr>
                            </w:pPr>
                            <w:r>
                              <w:rPr>
                                <w:rFonts w:ascii="Arial;sans-serif" w:hAnsi="Arial;sans-serif"/>
                                <w:b w:val="false"/>
                                <w:i w:val="false"/>
                                <w:caps w:val="false"/>
                                <w:smallCaps w:val="false"/>
                                <w:strike w:val="false"/>
                                <w:dstrike w:val="false"/>
                                <w:color w:val="000000"/>
                                <w:sz w:val="22"/>
                                <w:u w:val="none"/>
                                <w:effect w:val="none"/>
                              </w:rPr>
                              <w:t>GAAP operating income</w:t>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26" w:type="dxa"/>
                            <w:vMerge w:val="continue"/>
                            <w:tcBorders/>
                            <w:vAlign w:val="center"/>
                          </w:tcPr>
                          <w:p>
                            <w:pPr>
                              <w:pStyle w:val="Normal"/>
                              <w:bidi w:val="0"/>
                              <w:jc w:val="left"/>
                              <w:rPr/>
                            </w:pPr>
                            <w:r>
                              <w:rPr/>
                            </w:r>
                          </w:p>
                        </w:tc>
                      </w:tr>
                      <w:tr>
                        <w:trPr/>
                        <w:tc>
                          <w:tcPr>
                            <w:tcW w:w="554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22"/>
                                <w:u w:val="none"/>
                                <w:effect w:val="none"/>
                              </w:rPr>
                            </w:pPr>
                            <w:r>
                              <w:rPr>
                                <w:rFonts w:ascii="Arial;sans-serif" w:hAnsi="Arial;sans-serif"/>
                                <w:b w:val="false"/>
                                <w:i w:val="false"/>
                                <w:caps w:val="false"/>
                                <w:smallCaps w:val="false"/>
                                <w:strike w:val="false"/>
                                <w:dstrike w:val="false"/>
                                <w:color w:val="000000"/>
                                <w:sz w:val="22"/>
                                <w:u w:val="none"/>
                                <w:effect w:val="none"/>
                              </w:rPr>
                              <w:t>Non-GAAP operating income</w:t>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26" w:type="dxa"/>
                            <w:vMerge w:val="continue"/>
                            <w:tcBorders/>
                            <w:vAlign w:val="center"/>
                          </w:tcPr>
                          <w:p>
                            <w:pPr>
                              <w:pStyle w:val="Normal"/>
                              <w:bidi w:val="0"/>
                              <w:jc w:val="left"/>
                              <w:rPr/>
                            </w:pPr>
                            <w:r>
                              <w:rPr/>
                            </w:r>
                          </w:p>
                        </w:tc>
                      </w:tr>
                      <w:tr>
                        <w:trPr/>
                        <w:tc>
                          <w:tcPr>
                            <w:tcW w:w="554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22"/>
                                <w:u w:val="none"/>
                                <w:effect w:val="none"/>
                              </w:rPr>
                            </w:pPr>
                            <w:r>
                              <w:rPr>
                                <w:rFonts w:ascii="Arial;sans-serif" w:hAnsi="Arial;sans-serif"/>
                                <w:b w:val="false"/>
                                <w:i w:val="false"/>
                                <w:caps w:val="false"/>
                                <w:smallCaps w:val="false"/>
                                <w:strike w:val="false"/>
                                <w:dstrike w:val="false"/>
                                <w:color w:val="000000"/>
                                <w:sz w:val="22"/>
                                <w:u w:val="none"/>
                                <w:effect w:val="none"/>
                              </w:rPr>
                              <w:t>ARR</w:t>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26" w:type="dxa"/>
                            <w:vMerge w:val="continue"/>
                            <w:tcBorders/>
                            <w:vAlign w:val="center"/>
                          </w:tcPr>
                          <w:p>
                            <w:pPr>
                              <w:pStyle w:val="Normal"/>
                              <w:bidi w:val="0"/>
                              <w:jc w:val="left"/>
                              <w:rPr/>
                            </w:pPr>
                            <w:r>
                              <w:rPr/>
                            </w:r>
                          </w:p>
                        </w:tc>
                      </w:tr>
                      <w:tr>
                        <w:trPr/>
                        <w:tc>
                          <w:tcPr>
                            <w:tcW w:w="554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22"/>
                                <w:u w:val="none"/>
                                <w:effect w:val="none"/>
                              </w:rPr>
                            </w:pPr>
                            <w:r>
                              <w:rPr>
                                <w:rFonts w:ascii="Arial;sans-serif" w:hAnsi="Arial;sans-serif"/>
                                <w:b w:val="false"/>
                                <w:i w:val="false"/>
                                <w:caps w:val="false"/>
                                <w:smallCaps w:val="false"/>
                                <w:strike w:val="false"/>
                                <w:dstrike w:val="false"/>
                                <w:color w:val="000000"/>
                                <w:sz w:val="22"/>
                                <w:u w:val="none"/>
                                <w:effect w:val="none"/>
                              </w:rPr>
                              <w:t>GAAP diluted EPS</w:t>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26" w:type="dxa"/>
                            <w:vMerge w:val="continue"/>
                            <w:tcBorders/>
                            <w:vAlign w:val="center"/>
                          </w:tcPr>
                          <w:p>
                            <w:pPr>
                              <w:pStyle w:val="Normal"/>
                              <w:bidi w:val="0"/>
                              <w:jc w:val="left"/>
                              <w:rPr/>
                            </w:pPr>
                            <w:r>
                              <w:rPr/>
                            </w:r>
                          </w:p>
                        </w:tc>
                      </w:tr>
                      <w:tr>
                        <w:trPr/>
                        <w:tc>
                          <w:tcPr>
                            <w:tcW w:w="5546" w:type="dxa"/>
                            <w:tcBorders/>
                            <w:vAlign w:val="center"/>
                          </w:tcPr>
                          <w:p>
                            <w:pPr>
                              <w:pStyle w:val="TableContents"/>
                              <w:bidi w:val="0"/>
                              <w:spacing w:lineRule="atLeast" w:line="160" w:before="0" w:after="0"/>
                              <w:jc w:val="left"/>
                              <w:rPr>
                                <w:rFonts w:ascii="Arial;sans-serif" w:hAnsi="Arial;sans-serif"/>
                                <w:b w:val="false"/>
                                <w:i w:val="false"/>
                                <w:caps w:val="false"/>
                                <w:smallCaps w:val="false"/>
                                <w:strike w:val="false"/>
                                <w:dstrike w:val="false"/>
                                <w:color w:val="000000"/>
                                <w:sz w:val="22"/>
                                <w:u w:val="none"/>
                                <w:effect w:val="none"/>
                              </w:rPr>
                            </w:pPr>
                            <w:r>
                              <w:rPr>
                                <w:rFonts w:ascii="Arial;sans-serif" w:hAnsi="Arial;sans-serif"/>
                                <w:b w:val="false"/>
                                <w:i w:val="false"/>
                                <w:caps w:val="false"/>
                                <w:smallCaps w:val="false"/>
                                <w:strike w:val="false"/>
                                <w:dstrike w:val="false"/>
                                <w:color w:val="000000"/>
                                <w:sz w:val="22"/>
                                <w:u w:val="none"/>
                                <w:effect w:val="none"/>
                              </w:rPr>
                              <w:t>Non-GAAP diluted EPS</w:t>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26" w:type="dxa"/>
                            <w:vMerge w:val="continue"/>
                            <w:tcBorders/>
                            <w:vAlign w:val="center"/>
                          </w:tcPr>
                          <w:p>
                            <w:pPr>
                              <w:pStyle w:val="Normal"/>
                              <w:bidi w:val="0"/>
                              <w:jc w:val="left"/>
                              <w:rPr/>
                            </w:pPr>
                            <w:r>
                              <w:rPr/>
                            </w:r>
                          </w:p>
                        </w:tc>
                      </w:tr>
                      <w:tr>
                        <w:trPr/>
                        <w:tc>
                          <w:tcPr>
                            <w:tcW w:w="7019" w:type="dxa"/>
                            <w:gridSpan w:val="4"/>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926" w:type="dxa"/>
                            <w:vMerge w:val="continue"/>
                            <w:tcBorders/>
                            <w:vAlign w:val="center"/>
                          </w:tcPr>
                          <w:p>
                            <w:pPr>
                              <w:pStyle w:val="Normal"/>
                              <w:bidi w:val="0"/>
                              <w:jc w:val="left"/>
                              <w:rPr/>
                            </w:pPr>
                            <w:r>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705350" cy="350520"/>
                <wp:effectExtent l="0" t="0" r="0" b="0"/>
                <wp:wrapNone/>
                <wp:docPr id="7" name="Frame4"/>
                <a:graphic xmlns:a="http://schemas.openxmlformats.org/drawingml/2006/main">
                  <a:graphicData uri="http://schemas.microsoft.com/office/word/2010/wordprocessingShape">
                    <wps:wsp>
                      <wps:cNvSpPr txBox="1"/>
                      <wps:spPr>
                        <a:xfrm>
                          <a:off x="0" y="0"/>
                          <a:ext cx="4705350" cy="350520"/>
                        </a:xfrm>
                        <a:prstGeom prst="rect"/>
                        <a:solidFill>
                          <a:srgbClr val="FFFFFF"/>
                        </a:solidFill>
                      </wps:spPr>
                      <wps:txbx>
                        <w:txbxContent>
                          <w:p>
                            <w:pPr>
                              <w:pStyle w:val="TextBody"/>
                              <w:bidi w:val="0"/>
                              <w:spacing w:lineRule="atLeast" w:line="160" w:before="0" w:after="0"/>
                              <w:jc w:val="left"/>
                              <w:rPr>
                                <w:sz w:val="24"/>
                              </w:rPr>
                            </w:pPr>
                            <w:r>
                              <w:rPr>
                                <w:rFonts w:ascii="Arial;sans-serif" w:hAnsi="Arial;sans-serif"/>
                                <w:b/>
                                <w:i w:val="false"/>
                                <w:caps w:val="false"/>
                                <w:smallCaps w:val="false"/>
                                <w:sz w:val="22"/>
                              </w:rPr>
                              <w:t xml:space="preserve">NEW YORK, </w:t>
                            </w:r>
                            <w:r>
                              <w:rPr>
                                <w:rFonts w:ascii="Arial;sans-serif" w:hAnsi="Arial;sans-serif"/>
                                <w:b/>
                                <w:i w:val="false"/>
                                <w:caps w:val="false"/>
                                <w:smallCaps w:val="false"/>
                                <w:strike w:val="false"/>
                                <w:dstrike w:val="false"/>
                                <w:sz w:val="22"/>
                                <w:u w:val="none"/>
                                <w:effect w:val="none"/>
                              </w:rPr>
                              <w:t>October 22, 2026</w:t>
                            </w:r>
                            <w:r>
                              <w:rPr>
                                <w:caps w:val="false"/>
                                <w:smallCaps w:val="false"/>
                                <w:sz w:val="24"/>
                              </w:rPr>
                              <w:t xml:space="preserve"> </w:t>
                            </w:r>
                            <w:r>
                              <w:rPr>
                                <w:rFonts w:ascii="Arial;sans-serif" w:hAnsi="Arial;sans-serif"/>
                                <w:b w:val="false"/>
                                <w:i w:val="false"/>
                                <w:caps w:val="false"/>
                                <w:smallCaps w:val="false"/>
                                <w:sz w:val="22"/>
                              </w:rPr>
                              <w:t xml:space="preserve">- Nasdaq, Inc. (Nasdaq: NDAQ) today </w:t>
                            </w:r>
                          </w:p>
                          <w:p>
                            <w:pPr>
                              <w:pStyle w:val="TextBody"/>
                              <w:bidi w:val="0"/>
                              <w:spacing w:lineRule="atLeast" w:line="160" w:before="0" w:after="0"/>
                              <w:jc w:val="left"/>
                              <w:rPr>
                                <w:sz w:val="24"/>
                              </w:rPr>
                            </w:pPr>
                            <w:r>
                              <w:rPr>
                                <w:rFonts w:ascii="Arial;sans-serif" w:hAnsi="Arial;sans-serif"/>
                                <w:b w:val="false"/>
                                <w:i w:val="false"/>
                                <w:caps w:val="false"/>
                                <w:smallCaps w:val="false"/>
                                <w:sz w:val="22"/>
                              </w:rPr>
                              <w:t xml:space="preserve">reported financial results for the </w:t>
                            </w:r>
                            <w:r>
                              <w:rPr>
                                <w:rFonts w:ascii="Arial;sans-serif" w:hAnsi="Arial;sans-serif"/>
                                <w:b w:val="false"/>
                                <w:i w:val="false"/>
                                <w:caps w:val="false"/>
                                <w:smallCaps w:val="false"/>
                                <w:strike w:val="false"/>
                                <w:dstrike w:val="false"/>
                                <w:sz w:val="22"/>
                                <w:u w:val="none"/>
                                <w:effect w:val="none"/>
                              </w:rPr>
                              <w:t>third</w:t>
                            </w:r>
                            <w:r>
                              <w:rPr>
                                <w:caps w:val="false"/>
                                <w:smallCaps w:val="false"/>
                                <w:sz w:val="24"/>
                              </w:rPr>
                              <w:t xml:space="preserve"> </w:t>
                            </w:r>
                            <w:r>
                              <w:rPr>
                                <w:rFonts w:ascii="Arial;sans-serif" w:hAnsi="Arial;sans-serif"/>
                                <w:b w:val="false"/>
                                <w:i w:val="false"/>
                                <w:caps w:val="false"/>
                                <w:smallCaps w:val="false"/>
                                <w:sz w:val="22"/>
                              </w:rPr>
                              <w:t xml:space="preserve">quarter of </w:t>
                            </w:r>
                            <w:r>
                              <w:rPr>
                                <w:rFonts w:ascii="Arial;sans-serif" w:hAnsi="Arial;sans-serif"/>
                                <w:b w:val="false"/>
                                <w:i w:val="false"/>
                                <w:caps w:val="false"/>
                                <w:smallCaps w:val="false"/>
                                <w:strike w:val="false"/>
                                <w:dstrike w:val="false"/>
                                <w:sz w:val="22"/>
                                <w:u w:val="none"/>
                                <w:effect w:val="none"/>
                              </w:rPr>
                              <w:t>2026</w:t>
                            </w:r>
                            <w:r>
                              <w:rPr>
                                <w:rFonts w:ascii="Arial;sans-serif" w:hAnsi="Arial;sans-serif"/>
                                <w:b w:val="false"/>
                                <w:i w:val="false"/>
                                <w:caps w:val="false"/>
                                <w:smallCaps w:val="false"/>
                                <w:sz w:val="22"/>
                              </w:rPr>
                              <w:t>.</w:t>
                            </w:r>
                          </w:p>
                        </w:txbxContent>
                      </wps:txbx>
                      <wps:bodyPr anchor="t" lIns="0" tIns="0" rIns="0" bIns="0">
                        <a:noAutofit/>
                      </wps:bodyPr>
                    </wps:wsp>
                  </a:graphicData>
                </a:graphic>
              </wp:anchor>
            </w:drawing>
          </mc:Choice>
          <mc:Fallback>
            <w:pict>
              <v:rect style="position:absolute;rotation:-0;width:370.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0"/>
                        <w:jc w:val="left"/>
                        <w:rPr>
                          <w:sz w:val="24"/>
                        </w:rPr>
                      </w:pPr>
                      <w:r>
                        <w:rPr>
                          <w:rFonts w:ascii="Arial;sans-serif" w:hAnsi="Arial;sans-serif"/>
                          <w:b/>
                          <w:i w:val="false"/>
                          <w:caps w:val="false"/>
                          <w:smallCaps w:val="false"/>
                          <w:sz w:val="22"/>
                        </w:rPr>
                        <w:t xml:space="preserve">NEW YORK, </w:t>
                      </w:r>
                      <w:r>
                        <w:rPr>
                          <w:rFonts w:ascii="Arial;sans-serif" w:hAnsi="Arial;sans-serif"/>
                          <w:b/>
                          <w:i w:val="false"/>
                          <w:caps w:val="false"/>
                          <w:smallCaps w:val="false"/>
                          <w:strike w:val="false"/>
                          <w:dstrike w:val="false"/>
                          <w:sz w:val="22"/>
                          <w:u w:val="none"/>
                          <w:effect w:val="none"/>
                        </w:rPr>
                        <w:t>October 22, 2026</w:t>
                      </w:r>
                      <w:r>
                        <w:rPr>
                          <w:caps w:val="false"/>
                          <w:smallCaps w:val="false"/>
                          <w:sz w:val="24"/>
                        </w:rPr>
                        <w:t xml:space="preserve"> </w:t>
                      </w:r>
                      <w:r>
                        <w:rPr>
                          <w:rFonts w:ascii="Arial;sans-serif" w:hAnsi="Arial;sans-serif"/>
                          <w:b w:val="false"/>
                          <w:i w:val="false"/>
                          <w:caps w:val="false"/>
                          <w:smallCaps w:val="false"/>
                          <w:sz w:val="22"/>
                        </w:rPr>
                        <w:t xml:space="preserve">- Nasdaq, Inc. (Nasdaq: NDAQ) today </w:t>
                      </w:r>
                    </w:p>
                    <w:p>
                      <w:pPr>
                        <w:pStyle w:val="TextBody"/>
                        <w:bidi w:val="0"/>
                        <w:spacing w:lineRule="atLeast" w:line="160" w:before="0" w:after="0"/>
                        <w:jc w:val="left"/>
                        <w:rPr>
                          <w:sz w:val="24"/>
                        </w:rPr>
                      </w:pPr>
                      <w:r>
                        <w:rPr>
                          <w:rFonts w:ascii="Arial;sans-serif" w:hAnsi="Arial;sans-serif"/>
                          <w:b w:val="false"/>
                          <w:i w:val="false"/>
                          <w:caps w:val="false"/>
                          <w:smallCaps w:val="false"/>
                          <w:sz w:val="22"/>
                        </w:rPr>
                        <w:t xml:space="preserve">reported financial results for the </w:t>
                      </w:r>
                      <w:r>
                        <w:rPr>
                          <w:rFonts w:ascii="Arial;sans-serif" w:hAnsi="Arial;sans-serif"/>
                          <w:b w:val="false"/>
                          <w:i w:val="false"/>
                          <w:caps w:val="false"/>
                          <w:smallCaps w:val="false"/>
                          <w:strike w:val="false"/>
                          <w:dstrike w:val="false"/>
                          <w:sz w:val="22"/>
                          <w:u w:val="none"/>
                          <w:effect w:val="none"/>
                        </w:rPr>
                        <w:t>third</w:t>
                      </w:r>
                      <w:r>
                        <w:rPr>
                          <w:caps w:val="false"/>
                          <w:smallCaps w:val="false"/>
                          <w:sz w:val="24"/>
                        </w:rPr>
                        <w:t xml:space="preserve"> </w:t>
                      </w:r>
                      <w:r>
                        <w:rPr>
                          <w:rFonts w:ascii="Arial;sans-serif" w:hAnsi="Arial;sans-serif"/>
                          <w:b w:val="false"/>
                          <w:i w:val="false"/>
                          <w:caps w:val="false"/>
                          <w:smallCaps w:val="false"/>
                          <w:sz w:val="22"/>
                        </w:rPr>
                        <w:t xml:space="preserve">quarter of </w:t>
                      </w:r>
                      <w:r>
                        <w:rPr>
                          <w:rFonts w:ascii="Arial;sans-serif" w:hAnsi="Arial;sans-serif"/>
                          <w:b w:val="false"/>
                          <w:i w:val="false"/>
                          <w:caps w:val="false"/>
                          <w:smallCaps w:val="false"/>
                          <w:strike w:val="false"/>
                          <w:dstrike w:val="false"/>
                          <w:sz w:val="22"/>
                          <w:u w:val="none"/>
                          <w:effect w:val="none"/>
                        </w:rPr>
                        <w:t>2026</w:t>
                      </w:r>
                      <w:r>
                        <w:rPr>
                          <w:rFonts w:ascii="Arial;sans-serif" w:hAnsi="Arial;sans-serif"/>
                          <w:b w:val="false"/>
                          <w:i w:val="false"/>
                          <w:caps w:val="false"/>
                          <w:smallCaps w:val="false"/>
                          <w:sz w:val="22"/>
                        </w:rPr>
                        <w:t>.</w:t>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page">
                  <wp:posOffset>4705350</wp:posOffset>
                </wp:positionH>
                <wp:positionV relativeFrom="line">
                  <wp:posOffset>635</wp:posOffset>
                </wp:positionV>
                <wp:extent cx="2409825" cy="2327275"/>
                <wp:effectExtent l="0" t="0" r="0" b="0"/>
                <wp:wrapNone/>
                <wp:docPr id="8" name="Frame5"/>
                <a:graphic xmlns:a="http://schemas.openxmlformats.org/drawingml/2006/main">
                  <a:graphicData uri="http://schemas.microsoft.com/office/word/2010/wordprocessingShape">
                    <wps:wsp>
                      <wps:cNvSpPr txBox="1"/>
                      <wps:spPr>
                        <a:xfrm>
                          <a:off x="0" y="0"/>
                          <a:ext cx="2409825" cy="2327275"/>
                        </a:xfrm>
                        <a:prstGeom prst="rect"/>
                        <a:solidFill>
                          <a:srgbClr val="FFFFFF"/>
                        </a:solidFill>
                      </wps:spPr>
                      <wps:txbx>
                        <w:txbxContent>
                          <w:p>
                            <w:pPr>
                              <w:pStyle w:val="TextBody"/>
                              <w:bidi w:val="0"/>
                              <w:spacing w:lineRule="atLeast" w:line="146" w:before="0" w:after="0"/>
                              <w:jc w:val="left"/>
                              <w:rPr/>
                            </w:pPr>
                            <w:r>
                              <w:rPr>
                                <w:rFonts w:ascii="Arial;sans-serif" w:hAnsi="Arial;sans-serif"/>
                                <w:b/>
                                <w:i w:val="false"/>
                                <w:caps w:val="false"/>
                                <w:smallCaps w:val="false"/>
                                <w:strike w:val="false"/>
                                <w:dstrike w:val="false"/>
                                <w:color w:val="804FEC"/>
                                <w:sz w:val="20"/>
                                <w:u w:val="none"/>
                                <w:effect w:val="none"/>
                              </w:rPr>
                              <w:t xml:space="preserve">Adena Friedman, Chair and CEO </w:t>
                            </w:r>
                            <w:r>
                              <w:rPr>
                                <w:rFonts w:ascii="Arial;sans-serif" w:hAnsi="Arial;sans-serif"/>
                                <w:b w:val="false"/>
                                <w:i w:val="false"/>
                                <w:caps w:val="false"/>
                                <w:smallCaps w:val="false"/>
                                <w:strike w:val="false"/>
                                <w:dstrike w:val="false"/>
                                <w:color w:val="804FEC"/>
                                <w:sz w:val="20"/>
                                <w:u w:val="none"/>
                                <w:effect w:val="none"/>
                              </w:rPr>
                              <w:t xml:space="preserve">said, </w:t>
                            </w:r>
                          </w:p>
                          <w:p>
                            <w:pPr>
                              <w:pStyle w:val="TextBody"/>
                              <w:bidi w:val="0"/>
                              <w:spacing w:lineRule="atLeast" w:line="146" w:before="0" w:after="0"/>
                              <w:jc w:val="left"/>
                              <w:rPr>
                                <w:caps w:val="false"/>
                                <w:smallCaps w:val="false"/>
                                <w:strike w:val="false"/>
                                <w:dstrike w:val="false"/>
                                <w:color w:val="804FEC"/>
                                <w:u w:val="none"/>
                                <w:effect w:val="none"/>
                              </w:rPr>
                            </w:pPr>
                            <w:r>
                              <w:rPr>
                                <w:caps w:val="false"/>
                                <w:smallCaps w:val="false"/>
                                <w:strike w:val="false"/>
                                <w:dstrike w:val="false"/>
                                <w:color w:val="804FEC"/>
                                <w:u w:val="none"/>
                                <w:effect w:val="none"/>
                              </w:rPr>
                              <w:t>“</w:t>
                            </w:r>
                            <w:r>
                              <w:rPr>
                                <w:rFonts w:ascii="Arial;sans-serif" w:hAnsi="Arial;sans-serif"/>
                                <w:b w:val="false"/>
                                <w:i w:val="false"/>
                                <w:caps w:val="false"/>
                                <w:smallCaps w:val="false"/>
                                <w:strike w:val="false"/>
                                <w:dstrike w:val="false"/>
                                <w:color w:val="804FEC"/>
                                <w:sz w:val="20"/>
                                <w:u w:val="none"/>
                                <w:effect w:val="none"/>
                              </w:rPr>
                              <w:t xml:space="preserve">Nasdaq’s third quarter performance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demonstrates the strength and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momentum of our business, with new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milestones achieved across all three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divisions, including record Index net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inflows, record FinTech ARR growth, and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the establishment of Nasdaq Digital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Liquidity Networks within Market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Services.</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Markets are evolving towards an AI-</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driven, Always-On future that is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increasingly integrated across asset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classes and geographies. Nasdaq is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shaping the next generation of market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infrastructure while expanding our growth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opportunities and enhancing the value we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deliver to our clients and shareholders.” </w:t>
                            </w:r>
                          </w:p>
                        </w:txbxContent>
                      </wps:txbx>
                      <wps:bodyPr anchor="t" lIns="0" tIns="0" rIns="0" bIns="0">
                        <a:noAutofit/>
                      </wps:bodyPr>
                    </wps:wsp>
                  </a:graphicData>
                </a:graphic>
              </wp:anchor>
            </w:drawing>
          </mc:Choice>
          <mc:Fallback>
            <w:pict>
              <v:rect style="position:absolute;rotation:-0;width:189.75pt;height:183.25pt;mso-wrap-distance-left:0pt;mso-wrap-distance-right:0pt;mso-wrap-distance-top:0pt;mso-wrap-distance-bottom:0pt;margin-top:0pt;mso-position-vertical:top;mso-position-vertical-relative:text;margin-left:370.5pt;mso-position-horizontal-relative:page">
                <v:textbox>
                  <w:txbxContent>
                    <w:p>
                      <w:pPr>
                        <w:pStyle w:val="TextBody"/>
                        <w:bidi w:val="0"/>
                        <w:spacing w:lineRule="atLeast" w:line="146" w:before="0" w:after="0"/>
                        <w:jc w:val="left"/>
                        <w:rPr/>
                      </w:pPr>
                      <w:r>
                        <w:rPr>
                          <w:rFonts w:ascii="Arial;sans-serif" w:hAnsi="Arial;sans-serif"/>
                          <w:b/>
                          <w:i w:val="false"/>
                          <w:caps w:val="false"/>
                          <w:smallCaps w:val="false"/>
                          <w:strike w:val="false"/>
                          <w:dstrike w:val="false"/>
                          <w:color w:val="804FEC"/>
                          <w:sz w:val="20"/>
                          <w:u w:val="none"/>
                          <w:effect w:val="none"/>
                        </w:rPr>
                        <w:t xml:space="preserve">Adena Friedman, Chair and CEO </w:t>
                      </w:r>
                      <w:r>
                        <w:rPr>
                          <w:rFonts w:ascii="Arial;sans-serif" w:hAnsi="Arial;sans-serif"/>
                          <w:b w:val="false"/>
                          <w:i w:val="false"/>
                          <w:caps w:val="false"/>
                          <w:smallCaps w:val="false"/>
                          <w:strike w:val="false"/>
                          <w:dstrike w:val="false"/>
                          <w:color w:val="804FEC"/>
                          <w:sz w:val="20"/>
                          <w:u w:val="none"/>
                          <w:effect w:val="none"/>
                        </w:rPr>
                        <w:t xml:space="preserve">said, </w:t>
                      </w:r>
                    </w:p>
                    <w:p>
                      <w:pPr>
                        <w:pStyle w:val="TextBody"/>
                        <w:bidi w:val="0"/>
                        <w:spacing w:lineRule="atLeast" w:line="146" w:before="0" w:after="0"/>
                        <w:jc w:val="left"/>
                        <w:rPr>
                          <w:caps w:val="false"/>
                          <w:smallCaps w:val="false"/>
                          <w:strike w:val="false"/>
                          <w:dstrike w:val="false"/>
                          <w:color w:val="804FEC"/>
                          <w:u w:val="none"/>
                          <w:effect w:val="none"/>
                        </w:rPr>
                      </w:pPr>
                      <w:r>
                        <w:rPr>
                          <w:caps w:val="false"/>
                          <w:smallCaps w:val="false"/>
                          <w:strike w:val="false"/>
                          <w:dstrike w:val="false"/>
                          <w:color w:val="804FEC"/>
                          <w:u w:val="none"/>
                          <w:effect w:val="none"/>
                        </w:rPr>
                        <w:t>“</w:t>
                      </w:r>
                      <w:r>
                        <w:rPr>
                          <w:rFonts w:ascii="Arial;sans-serif" w:hAnsi="Arial;sans-serif"/>
                          <w:b w:val="false"/>
                          <w:i w:val="false"/>
                          <w:caps w:val="false"/>
                          <w:smallCaps w:val="false"/>
                          <w:strike w:val="false"/>
                          <w:dstrike w:val="false"/>
                          <w:color w:val="804FEC"/>
                          <w:sz w:val="20"/>
                          <w:u w:val="none"/>
                          <w:effect w:val="none"/>
                        </w:rPr>
                        <w:t xml:space="preserve">Nasdaq’s third quarter performance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demonstrates the strength and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momentum of our business, with new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milestones achieved across all three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divisions, including record Index net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inflows, record FinTech ARR growth, and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the establishment of Nasdaq Digital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Liquidity Networks within Market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Services.</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Markets are evolving towards an AI-</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driven, Always-On future that is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increasingly integrated across asset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classes and geographies. Nasdaq is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shaping the next generation of market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infrastructure while expanding our growth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opportunities and enhancing the value we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deliver to our clients and shareholders.” </w:t>
                      </w:r>
                    </w:p>
                  </w:txbxContent>
                </v:textbox>
                <w10:wrap type="none"/>
              </v:rect>
            </w:pict>
          </mc:Fallback>
        </mc:AlternateConten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4705350" cy="175260"/>
                <wp:effectExtent l="0" t="0" r="0" b="0"/>
                <wp:wrapNone/>
                <wp:docPr id="9" name="Frame7"/>
                <a:graphic xmlns:a="http://schemas.openxmlformats.org/drawingml/2006/main">
                  <a:graphicData uri="http://schemas.microsoft.com/office/word/2010/wordprocessingShape">
                    <wps:wsp>
                      <wps:cNvSpPr txBox="1"/>
                      <wps:spPr>
                        <a:xfrm>
                          <a:off x="0" y="0"/>
                          <a:ext cx="4705350" cy="175260"/>
                        </a:xfrm>
                        <a:prstGeom prst="rect"/>
                        <a:solidFill>
                          <a:srgbClr val="FFFFFF"/>
                        </a:solidFill>
                      </wps:spPr>
                      <wps:txbx>
                        <w:txbxContent>
                          <w:p>
                            <w:pPr>
                              <w:pStyle w:val="TextBody"/>
                              <w:bidi w:val="0"/>
                              <w:spacing w:lineRule="atLeast" w:line="160" w:before="0" w:after="0"/>
                              <w:jc w:val="left"/>
                              <w:rPr>
                                <w:sz w:val="24"/>
                              </w:rPr>
                            </w:pPr>
                            <w:r>
                              <w:rPr>
                                <w:rFonts w:ascii="Arial;sans-serif" w:hAnsi="Arial;sans-serif"/>
                                <w:b/>
                                <w:i w:val="false"/>
                                <w:caps w:val="false"/>
                                <w:smallCaps w:val="false"/>
                                <w:sz w:val="22"/>
                                <w:u w:val="single"/>
                              </w:rPr>
                              <w:t>Third</w:t>
                            </w:r>
                            <w:r>
                              <w:rPr>
                                <w:caps w:val="false"/>
                                <w:smallCaps w:val="false"/>
                                <w:sz w:val="24"/>
                                <w:u w:val="single"/>
                              </w:rPr>
                              <w:t xml:space="preserve"> </w:t>
                            </w:r>
                            <w:r>
                              <w:rPr>
                                <w:rFonts w:ascii="Arial;sans-serif" w:hAnsi="Arial;sans-serif"/>
                                <w:b/>
                                <w:i w:val="false"/>
                                <w:caps w:val="false"/>
                                <w:smallCaps w:val="false"/>
                                <w:sz w:val="22"/>
                                <w:u w:val="single"/>
                              </w:rPr>
                              <w:t>Quarter 2026</w:t>
                            </w:r>
                            <w:r>
                              <w:rPr>
                                <w:caps w:val="false"/>
                                <w:smallCaps w:val="false"/>
                                <w:sz w:val="24"/>
                                <w:u w:val="single"/>
                              </w:rPr>
                              <w:t xml:space="preserve"> </w:t>
                            </w:r>
                            <w:r>
                              <w:rPr>
                                <w:rFonts w:ascii="Arial;sans-serif" w:hAnsi="Arial;sans-serif"/>
                                <w:b/>
                                <w:i w:val="false"/>
                                <w:caps w:val="false"/>
                                <w:smallCaps w:val="false"/>
                                <w:sz w:val="22"/>
                                <w:u w:val="single"/>
                              </w:rPr>
                              <w:t>Highlights</w:t>
                            </w:r>
                          </w:p>
                        </w:txbxContent>
                      </wps:txbx>
                      <wps:bodyPr anchor="t" lIns="0" tIns="0" rIns="0" bIns="0">
                        <a:noAutofit/>
                      </wps:bodyPr>
                    </wps:wsp>
                  </a:graphicData>
                </a:graphic>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60" w:before="0" w:after="0"/>
                        <w:jc w:val="left"/>
                        <w:rPr>
                          <w:sz w:val="24"/>
                        </w:rPr>
                      </w:pPr>
                      <w:r>
                        <w:rPr>
                          <w:rFonts w:ascii="Arial;sans-serif" w:hAnsi="Arial;sans-serif"/>
                          <w:b/>
                          <w:i w:val="false"/>
                          <w:caps w:val="false"/>
                          <w:smallCaps w:val="false"/>
                          <w:sz w:val="22"/>
                          <w:u w:val="single"/>
                        </w:rPr>
                        <w:t>Third</w:t>
                      </w:r>
                      <w:r>
                        <w:rPr>
                          <w:caps w:val="false"/>
                          <w:smallCaps w:val="false"/>
                          <w:sz w:val="24"/>
                          <w:u w:val="single"/>
                        </w:rPr>
                        <w:t xml:space="preserve"> </w:t>
                      </w:r>
                      <w:r>
                        <w:rPr>
                          <w:rFonts w:ascii="Arial;sans-serif" w:hAnsi="Arial;sans-serif"/>
                          <w:b/>
                          <w:i w:val="false"/>
                          <w:caps w:val="false"/>
                          <w:smallCaps w:val="false"/>
                          <w:sz w:val="22"/>
                          <w:u w:val="single"/>
                        </w:rPr>
                        <w:t>Quarter 2026</w:t>
                      </w:r>
                      <w:r>
                        <w:rPr>
                          <w:caps w:val="false"/>
                          <w:smallCaps w:val="false"/>
                          <w:sz w:val="24"/>
                          <w:u w:val="single"/>
                        </w:rPr>
                        <w:t xml:space="preserve"> </w:t>
                      </w:r>
                      <w:r>
                        <w:rPr>
                          <w:rFonts w:ascii="Arial;sans-serif" w:hAnsi="Arial;sans-serif"/>
                          <w:b/>
                          <w:i w:val="false"/>
                          <w:caps w:val="false"/>
                          <w:smallCaps w:val="false"/>
                          <w:sz w:val="22"/>
                          <w:u w:val="single"/>
                        </w:rPr>
                        <w:t>Highlights</w:t>
                      </w:r>
                    </w:p>
                  </w:txbxContent>
                </v:textbox>
                <w10:wrap type="none"/>
              </v:rect>
            </w:pict>
          </mc:Fallback>
        </mc:AlternateContent>
      </w:r>
      <w:r>
        <mc:AlternateContent>
          <mc:Choice Requires="wps">
            <w:drawing>
              <wp:anchor behindDoc="0" distT="0" distB="0" distL="0" distR="0" simplePos="0" locked="0" layoutInCell="1" allowOverlap="1" relativeHeight="43">
                <wp:simplePos x="0" y="0"/>
                <wp:positionH relativeFrom="page">
                  <wp:posOffset>4705350</wp:posOffset>
                </wp:positionH>
                <wp:positionV relativeFrom="line">
                  <wp:posOffset>635</wp:posOffset>
                </wp:positionV>
                <wp:extent cx="2409825" cy="1624330"/>
                <wp:effectExtent l="0" t="0" r="0" b="0"/>
                <wp:wrapNone/>
                <wp:docPr id="10" name="Frame8"/>
                <a:graphic xmlns:a="http://schemas.openxmlformats.org/drawingml/2006/main">
                  <a:graphicData uri="http://schemas.microsoft.com/office/word/2010/wordprocessingShape">
                    <wps:wsp>
                      <wps:cNvSpPr txBox="1"/>
                      <wps:spPr>
                        <a:xfrm>
                          <a:off x="0" y="0"/>
                          <a:ext cx="2409825" cy="1624330"/>
                        </a:xfrm>
                        <a:prstGeom prst="rect"/>
                        <a:solidFill>
                          <a:srgbClr val="FFFFFF"/>
                        </a:solidFill>
                      </wps:spPr>
                      <wps:txbx>
                        <w:txbxContent>
                          <w:p>
                            <w:pPr>
                              <w:pStyle w:val="TextBody"/>
                              <w:bidi w:val="0"/>
                              <w:spacing w:lineRule="atLeast" w:line="146" w:before="0" w:after="0"/>
                              <w:jc w:val="left"/>
                              <w:rPr>
                                <w:rFonts w:ascii="Arial;sans-serif" w:hAnsi="Arial;sans-serif"/>
                                <w:b/>
                                <w:i w:val="false"/>
                                <w:caps w:val="false"/>
                                <w:smallCaps w:val="false"/>
                                <w:strike w:val="false"/>
                                <w:dstrike w:val="false"/>
                                <w:color w:val="804FEC"/>
                                <w:sz w:val="20"/>
                                <w:u w:val="none"/>
                                <w:effect w:val="none"/>
                              </w:rPr>
                            </w:pPr>
                            <w:r>
                              <w:rPr>
                                <w:rFonts w:ascii="Arial;sans-serif" w:hAnsi="Arial;sans-serif"/>
                                <w:b/>
                                <w:i w:val="false"/>
                                <w:caps w:val="false"/>
                                <w:smallCaps w:val="false"/>
                                <w:strike w:val="false"/>
                                <w:dstrike w:val="false"/>
                                <w:color w:val="804FEC"/>
                                <w:sz w:val="20"/>
                                <w:u w:val="none"/>
                                <w:effect w:val="none"/>
                              </w:rPr>
                              <w:t xml:space="preserve">Sarah Youngwood, Executive Vice </w:t>
                            </w:r>
                          </w:p>
                          <w:p>
                            <w:pPr>
                              <w:pStyle w:val="TextBody"/>
                              <w:bidi w:val="0"/>
                              <w:spacing w:lineRule="atLeast" w:line="146" w:before="0" w:after="0"/>
                              <w:jc w:val="left"/>
                              <w:rPr/>
                            </w:pPr>
                            <w:r>
                              <w:rPr>
                                <w:rFonts w:ascii="Arial;sans-serif" w:hAnsi="Arial;sans-serif"/>
                                <w:b/>
                                <w:i w:val="false"/>
                                <w:caps w:val="false"/>
                                <w:smallCaps w:val="false"/>
                                <w:strike w:val="false"/>
                                <w:dstrike w:val="false"/>
                                <w:color w:val="804FEC"/>
                                <w:sz w:val="20"/>
                                <w:u w:val="none"/>
                                <w:effect w:val="none"/>
                              </w:rPr>
                              <w:t>President and CFO</w:t>
                            </w:r>
                            <w:r>
                              <w:rPr>
                                <w:caps w:val="false"/>
                                <w:smallCaps w:val="false"/>
                                <w:strike w:val="false"/>
                                <w:dstrike w:val="false"/>
                                <w:color w:val="804FEC"/>
                                <w:u w:val="none"/>
                                <w:effect w:val="none"/>
                              </w:rPr>
                              <w:t xml:space="preserve"> </w:t>
                            </w:r>
                            <w:r>
                              <w:rPr>
                                <w:rFonts w:ascii="Arial;sans-serif" w:hAnsi="Arial;sans-serif"/>
                                <w:b w:val="false"/>
                                <w:i w:val="false"/>
                                <w:caps w:val="false"/>
                                <w:smallCaps w:val="false"/>
                                <w:strike w:val="false"/>
                                <w:dstrike w:val="false"/>
                                <w:color w:val="804FEC"/>
                                <w:sz w:val="20"/>
                                <w:u w:val="none"/>
                                <w:effect w:val="none"/>
                              </w:rPr>
                              <w:t xml:space="preserve">said, “Nasdaq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delivered excellent third quarter results,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headlined by outstanding Solutions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revenue growth, continued operating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leverage, and strong EPS growth.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Our durable business model and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disciplined execution underpin our capital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allocation strategy that prioritizes funding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investments in long-term growth while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returning more than $1.7 billion to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shareholders year to date through share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repurchases and dividends.”</w:t>
                            </w:r>
                          </w:p>
                        </w:txbxContent>
                      </wps:txbx>
                      <wps:bodyPr anchor="t" lIns="0" tIns="0" rIns="0" bIns="0">
                        <a:noAutofit/>
                      </wps:bodyPr>
                    </wps:wsp>
                  </a:graphicData>
                </a:graphic>
              </wp:anchor>
            </w:drawing>
          </mc:Choice>
          <mc:Fallback>
            <w:pict>
              <v:rect style="position:absolute;rotation:-0;width:189.75pt;height:127.9pt;mso-wrap-distance-left:0pt;mso-wrap-distance-right:0pt;mso-wrap-distance-top:0pt;mso-wrap-distance-bottom:0pt;margin-top:0pt;mso-position-vertical:top;mso-position-vertical-relative:text;margin-left:370.5pt;mso-position-horizontal-relative:page">
                <v:textbox>
                  <w:txbxContent>
                    <w:p>
                      <w:pPr>
                        <w:pStyle w:val="TextBody"/>
                        <w:bidi w:val="0"/>
                        <w:spacing w:lineRule="atLeast" w:line="146" w:before="0" w:after="0"/>
                        <w:jc w:val="left"/>
                        <w:rPr>
                          <w:rFonts w:ascii="Arial;sans-serif" w:hAnsi="Arial;sans-serif"/>
                          <w:b/>
                          <w:i w:val="false"/>
                          <w:caps w:val="false"/>
                          <w:smallCaps w:val="false"/>
                          <w:strike w:val="false"/>
                          <w:dstrike w:val="false"/>
                          <w:color w:val="804FEC"/>
                          <w:sz w:val="20"/>
                          <w:u w:val="none"/>
                          <w:effect w:val="none"/>
                        </w:rPr>
                      </w:pPr>
                      <w:r>
                        <w:rPr>
                          <w:rFonts w:ascii="Arial;sans-serif" w:hAnsi="Arial;sans-serif"/>
                          <w:b/>
                          <w:i w:val="false"/>
                          <w:caps w:val="false"/>
                          <w:smallCaps w:val="false"/>
                          <w:strike w:val="false"/>
                          <w:dstrike w:val="false"/>
                          <w:color w:val="804FEC"/>
                          <w:sz w:val="20"/>
                          <w:u w:val="none"/>
                          <w:effect w:val="none"/>
                        </w:rPr>
                        <w:t xml:space="preserve">Sarah Youngwood, Executive Vice </w:t>
                      </w:r>
                    </w:p>
                    <w:p>
                      <w:pPr>
                        <w:pStyle w:val="TextBody"/>
                        <w:bidi w:val="0"/>
                        <w:spacing w:lineRule="atLeast" w:line="146" w:before="0" w:after="0"/>
                        <w:jc w:val="left"/>
                        <w:rPr/>
                      </w:pPr>
                      <w:r>
                        <w:rPr>
                          <w:rFonts w:ascii="Arial;sans-serif" w:hAnsi="Arial;sans-serif"/>
                          <w:b/>
                          <w:i w:val="false"/>
                          <w:caps w:val="false"/>
                          <w:smallCaps w:val="false"/>
                          <w:strike w:val="false"/>
                          <w:dstrike w:val="false"/>
                          <w:color w:val="804FEC"/>
                          <w:sz w:val="20"/>
                          <w:u w:val="none"/>
                          <w:effect w:val="none"/>
                        </w:rPr>
                        <w:t>President and CFO</w:t>
                      </w:r>
                      <w:r>
                        <w:rPr>
                          <w:caps w:val="false"/>
                          <w:smallCaps w:val="false"/>
                          <w:strike w:val="false"/>
                          <w:dstrike w:val="false"/>
                          <w:color w:val="804FEC"/>
                          <w:u w:val="none"/>
                          <w:effect w:val="none"/>
                        </w:rPr>
                        <w:t xml:space="preserve"> </w:t>
                      </w:r>
                      <w:r>
                        <w:rPr>
                          <w:rFonts w:ascii="Arial;sans-serif" w:hAnsi="Arial;sans-serif"/>
                          <w:b w:val="false"/>
                          <w:i w:val="false"/>
                          <w:caps w:val="false"/>
                          <w:smallCaps w:val="false"/>
                          <w:strike w:val="false"/>
                          <w:dstrike w:val="false"/>
                          <w:color w:val="804FEC"/>
                          <w:sz w:val="20"/>
                          <w:u w:val="none"/>
                          <w:effect w:val="none"/>
                        </w:rPr>
                        <w:t xml:space="preserve">said, “Nasdaq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delivered excellent third quarter results,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headlined by outstanding Solutions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revenue growth, continued operating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leverage, and strong EPS growth.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Our durable business model and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disciplined execution underpin our capital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allocation strategy that prioritizes funding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investments in long-term growth while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returning more than $1.7 billion to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 xml:space="preserve">shareholders year to date through share </w:t>
                      </w:r>
                    </w:p>
                    <w:p>
                      <w:pPr>
                        <w:pStyle w:val="TextBody"/>
                        <w:bidi w:val="0"/>
                        <w:spacing w:lineRule="atLeast" w:line="146" w:before="0" w:after="0"/>
                        <w:jc w:val="left"/>
                        <w:rPr>
                          <w:rFonts w:ascii="Arial;sans-serif" w:hAnsi="Arial;sans-serif"/>
                          <w:b w:val="false"/>
                          <w:i w:val="false"/>
                          <w:caps w:val="false"/>
                          <w:smallCaps w:val="false"/>
                          <w:strike w:val="false"/>
                          <w:dstrike w:val="false"/>
                          <w:color w:val="804FEC"/>
                          <w:sz w:val="20"/>
                          <w:u w:val="none"/>
                          <w:effect w:val="none"/>
                        </w:rPr>
                      </w:pPr>
                      <w:r>
                        <w:rPr>
                          <w:rFonts w:ascii="Arial;sans-serif" w:hAnsi="Arial;sans-serif"/>
                          <w:b w:val="false"/>
                          <w:i w:val="false"/>
                          <w:caps w:val="false"/>
                          <w:smallCaps w:val="false"/>
                          <w:strike w:val="false"/>
                          <w:dstrike w:val="false"/>
                          <w:color w:val="804FEC"/>
                          <w:sz w:val="20"/>
                          <w:u w:val="none"/>
                          <w:effect w:val="none"/>
                        </w:rPr>
                        <w:t>repurchases and dividends.”</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0" w:before="0" w:after="0"/>
        <w:jc w:val="left"/>
        <w:rPr>
          <w:rFonts w:ascii="Arial;sans-serif" w:hAnsi="Arial;sans-serif"/>
          <w:shd w:fill="E4E4E4" w:val="clear"/>
        </w:rPr>
      </w:pPr>
      <w:r>
        <w:rPr>
          <w:rFonts w:ascii="Arial;sans-serif" w:hAnsi="Arial;sans-serif"/>
          <w:b/>
          <w:i w:val="false"/>
          <w:caps w:val="false"/>
          <w:smallCaps w:val="false"/>
          <w:strike w:val="false"/>
          <w:dstrike w:val="false"/>
          <w:sz w:val="22"/>
          <w:u w:val="none"/>
          <w:effect w:val="none"/>
          <w:shd w:fill="FFFFFF" w:val="clear"/>
        </w:rPr>
        <w:t>FINANCIAL REVIEW</w:t>
      </w:r>
      <w:r>
        <w:rPr>
          <w:rFonts w:ascii="Arial;sans-serif" w:hAnsi="Arial;sans-serif"/>
          <w:caps w:val="false"/>
          <w:smallCaps w:val="false"/>
          <w:strike w:val="false"/>
          <w:dstrike w:val="false"/>
          <w:u w:val="none"/>
          <w:effect w:val="none"/>
          <w:shd w:fill="FFFFFF" w:val="clear"/>
        </w:rPr>
        <w:t xml:space="preserve"> </w:t>
      </w:r>
    </w:p>
    <w:p>
      <w:pPr>
        <w:pStyle w:val="TextBody"/>
        <w:bidi w:val="0"/>
        <w:spacing w:lineRule="atLeast" w:line="160" w:before="0" w:after="0"/>
        <w:jc w:val="left"/>
        <w:rPr>
          <w:shd w:fill="E4E4E4" w:val="clear"/>
        </w:rPr>
      </w:pPr>
      <w:r>
        <w:rPr>
          <w:caps w:val="false"/>
          <w:smallCaps w:val="false"/>
          <w:strike w:val="false"/>
          <w:dstrike w:val="false"/>
          <w:u w:val="none"/>
          <w:effect w:val="none"/>
          <w:shd w:fill="FFFFFF" w:val="clear"/>
        </w:rPr>
        <w:t>•</w:t>
      </w:r>
      <w:r>
        <w:rPr>
          <w:rFonts w:ascii="Arial;sans-serif" w:hAnsi="Arial;sans-serif"/>
          <w:b w:val="false"/>
          <w:i w:val="false"/>
          <w:caps w:val="false"/>
          <w:smallCaps w:val="false"/>
          <w:strike w:val="false"/>
          <w:dstrike w:val="false"/>
          <w:sz w:val="22"/>
          <w:u w:val="none"/>
          <w:effect w:val="none"/>
          <w:shd w:fill="FFFFFF" w:val="clear"/>
        </w:rPr>
        <w:t>Third</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quarter 2026</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net revenue was $</w:t>
      </w:r>
      <w:r>
        <w:rPr>
          <w:rFonts w:ascii="Arial;sans-serif" w:hAnsi="Arial;sans-serif"/>
          <w:b w:val="false"/>
          <w:i w:val="false"/>
          <w:caps w:val="false"/>
          <w:smallCaps w:val="false"/>
          <w:strike w:val="false"/>
          <w:dstrike w:val="false"/>
          <w:sz w:val="22"/>
          <w:u w:val="none"/>
          <w:effect w:val="none"/>
          <w:shd w:fill="E4E4E4" w:val="clear"/>
        </w:rPr>
        <w:t>1.5</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billion, reflecting 13%</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 xml:space="preserve">growth on a reported basis </w:t>
      </w:r>
    </w:p>
    <w:p>
      <w:pPr>
        <w:pStyle w:val="TextBody"/>
        <w:bidi w:val="0"/>
        <w:spacing w:lineRule="atLeast" w:line="160"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2"/>
          <w:u w:val="none"/>
          <w:effect w:val="none"/>
          <w:shd w:fill="FFFFFF" w:val="clear"/>
        </w:rPr>
        <w:t xml:space="preserve">versus the prior year period, or </w:t>
      </w:r>
      <w:r>
        <w:rPr>
          <w:rFonts w:ascii="Arial;sans-serif" w:hAnsi="Arial;sans-serif"/>
          <w:b w:val="false"/>
          <w:i w:val="false"/>
          <w:caps w:val="false"/>
          <w:smallCaps w:val="false"/>
          <w:strike w:val="false"/>
          <w:dstrike w:val="false"/>
          <w:sz w:val="22"/>
          <w:u w:val="none"/>
          <w:effect w:val="none"/>
          <w:shd w:fill="E4E4E4" w:val="clear"/>
        </w:rPr>
        <w:t>14%</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 xml:space="preserve">growth on an organic basis. </w:t>
      </w:r>
    </w:p>
    <w:p>
      <w:pPr>
        <w:pStyle w:val="TextBody"/>
        <w:bidi w:val="0"/>
        <w:spacing w:lineRule="atLeast" w:line="160" w:before="0" w:after="0"/>
        <w:jc w:val="left"/>
        <w:rPr>
          <w:shd w:fill="E4E4E4" w:val="clear"/>
        </w:rPr>
      </w:pPr>
      <w:r>
        <w:rPr>
          <w:caps w:val="false"/>
          <w:smallCaps w:val="false"/>
          <w:strike w:val="false"/>
          <w:dstrike w:val="false"/>
          <w:u w:val="none"/>
          <w:effect w:val="none"/>
          <w:shd w:fill="FFFFFF" w:val="clear"/>
        </w:rPr>
        <w:t>•</w:t>
      </w:r>
      <w:r>
        <w:rPr>
          <w:rFonts w:ascii="Arial;sans-serif" w:hAnsi="Arial;sans-serif"/>
          <w:b w:val="false"/>
          <w:i w:val="false"/>
          <w:caps w:val="false"/>
          <w:smallCaps w:val="false"/>
          <w:strike w:val="false"/>
          <w:dstrike w:val="false"/>
          <w:sz w:val="22"/>
          <w:u w:val="none"/>
          <w:effect w:val="none"/>
          <w:shd w:fill="FFFFFF" w:val="clear"/>
        </w:rPr>
        <w:t>Solutions revenue was $</w:t>
      </w:r>
      <w:r>
        <w:rPr>
          <w:rFonts w:ascii="Arial;sans-serif" w:hAnsi="Arial;sans-serif"/>
          <w:b w:val="false"/>
          <w:i w:val="false"/>
          <w:caps w:val="false"/>
          <w:smallCaps w:val="false"/>
          <w:strike w:val="false"/>
          <w:dstrike w:val="false"/>
          <w:sz w:val="22"/>
          <w:u w:val="none"/>
          <w:effect w:val="none"/>
          <w:shd w:fill="E4E4E4" w:val="clear"/>
        </w:rPr>
        <w:t>1.2</w:t>
      </w:r>
      <w:r>
        <w:rPr>
          <w:rFonts w:ascii="Arial;sans-serif" w:hAnsi="Arial;sans-serif"/>
          <w:caps w:val="false"/>
          <w:smallCaps w:val="false"/>
          <w:sz w:val="24"/>
          <w:shd w:fill="E4E4E4" w:val="clear"/>
        </w:rPr>
        <w:t xml:space="preserve"> </w:t>
      </w:r>
      <w:r>
        <w:rPr>
          <w:rFonts w:ascii="Arial;sans-serif" w:hAnsi="Arial;sans-serif"/>
          <w:b w:val="false"/>
          <w:i w:val="false"/>
          <w:caps w:val="false"/>
          <w:smallCaps w:val="false"/>
          <w:sz w:val="22"/>
          <w:shd w:fill="E4E4E4" w:val="clear"/>
        </w:rPr>
        <w:t xml:space="preserve">billion in the </w:t>
      </w:r>
      <w:r>
        <w:rPr>
          <w:rFonts w:ascii="Arial;sans-serif" w:hAnsi="Arial;sans-serif"/>
          <w:b w:val="false"/>
          <w:i w:val="false"/>
          <w:caps w:val="false"/>
          <w:smallCaps w:val="false"/>
          <w:strike w:val="false"/>
          <w:dstrike w:val="false"/>
          <w:sz w:val="22"/>
          <w:u w:val="none"/>
          <w:effect w:val="none"/>
          <w:shd w:fill="FFFFFF" w:val="clear"/>
        </w:rPr>
        <w:t>third</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quarter of 2026, an increase of 17%</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 xml:space="preserve">versus the </w:t>
      </w:r>
    </w:p>
    <w:p>
      <w:pPr>
        <w:pStyle w:val="TextBody"/>
        <w:bidi w:val="0"/>
        <w:spacing w:lineRule="atLeast" w:line="160"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2"/>
          <w:u w:val="none"/>
          <w:effect w:val="none"/>
          <w:shd w:fill="FFFFFF" w:val="clear"/>
        </w:rPr>
        <w:t xml:space="preserve">prior year period, or </w:t>
      </w:r>
      <w:r>
        <w:rPr>
          <w:rFonts w:ascii="Arial;sans-serif" w:hAnsi="Arial;sans-serif"/>
          <w:b w:val="false"/>
          <w:i w:val="false"/>
          <w:caps w:val="false"/>
          <w:smallCaps w:val="false"/>
          <w:strike w:val="false"/>
          <w:dstrike w:val="false"/>
          <w:sz w:val="22"/>
          <w:u w:val="none"/>
          <w:effect w:val="none"/>
          <w:shd w:fill="E4E4E4" w:val="clear"/>
        </w:rPr>
        <w:t>18%</w:t>
      </w:r>
      <w:r>
        <w:rPr>
          <w:rFonts w:ascii="Arial;sans-serif" w:hAnsi="Arial;sans-serif"/>
          <w:caps w:val="false"/>
          <w:smallCaps w:val="false"/>
          <w:sz w:val="24"/>
          <w:shd w:fill="E4E4E4" w:val="clear"/>
        </w:rPr>
        <w:t xml:space="preserve"> </w:t>
      </w:r>
      <w:r>
        <w:rPr>
          <w:rFonts w:ascii="Arial;sans-serif" w:hAnsi="Arial;sans-serif"/>
          <w:b w:val="false"/>
          <w:i w:val="false"/>
          <w:caps w:val="false"/>
          <w:smallCaps w:val="false"/>
          <w:sz w:val="22"/>
          <w:shd w:fill="E4E4E4" w:val="clear"/>
        </w:rPr>
        <w:t>on an organic basis.</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 xml:space="preserve">Performance in the quarter reflected strong </w:t>
      </w:r>
    </w:p>
    <w:p>
      <w:pPr>
        <w:pStyle w:val="TextBody"/>
        <w:bidi w:val="0"/>
        <w:spacing w:lineRule="atLeast" w:line="160" w:before="0" w:after="0"/>
        <w:jc w:val="left"/>
        <w:rPr>
          <w:rFonts w:ascii="Arial;sans-serif" w:hAnsi="Arial;sans-serif"/>
          <w:b w:val="false"/>
          <w:i w:val="false"/>
          <w:caps w:val="false"/>
          <w:smallCaps w:val="false"/>
          <w:strike w:val="false"/>
          <w:dstrike w:val="false"/>
          <w:sz w:val="22"/>
          <w:u w:val="none"/>
          <w:effect w:val="none"/>
          <w:shd w:fill="FFFFFF" w:val="clear"/>
        </w:rPr>
      </w:pPr>
      <w:r>
        <w:rPr>
          <w:rFonts w:ascii="Arial;sans-serif" w:hAnsi="Arial;sans-serif"/>
          <w:b w:val="false"/>
          <w:i w:val="false"/>
          <w:caps w:val="false"/>
          <w:smallCaps w:val="false"/>
          <w:strike w:val="false"/>
          <w:dstrike w:val="false"/>
          <w:sz w:val="22"/>
          <w:u w:val="none"/>
          <w:effect w:val="none"/>
          <w:shd w:fill="FFFFFF" w:val="clear"/>
        </w:rPr>
        <w:t xml:space="preserve">growth across Capital Access Platforms and Financial Technology. Capital Access Platforms </w:t>
      </w:r>
    </w:p>
    <w:p>
      <w:pPr>
        <w:pStyle w:val="TextBody"/>
        <w:bidi w:val="0"/>
        <w:spacing w:lineRule="atLeast" w:line="160"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2"/>
          <w:u w:val="none"/>
          <w:effect w:val="none"/>
          <w:shd w:fill="FFFFFF" w:val="clear"/>
        </w:rPr>
        <w:t>revenue growth was 20%</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 xml:space="preserve">year-over-year on both a reported and organic basis. Financial </w:t>
      </w:r>
    </w:p>
    <w:p>
      <w:pPr>
        <w:pStyle w:val="TextBody"/>
        <w:bidi w:val="0"/>
        <w:spacing w:lineRule="atLeast" w:line="160" w:before="0" w:after="0"/>
        <w:jc w:val="left"/>
        <w:rPr>
          <w:rFonts w:ascii="Arial;sans-serif" w:hAnsi="Arial;sans-serif"/>
          <w:b w:val="false"/>
          <w:i w:val="false"/>
          <w:caps w:val="false"/>
          <w:smallCaps w:val="false"/>
          <w:strike w:val="false"/>
          <w:dstrike w:val="false"/>
          <w:sz w:val="22"/>
          <w:u w:val="none"/>
          <w:effect w:val="none"/>
          <w:shd w:fill="FFFFFF" w:val="clear"/>
        </w:rPr>
      </w:pPr>
      <w:r>
        <w:rPr>
          <w:rFonts w:ascii="Arial;sans-serif" w:hAnsi="Arial;sans-serif"/>
          <w:b w:val="false"/>
          <w:i w:val="false"/>
          <w:caps w:val="false"/>
          <w:smallCaps w:val="false"/>
          <w:strike w:val="false"/>
          <w:dstrike w:val="false"/>
          <w:sz w:val="22"/>
          <w:u w:val="none"/>
          <w:effect w:val="none"/>
          <w:shd w:fill="FFFFFF" w:val="clear"/>
        </w:rPr>
        <w:t xml:space="preserve">Technology revenue growth was 16%, on both a reported and organic basis. </w:t>
      </w:r>
    </w:p>
    <w:p>
      <w:pPr>
        <w:pStyle w:val="TextBody"/>
        <w:bidi w:val="0"/>
        <w:spacing w:lineRule="atLeast" w:line="160" w:before="0" w:after="0"/>
        <w:jc w:val="left"/>
        <w:rPr>
          <w:shd w:fill="E4E4E4" w:val="clear"/>
        </w:rPr>
      </w:pPr>
      <w:r>
        <w:rPr>
          <w:caps w:val="false"/>
          <w:smallCaps w:val="false"/>
          <w:strike w:val="false"/>
          <w:dstrike w:val="false"/>
          <w:u w:val="none"/>
          <w:effect w:val="none"/>
          <w:shd w:fill="FFFFFF" w:val="clear"/>
        </w:rPr>
        <w:t>•</w:t>
      </w:r>
      <w:r>
        <w:rPr>
          <w:rFonts w:ascii="Arial;sans-serif" w:hAnsi="Arial;sans-serif"/>
          <w:b w:val="false"/>
          <w:i w:val="false"/>
          <w:caps w:val="false"/>
          <w:smallCaps w:val="false"/>
          <w:strike w:val="false"/>
          <w:dstrike w:val="false"/>
          <w:sz w:val="22"/>
          <w:u w:val="none"/>
          <w:effect w:val="none"/>
          <w:shd w:fill="FFFFFF" w:val="clear"/>
        </w:rPr>
        <w:t>ARR was $3.4</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billion as of the third</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quarter of 2026, growing 12%</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 xml:space="preserve">year-over-year on a </w:t>
      </w:r>
    </w:p>
    <w:p>
      <w:pPr>
        <w:pStyle w:val="TextBody"/>
        <w:bidi w:val="0"/>
        <w:spacing w:lineRule="atLeast" w:line="160"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2"/>
          <w:u w:val="none"/>
          <w:effect w:val="none"/>
          <w:shd w:fill="FFFFFF" w:val="clear"/>
        </w:rPr>
        <w:t>reported basis, or 14%</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 xml:space="preserve">on an organic basis. The difference between total reported and organic </w:t>
      </w:r>
    </w:p>
    <w:p>
      <w:pPr>
        <w:pStyle w:val="TextBody"/>
        <w:bidi w:val="0"/>
        <w:spacing w:lineRule="atLeast" w:line="160" w:before="0" w:after="0"/>
        <w:jc w:val="left"/>
        <w:rPr>
          <w:rFonts w:ascii="Arial;sans-serif" w:hAnsi="Arial;sans-serif"/>
          <w:b w:val="false"/>
          <w:i w:val="false"/>
          <w:caps w:val="false"/>
          <w:smallCaps w:val="false"/>
          <w:strike w:val="false"/>
          <w:dstrike w:val="false"/>
          <w:sz w:val="22"/>
          <w:u w:val="none"/>
          <w:effect w:val="none"/>
          <w:shd w:fill="FFFFFF" w:val="clear"/>
        </w:rPr>
      </w:pPr>
      <w:r>
        <w:rPr>
          <w:rFonts w:ascii="Arial;sans-serif" w:hAnsi="Arial;sans-serif"/>
          <w:b w:val="false"/>
          <w:i w:val="false"/>
          <w:caps w:val="false"/>
          <w:smallCaps w:val="false"/>
          <w:strike w:val="false"/>
          <w:dstrike w:val="false"/>
          <w:sz w:val="22"/>
          <w:u w:val="none"/>
          <w:effect w:val="none"/>
          <w:shd w:fill="FFFFFF" w:val="clear"/>
        </w:rPr>
        <w:t xml:space="preserve">ARR growth results from the impact of divestitures, which were excluded from ARR in the prior </w:t>
      </w:r>
    </w:p>
    <w:p>
      <w:pPr>
        <w:pStyle w:val="TextBody"/>
        <w:bidi w:val="0"/>
        <w:spacing w:lineRule="atLeast" w:line="160"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2"/>
          <w:u w:val="none"/>
          <w:effect w:val="none"/>
          <w:shd w:fill="FFFFFF" w:val="clear"/>
        </w:rPr>
        <w:t>year period. Financial Technology ARR growth was 18%</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 xml:space="preserve">on both a reported and organic basis, </w:t>
      </w:r>
    </w:p>
    <w:p>
      <w:pPr>
        <w:pStyle w:val="TextBody"/>
        <w:bidi w:val="0"/>
        <w:spacing w:lineRule="atLeast" w:line="160"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2"/>
          <w:u w:val="none"/>
          <w:effect w:val="none"/>
          <w:shd w:fill="FFFFFF" w:val="clear"/>
        </w:rPr>
        <w:t>and Capital Access Platforms ARR growth was 8%</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on both a reported and organic basis.</w:t>
      </w:r>
    </w:p>
    <w:p>
      <w:pPr>
        <w:pStyle w:val="TextBody"/>
        <w:bidi w:val="0"/>
        <w:spacing w:lineRule="atLeast" w:line="175" w:before="0" w:after="0"/>
        <w:jc w:val="left"/>
        <w:rPr>
          <w:shd w:fill="E4E4E4" w:val="clear"/>
        </w:rPr>
      </w:pPr>
      <w:r>
        <w:rPr>
          <w:caps w:val="false"/>
          <w:smallCaps w:val="false"/>
          <w:strike w:val="false"/>
          <w:dstrike w:val="false"/>
          <w:u w:val="none"/>
          <w:effect w:val="none"/>
          <w:shd w:fill="FFFFFF" w:val="clear"/>
        </w:rPr>
        <w:t>•</w:t>
      </w:r>
      <w:r>
        <w:rPr>
          <w:rFonts w:ascii="Arial;sans-serif" w:hAnsi="Arial;sans-serif"/>
          <w:b w:val="false"/>
          <w:i w:val="false"/>
          <w:caps w:val="false"/>
          <w:smallCaps w:val="false"/>
          <w:strike w:val="false"/>
          <w:dstrike w:val="false"/>
          <w:sz w:val="22"/>
          <w:u w:val="none"/>
          <w:effect w:val="none"/>
          <w:shd w:fill="FFFFFF" w:val="clear"/>
        </w:rPr>
        <w:t>Market Services net revenue was $309</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million in the third</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quarter of 2026, up 2%</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z w:val="24"/>
          <w:shd w:fill="E4E4E4" w:val="clear"/>
        </w:rPr>
        <w:t xml:space="preserve">on both a </w:t>
      </w:r>
    </w:p>
    <w:p>
      <w:pPr>
        <w:pStyle w:val="TextBody"/>
        <w:bidi w:val="0"/>
        <w:spacing w:lineRule="atLeast" w:line="175" w:before="0" w:after="0"/>
        <w:jc w:val="left"/>
        <w:rPr>
          <w:rFonts w:ascii="Arial;sans-serif" w:hAnsi="Arial;sans-serif"/>
          <w:shd w:fill="E4E4E4" w:val="clear"/>
        </w:rPr>
      </w:pPr>
      <w:r>
        <w:rPr>
          <w:rFonts w:ascii="Arial;sans-serif" w:hAnsi="Arial;sans-serif"/>
          <w:b w:val="false"/>
          <w:i w:val="false"/>
          <w:caps w:val="false"/>
          <w:smallCaps w:val="false"/>
          <w:sz w:val="24"/>
          <w:shd w:fill="E4E4E4" w:val="clear"/>
        </w:rPr>
        <w:t xml:space="preserve">reported and organic basis </w:t>
      </w:r>
      <w:r>
        <w:rPr>
          <w:rFonts w:ascii="Arial;sans-serif" w:hAnsi="Arial;sans-serif"/>
          <w:b w:val="false"/>
          <w:i w:val="false"/>
          <w:caps w:val="false"/>
          <w:smallCaps w:val="false"/>
          <w:strike w:val="false"/>
          <w:dstrike w:val="false"/>
          <w:sz w:val="22"/>
          <w:u w:val="none"/>
          <w:effect w:val="none"/>
          <w:shd w:fill="FFFFFF" w:val="clear"/>
        </w:rPr>
        <w:t>versus the prior year period.</w:t>
      </w:r>
    </w:p>
    <w:p>
      <w:pPr>
        <w:pStyle w:val="TextBody"/>
        <w:bidi w:val="0"/>
        <w:spacing w:lineRule="atLeast" w:line="160" w:before="0" w:after="0"/>
        <w:jc w:val="left"/>
        <w:rPr>
          <w:shd w:fill="E4E4E4" w:val="clear"/>
        </w:rPr>
      </w:pPr>
      <w:r>
        <w:rPr>
          <w:caps w:val="false"/>
          <w:smallCaps w:val="false"/>
          <w:strike w:val="false"/>
          <w:dstrike w:val="false"/>
          <w:u w:val="none"/>
          <w:effect w:val="none"/>
          <w:shd w:fill="FFFFFF" w:val="clear"/>
        </w:rPr>
        <w:t>•</w:t>
      </w:r>
      <w:r>
        <w:rPr>
          <w:rFonts w:ascii="Arial;sans-serif" w:hAnsi="Arial;sans-serif"/>
          <w:b w:val="false"/>
          <w:i w:val="false"/>
          <w:caps w:val="false"/>
          <w:smallCaps w:val="false"/>
          <w:strike w:val="false"/>
          <w:dstrike w:val="false"/>
          <w:sz w:val="22"/>
          <w:u w:val="none"/>
          <w:effect w:val="none"/>
          <w:shd w:fill="FFFFFF" w:val="clear"/>
        </w:rPr>
        <w:t>Third</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quarter 2026</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GAAP operating expenses were $749</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million, an increase of 3%</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 xml:space="preserve">versus </w:t>
      </w:r>
    </w:p>
    <w:p>
      <w:pPr>
        <w:pStyle w:val="TextBody"/>
        <w:bidi w:val="0"/>
        <w:spacing w:lineRule="atLeast" w:line="160"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2"/>
          <w:u w:val="none"/>
          <w:effect w:val="none"/>
          <w:shd w:fill="FFFFFF" w:val="clear"/>
        </w:rPr>
        <w:t xml:space="preserve">the prior year quarter. Non-GAAP operating expenses were </w:t>
      </w:r>
      <w:r>
        <w:rPr>
          <w:rFonts w:ascii="Arial;sans-serif" w:hAnsi="Arial;sans-serif"/>
          <w:b w:val="false"/>
          <w:i w:val="false"/>
          <w:caps w:val="false"/>
          <w:smallCaps w:val="false"/>
          <w:strike w:val="false"/>
          <w:dstrike w:val="false"/>
          <w:sz w:val="22"/>
          <w:u w:val="none"/>
          <w:effect w:val="none"/>
          <w:shd w:fill="E4E4E4" w:val="clear"/>
        </w:rPr>
        <w:t>$638</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 xml:space="preserve">million, up </w:t>
      </w:r>
      <w:r>
        <w:rPr>
          <w:rFonts w:ascii="Arial;sans-serif" w:hAnsi="Arial;sans-serif"/>
          <w:b w:val="false"/>
          <w:i w:val="false"/>
          <w:caps w:val="false"/>
          <w:smallCaps w:val="false"/>
          <w:strike w:val="false"/>
          <w:dstrike w:val="false"/>
          <w:sz w:val="22"/>
          <w:u w:val="none"/>
          <w:effect w:val="none"/>
          <w:shd w:fill="E4E4E4" w:val="clear"/>
        </w:rPr>
        <w:t>9%</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 xml:space="preserve">versus the </w:t>
      </w:r>
    </w:p>
    <w:p>
      <w:pPr>
        <w:pStyle w:val="TextBody"/>
        <w:bidi w:val="0"/>
        <w:spacing w:lineRule="atLeast" w:line="160"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2"/>
          <w:u w:val="none"/>
          <w:effect w:val="none"/>
          <w:shd w:fill="FFFFFF" w:val="clear"/>
        </w:rPr>
        <w:t xml:space="preserve">prior year quarter, or </w:t>
      </w:r>
      <w:r>
        <w:rPr>
          <w:rFonts w:ascii="Arial;sans-serif" w:hAnsi="Arial;sans-serif"/>
          <w:b w:val="false"/>
          <w:i w:val="false"/>
          <w:caps w:val="false"/>
          <w:smallCaps w:val="false"/>
          <w:strike w:val="false"/>
          <w:dstrike w:val="false"/>
          <w:sz w:val="22"/>
          <w:u w:val="none"/>
          <w:effect w:val="none"/>
          <w:shd w:fill="E4E4E4" w:val="clear"/>
        </w:rPr>
        <w:t>12%</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 xml:space="preserve">on an organic basis. The increases were primarily driven by higher </w:t>
      </w:r>
    </w:p>
    <w:p>
      <w:pPr>
        <w:pStyle w:val="TextBody"/>
        <w:bidi w:val="0"/>
        <w:spacing w:lineRule="atLeast" w:line="160" w:before="0" w:after="0"/>
        <w:jc w:val="left"/>
        <w:rPr>
          <w:rFonts w:ascii="Arial;sans-serif" w:hAnsi="Arial;sans-serif"/>
          <w:b w:val="false"/>
          <w:i w:val="false"/>
          <w:caps w:val="false"/>
          <w:smallCaps w:val="false"/>
          <w:strike w:val="false"/>
          <w:dstrike w:val="false"/>
          <w:sz w:val="22"/>
          <w:u w:val="none"/>
          <w:effect w:val="none"/>
          <w:shd w:fill="FFFFFF" w:val="clear"/>
        </w:rPr>
      </w:pPr>
      <w:r>
        <w:rPr>
          <w:rFonts w:ascii="Arial;sans-serif" w:hAnsi="Arial;sans-serif"/>
          <w:b w:val="false"/>
          <w:i w:val="false"/>
          <w:caps w:val="false"/>
          <w:smallCaps w:val="false"/>
          <w:strike w:val="false"/>
          <w:dstrike w:val="false"/>
          <w:sz w:val="22"/>
          <w:u w:val="none"/>
          <w:effect w:val="none"/>
          <w:shd w:fill="FFFFFF" w:val="clear"/>
        </w:rPr>
        <w:t xml:space="preserve">compensation and benefits costs from our strong revenue execution and increased </w:t>
      </w:r>
    </w:p>
    <w:p>
      <w:pPr>
        <w:pStyle w:val="TextBody"/>
        <w:bidi w:val="0"/>
        <w:spacing w:lineRule="atLeast" w:line="160" w:before="0" w:after="0"/>
        <w:jc w:val="left"/>
        <w:rPr>
          <w:rFonts w:ascii="Arial;sans-serif" w:hAnsi="Arial;sans-serif"/>
          <w:b w:val="false"/>
          <w:i w:val="false"/>
          <w:caps w:val="false"/>
          <w:smallCaps w:val="false"/>
          <w:strike w:val="false"/>
          <w:dstrike w:val="false"/>
          <w:sz w:val="22"/>
          <w:u w:val="none"/>
          <w:effect w:val="none"/>
          <w:shd w:fill="FFFFFF" w:val="clear"/>
        </w:rPr>
      </w:pPr>
      <w:r>
        <w:rPr>
          <w:rFonts w:ascii="Arial;sans-serif" w:hAnsi="Arial;sans-serif"/>
          <w:b w:val="false"/>
          <w:i w:val="false"/>
          <w:caps w:val="false"/>
          <w:smallCaps w:val="false"/>
          <w:strike w:val="false"/>
          <w:dstrike w:val="false"/>
          <w:sz w:val="22"/>
          <w:u w:val="none"/>
          <w:effect w:val="none"/>
          <w:shd w:fill="FFFFFF" w:val="clear"/>
        </w:rPr>
        <w:t xml:space="preserve">investments in technology to drive long-term growth. On a GAAP basis, the increase was </w:t>
      </w:r>
    </w:p>
    <w:p>
      <w:pPr>
        <w:pStyle w:val="TextBody"/>
        <w:bidi w:val="0"/>
        <w:spacing w:lineRule="atLeast" w:line="160" w:before="0" w:after="0"/>
        <w:jc w:val="left"/>
        <w:rPr>
          <w:rFonts w:ascii="Arial;sans-serif" w:hAnsi="Arial;sans-serif"/>
          <w:b w:val="false"/>
          <w:i w:val="false"/>
          <w:caps w:val="false"/>
          <w:smallCaps w:val="false"/>
          <w:strike w:val="false"/>
          <w:dstrike w:val="false"/>
          <w:sz w:val="22"/>
          <w:u w:val="none"/>
          <w:effect w:val="none"/>
          <w:shd w:fill="FFFFFF" w:val="clear"/>
        </w:rPr>
      </w:pPr>
      <w:r>
        <w:rPr>
          <w:rFonts w:ascii="Arial;sans-serif" w:hAnsi="Arial;sans-serif"/>
          <w:b w:val="false"/>
          <w:i w:val="false"/>
          <w:caps w:val="false"/>
          <w:smallCaps w:val="false"/>
          <w:strike w:val="false"/>
          <w:dstrike w:val="false"/>
          <w:sz w:val="22"/>
          <w:u w:val="none"/>
          <w:effect w:val="none"/>
          <w:shd w:fill="FFFFFF" w:val="clear"/>
        </w:rPr>
        <w:t xml:space="preserve">partially offset by lower general and administrative expenses, primarily due to a favorable legal </w:t>
      </w:r>
    </w:p>
    <w:p>
      <w:pPr>
        <w:pStyle w:val="TextBody"/>
        <w:bidi w:val="0"/>
        <w:spacing w:lineRule="atLeast" w:line="160"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2"/>
          <w:u w:val="none"/>
          <w:effect w:val="none"/>
          <w:shd w:fill="FFFFFF" w:val="clear"/>
        </w:rPr>
        <w:t xml:space="preserve">settlement, and lower restructuring charges. </w:t>
      </w:r>
      <w:r>
        <w:rPr>
          <w:rFonts w:ascii="Arial;sans-serif" w:hAnsi="Arial;sans-serif"/>
          <w:caps w:val="false"/>
          <w:smallCaps w:val="false"/>
          <w:strike w:val="false"/>
          <w:dstrike w:val="false"/>
          <w:sz w:val="24"/>
          <w:u w:val="none"/>
          <w:effect w:val="none"/>
          <w:shd w:fill="FFFFFF" w:val="clear"/>
        </w:rPr>
        <w:t xml:space="preserve">  </w:t>
      </w:r>
    </w:p>
    <w:p>
      <w:pPr>
        <w:pStyle w:val="TextBody"/>
        <w:bidi w:val="0"/>
        <w:spacing w:lineRule="atLeast" w:line="160" w:before="0" w:after="0"/>
        <w:jc w:val="left"/>
        <w:rPr>
          <w:shd w:fill="E4E4E4" w:val="clear"/>
        </w:rPr>
      </w:pPr>
      <w:r>
        <w:rPr>
          <w:caps w:val="false"/>
          <w:smallCaps w:val="false"/>
          <w:shd w:fill="E4E4E4" w:val="clear"/>
        </w:rPr>
        <w:t>•</w:t>
      </w:r>
      <w:r>
        <w:rPr>
          <w:rFonts w:ascii="Arial;sans-serif" w:hAnsi="Arial;sans-serif"/>
          <w:b w:val="false"/>
          <w:i w:val="false"/>
          <w:caps w:val="false"/>
          <w:smallCaps w:val="false"/>
          <w:sz w:val="22"/>
          <w:shd w:fill="E4E4E4" w:val="clear"/>
        </w:rPr>
        <w:t xml:space="preserve">Cash flow from operations was </w:t>
      </w:r>
      <w:r>
        <w:rPr>
          <w:rFonts w:ascii="Arial;sans-serif" w:hAnsi="Arial;sans-serif"/>
          <w:b w:val="false"/>
          <w:i w:val="false"/>
          <w:caps w:val="false"/>
          <w:smallCaps w:val="false"/>
          <w:strike w:val="false"/>
          <w:dstrike w:val="false"/>
          <w:sz w:val="22"/>
          <w:u w:val="none"/>
          <w:effect w:val="none"/>
          <w:shd w:fill="FFFFFF" w:val="clear"/>
        </w:rPr>
        <w:t>$521</w:t>
      </w:r>
      <w:r>
        <w:rPr>
          <w:rFonts w:ascii="Arial;sans-serif" w:hAnsi="Arial;sans-serif"/>
          <w:caps w:val="false"/>
          <w:smallCaps w:val="false"/>
          <w:sz w:val="24"/>
          <w:shd w:fill="E4E4E4" w:val="clear"/>
        </w:rPr>
        <w:t xml:space="preserve"> </w:t>
      </w:r>
      <w:r>
        <w:rPr>
          <w:rFonts w:ascii="Arial;sans-serif" w:hAnsi="Arial;sans-serif"/>
          <w:b w:val="false"/>
          <w:i w:val="false"/>
          <w:caps w:val="false"/>
          <w:smallCaps w:val="false"/>
          <w:sz w:val="22"/>
          <w:shd w:fill="E4E4E4" w:val="clear"/>
        </w:rPr>
        <w:t xml:space="preserve">million in the </w:t>
      </w:r>
      <w:r>
        <w:rPr>
          <w:rFonts w:ascii="Arial;sans-serif" w:hAnsi="Arial;sans-serif"/>
          <w:b w:val="false"/>
          <w:i w:val="false"/>
          <w:caps w:val="false"/>
          <w:smallCaps w:val="false"/>
          <w:strike w:val="false"/>
          <w:dstrike w:val="false"/>
          <w:sz w:val="22"/>
          <w:u w:val="none"/>
          <w:effect w:val="none"/>
          <w:shd w:fill="E4E4E4" w:val="clear"/>
        </w:rPr>
        <w:t>third</w:t>
      </w:r>
      <w:r>
        <w:rPr>
          <w:rFonts w:ascii="Arial;sans-serif" w:hAnsi="Arial;sans-serif"/>
          <w:caps w:val="false"/>
          <w:smallCaps w:val="false"/>
          <w:sz w:val="24"/>
          <w:shd w:fill="E4E4E4" w:val="clear"/>
        </w:rPr>
        <w:t xml:space="preserve"> </w:t>
      </w:r>
      <w:r>
        <w:rPr>
          <w:rFonts w:ascii="Arial;sans-serif" w:hAnsi="Arial;sans-serif"/>
          <w:b w:val="false"/>
          <w:i w:val="false"/>
          <w:caps w:val="false"/>
          <w:smallCaps w:val="false"/>
          <w:sz w:val="22"/>
          <w:shd w:fill="E4E4E4" w:val="clear"/>
        </w:rPr>
        <w:t xml:space="preserve">quarter, enabling the return of capital </w:t>
      </w:r>
    </w:p>
    <w:p>
      <w:pPr>
        <w:pStyle w:val="TextBody"/>
        <w:bidi w:val="0"/>
        <w:spacing w:lineRule="atLeast" w:line="160" w:before="0" w:after="0"/>
        <w:jc w:val="left"/>
        <w:rPr>
          <w:rFonts w:ascii="Arial;sans-serif" w:hAnsi="Arial;sans-serif"/>
          <w:sz w:val="24"/>
          <w:shd w:fill="E4E4E4" w:val="clear"/>
        </w:rPr>
      </w:pPr>
      <w:r>
        <w:rPr>
          <w:rFonts w:ascii="Arial;sans-serif" w:hAnsi="Arial;sans-serif"/>
          <w:b w:val="false"/>
          <w:i w:val="false"/>
          <w:caps w:val="false"/>
          <w:smallCaps w:val="false"/>
          <w:sz w:val="22"/>
          <w:shd w:fill="E4E4E4" w:val="clear"/>
        </w:rPr>
        <w:t xml:space="preserve">through Nasdaq’s efficient capital allocation framework. In the </w:t>
      </w:r>
      <w:r>
        <w:rPr>
          <w:rFonts w:ascii="Arial;sans-serif" w:hAnsi="Arial;sans-serif"/>
          <w:b w:val="false"/>
          <w:i w:val="false"/>
          <w:caps w:val="false"/>
          <w:smallCaps w:val="false"/>
          <w:strike w:val="false"/>
          <w:dstrike w:val="false"/>
          <w:sz w:val="22"/>
          <w:u w:val="none"/>
          <w:effect w:val="none"/>
          <w:shd w:fill="E4E4E4" w:val="clear"/>
        </w:rPr>
        <w:t>third</w:t>
      </w:r>
      <w:r>
        <w:rPr>
          <w:rFonts w:ascii="Arial;sans-serif" w:hAnsi="Arial;sans-serif"/>
          <w:caps w:val="false"/>
          <w:smallCaps w:val="false"/>
          <w:sz w:val="24"/>
          <w:shd w:fill="E4E4E4" w:val="clear"/>
        </w:rPr>
        <w:t xml:space="preserve"> </w:t>
      </w:r>
      <w:r>
        <w:rPr>
          <w:rFonts w:ascii="Arial;sans-serif" w:hAnsi="Arial;sans-serif"/>
          <w:b w:val="false"/>
          <w:i w:val="false"/>
          <w:caps w:val="false"/>
          <w:smallCaps w:val="false"/>
          <w:sz w:val="22"/>
          <w:shd w:fill="E4E4E4" w:val="clear"/>
        </w:rPr>
        <w:t xml:space="preserve">quarter of </w:t>
      </w:r>
      <w:r>
        <w:rPr>
          <w:rFonts w:ascii="Arial;sans-serif" w:hAnsi="Arial;sans-serif"/>
          <w:b w:val="false"/>
          <w:i w:val="false"/>
          <w:caps w:val="false"/>
          <w:smallCaps w:val="false"/>
          <w:strike w:val="false"/>
          <w:dstrike w:val="false"/>
          <w:sz w:val="22"/>
          <w:u w:val="none"/>
          <w:effect w:val="none"/>
          <w:shd w:fill="E4E4E4" w:val="clear"/>
        </w:rPr>
        <w:t>2026</w:t>
      </w:r>
      <w:r>
        <w:rPr>
          <w:rFonts w:ascii="Arial;sans-serif" w:hAnsi="Arial;sans-serif"/>
          <w:b w:val="false"/>
          <w:i w:val="false"/>
          <w:caps w:val="false"/>
          <w:smallCaps w:val="false"/>
          <w:sz w:val="22"/>
          <w:shd w:fill="E4E4E4" w:val="clear"/>
        </w:rPr>
        <w:t xml:space="preserve">, the </w:t>
      </w:r>
    </w:p>
    <w:p>
      <w:pPr>
        <w:pStyle w:val="TextBody"/>
        <w:bidi w:val="0"/>
        <w:spacing w:lineRule="atLeast" w:line="175" w:before="0" w:after="0"/>
        <w:jc w:val="left"/>
        <w:rPr>
          <w:rFonts w:ascii="Arial;sans-serif" w:hAnsi="Arial;sans-serif"/>
          <w:sz w:val="24"/>
          <w:shd w:fill="E4E4E4" w:val="clear"/>
        </w:rPr>
      </w:pPr>
      <w:r>
        <w:rPr>
          <w:rFonts w:ascii="Arial;sans-serif" w:hAnsi="Arial;sans-serif"/>
          <w:b w:val="false"/>
          <w:i w:val="false"/>
          <w:caps w:val="false"/>
          <w:smallCaps w:val="false"/>
          <w:sz w:val="22"/>
          <w:shd w:fill="E4E4E4" w:val="clear"/>
        </w:rPr>
        <w:t>company returned $</w:t>
      </w:r>
      <w:r>
        <w:rPr>
          <w:rFonts w:ascii="Arial;sans-serif" w:hAnsi="Arial;sans-serif"/>
          <w:b w:val="false"/>
          <w:i w:val="false"/>
          <w:caps w:val="false"/>
          <w:smallCaps w:val="false"/>
          <w:strike w:val="false"/>
          <w:dstrike w:val="false"/>
          <w:sz w:val="22"/>
          <w:u w:val="none"/>
          <w:effect w:val="none"/>
          <w:shd w:fill="E4E4E4" w:val="clear"/>
        </w:rPr>
        <w:t>173</w:t>
      </w:r>
      <w:r>
        <w:rPr>
          <w:rFonts w:ascii="Arial;sans-serif" w:hAnsi="Arial;sans-serif"/>
          <w:caps w:val="false"/>
          <w:smallCaps w:val="false"/>
          <w:sz w:val="24"/>
          <w:shd w:fill="E4E4E4" w:val="clear"/>
        </w:rPr>
        <w:t xml:space="preserve"> </w:t>
      </w:r>
      <w:r>
        <w:rPr>
          <w:rFonts w:ascii="Arial;sans-serif" w:hAnsi="Arial;sans-serif"/>
          <w:b w:val="false"/>
          <w:i w:val="false"/>
          <w:caps w:val="false"/>
          <w:smallCaps w:val="false"/>
          <w:sz w:val="22"/>
          <w:shd w:fill="E4E4E4" w:val="clear"/>
        </w:rPr>
        <w:t>million to shareholders through dividends and $</w:t>
      </w:r>
      <w:r>
        <w:rPr>
          <w:rFonts w:ascii="Arial;sans-serif" w:hAnsi="Arial;sans-serif"/>
          <w:b w:val="false"/>
          <w:i w:val="false"/>
          <w:caps w:val="false"/>
          <w:smallCaps w:val="false"/>
          <w:strike w:val="false"/>
          <w:dstrike w:val="false"/>
          <w:sz w:val="22"/>
          <w:u w:val="none"/>
          <w:effect w:val="none"/>
          <w:shd w:fill="FFFFFF" w:val="clear"/>
        </w:rPr>
        <w:t>323</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z w:val="22"/>
          <w:shd w:fill="E4E4E4" w:val="clear"/>
        </w:rPr>
        <w:t xml:space="preserve">million through </w:t>
      </w:r>
    </w:p>
    <w:p>
      <w:pPr>
        <w:pStyle w:val="TextBody"/>
        <w:bidi w:val="0"/>
        <w:spacing w:lineRule="atLeast" w:line="160" w:before="0" w:after="0"/>
        <w:jc w:val="left"/>
        <w:rPr>
          <w:rFonts w:ascii="Arial;sans-serif" w:hAnsi="Arial;sans-serif"/>
          <w:sz w:val="24"/>
          <w:shd w:fill="E4E4E4" w:val="clear"/>
        </w:rPr>
      </w:pPr>
      <w:r>
        <w:rPr>
          <w:rFonts w:ascii="Arial;sans-serif" w:hAnsi="Arial;sans-serif"/>
          <w:b w:val="false"/>
          <w:i w:val="false"/>
          <w:caps w:val="false"/>
          <w:smallCaps w:val="false"/>
          <w:sz w:val="22"/>
          <w:shd w:fill="E4E4E4" w:val="clear"/>
        </w:rPr>
        <w:t xml:space="preserve">repurchases of common stock. As of </w:t>
      </w:r>
      <w:r>
        <w:rPr>
          <w:rFonts w:ascii="Arial;sans-serif" w:hAnsi="Arial;sans-serif"/>
          <w:b w:val="false"/>
          <w:i w:val="false"/>
          <w:caps w:val="false"/>
          <w:smallCaps w:val="false"/>
          <w:strike w:val="false"/>
          <w:dstrike w:val="false"/>
          <w:sz w:val="22"/>
          <w:u w:val="none"/>
          <w:effect w:val="none"/>
          <w:shd w:fill="E4E4E4" w:val="clear"/>
        </w:rPr>
        <w:t>September 30, 2026</w:t>
      </w:r>
      <w:r>
        <w:rPr>
          <w:rFonts w:ascii="Arial;sans-serif" w:hAnsi="Arial;sans-serif"/>
          <w:b w:val="false"/>
          <w:i w:val="false"/>
          <w:caps w:val="false"/>
          <w:smallCaps w:val="false"/>
          <w:sz w:val="22"/>
          <w:shd w:fill="E4E4E4" w:val="clear"/>
        </w:rPr>
        <w:t>, there was $</w:t>
      </w:r>
      <w:r>
        <w:rPr>
          <w:rFonts w:ascii="Arial;sans-serif" w:hAnsi="Arial;sans-serif"/>
          <w:b w:val="false"/>
          <w:i w:val="false"/>
          <w:caps w:val="false"/>
          <w:smallCaps w:val="false"/>
          <w:strike w:val="false"/>
          <w:dstrike w:val="false"/>
          <w:sz w:val="22"/>
          <w:u w:val="none"/>
          <w:effect w:val="none"/>
          <w:shd w:fill="E4E4E4" w:val="clear"/>
        </w:rPr>
        <w:t>2.2</w:t>
      </w:r>
      <w:r>
        <w:rPr>
          <w:rFonts w:ascii="Arial;sans-serif" w:hAnsi="Arial;sans-serif"/>
          <w:caps w:val="false"/>
          <w:smallCaps w:val="false"/>
          <w:sz w:val="24"/>
          <w:shd w:fill="E4E4E4" w:val="clear"/>
        </w:rPr>
        <w:t xml:space="preserve"> </w:t>
      </w:r>
      <w:r>
        <w:rPr>
          <w:rFonts w:ascii="Arial;sans-serif" w:hAnsi="Arial;sans-serif"/>
          <w:b w:val="false"/>
          <w:i w:val="false"/>
          <w:caps w:val="false"/>
          <w:smallCaps w:val="false"/>
          <w:sz w:val="22"/>
          <w:shd w:fill="E4E4E4" w:val="clear"/>
        </w:rPr>
        <w:t xml:space="preserve">billion remaining </w:t>
      </w:r>
    </w:p>
    <w:p>
      <w:pPr>
        <w:pStyle w:val="TextBody"/>
        <w:bidi w:val="0"/>
        <w:spacing w:lineRule="atLeast" w:line="160" w:before="0" w:after="0"/>
        <w:jc w:val="left"/>
        <w:rPr>
          <w:rFonts w:ascii="Arial;sans-serif" w:hAnsi="Arial;sans-serif"/>
          <w:b w:val="false"/>
          <w:i w:val="false"/>
          <w:caps w:val="false"/>
          <w:smallCaps w:val="false"/>
          <w:sz w:val="22"/>
          <w:shd w:fill="E4E4E4" w:val="clear"/>
        </w:rPr>
      </w:pPr>
      <w:r>
        <w:rPr>
          <w:rFonts w:ascii="Arial;sans-serif" w:hAnsi="Arial;sans-serif"/>
          <w:b w:val="false"/>
          <w:i w:val="false"/>
          <w:caps w:val="false"/>
          <w:smallCaps w:val="false"/>
          <w:sz w:val="22"/>
          <w:shd w:fill="E4E4E4" w:val="clear"/>
        </w:rPr>
        <w:t xml:space="preserve">under the board authorized share repurchase program. </w:t>
      </w:r>
    </w:p>
    <w:p>
      <w:pPr>
        <w:pStyle w:val="TextBody"/>
        <w:bidi w:val="0"/>
        <w:spacing w:lineRule="atLeast" w:line="160" w:before="0" w:after="0"/>
        <w:jc w:val="left"/>
        <w:rPr>
          <w:rFonts w:ascii="Arial;sans-serif" w:hAnsi="Arial;sans-serif"/>
          <w:shd w:fill="E4E4E4" w:val="clear"/>
        </w:rPr>
      </w:pPr>
      <w:r>
        <w:rPr>
          <w:rFonts w:ascii="Arial;sans-serif" w:hAnsi="Arial;sans-serif"/>
          <w:b/>
          <w:i w:val="false"/>
          <w:caps w:val="false"/>
          <w:smallCaps w:val="false"/>
          <w:sz w:val="22"/>
          <w:shd w:fill="E4E4E4" w:val="clear"/>
        </w:rPr>
        <w:t>2026 EXPENSE AND TAX GUIDANCE UPDATE</w:t>
      </w:r>
      <w:r>
        <w:rPr>
          <w:rFonts w:ascii="Arial;sans-serif" w:hAnsi="Arial;sans-serif"/>
          <w:b/>
          <w:i w:val="false"/>
          <w:caps w:val="false"/>
          <w:smallCaps w:val="false"/>
          <w:sz w:val="14"/>
          <w:shd w:fill="E4E4E4" w:val="clear"/>
        </w:rPr>
        <w:t>6</w:t>
      </w:r>
    </w:p>
    <w:p>
      <w:pPr>
        <w:pStyle w:val="TextBody"/>
        <w:bidi w:val="0"/>
        <w:spacing w:lineRule="atLeast" w:line="160" w:before="0" w:after="0"/>
        <w:jc w:val="left"/>
        <w:rPr>
          <w:shd w:fill="E4E4E4" w:val="clear"/>
        </w:rPr>
      </w:pPr>
      <w:r>
        <w:rPr>
          <w:caps w:val="false"/>
          <w:smallCaps w:val="false"/>
          <w:strike w:val="false"/>
          <w:dstrike w:val="false"/>
          <w:u w:val="none"/>
          <w:effect w:val="none"/>
          <w:shd w:fill="FFFFFF" w:val="clear"/>
        </w:rPr>
        <w:t>•</w:t>
      </w:r>
      <w:r>
        <w:rPr>
          <w:rFonts w:ascii="Arial;sans-serif" w:hAnsi="Arial;sans-serif"/>
          <w:b w:val="false"/>
          <w:i w:val="false"/>
          <w:caps w:val="false"/>
          <w:smallCaps w:val="false"/>
          <w:strike w:val="false"/>
          <w:dstrike w:val="false"/>
          <w:sz w:val="22"/>
          <w:u w:val="none"/>
          <w:effect w:val="none"/>
          <w:shd w:fill="FFFFFF" w:val="clear"/>
        </w:rPr>
        <w:t xml:space="preserve">The company is updating its 2026 non-GAAP operating expense guidance to a range of </w:t>
      </w:r>
    </w:p>
    <w:p>
      <w:pPr>
        <w:pStyle w:val="TextBody"/>
        <w:bidi w:val="0"/>
        <w:spacing w:lineRule="atLeast" w:line="160"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2"/>
          <w:u w:val="none"/>
          <w:effect w:val="none"/>
          <w:shd w:fill="E4E4E4" w:val="clear"/>
        </w:rPr>
        <w:t>$2.550 billion to $2.580 billion</w:t>
      </w:r>
      <w:r>
        <w:rPr>
          <w:rFonts w:ascii="Arial;sans-serif" w:hAnsi="Arial;sans-serif"/>
          <w:b w:val="false"/>
          <w:i w:val="false"/>
          <w:caps w:val="false"/>
          <w:smallCaps w:val="false"/>
          <w:strike w:val="false"/>
          <w:dstrike w:val="false"/>
          <w:sz w:val="22"/>
          <w:u w:val="none"/>
          <w:effect w:val="none"/>
          <w:shd w:fill="FFFFFF" w:val="clear"/>
        </w:rPr>
        <w:t xml:space="preserve">. The company is maintaining its 2026 non-GAAP tax rate </w:t>
      </w:r>
    </w:p>
    <w:p>
      <w:pPr>
        <w:pStyle w:val="TextBody"/>
        <w:bidi w:val="0"/>
        <w:spacing w:lineRule="atLeast" w:line="160"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2"/>
          <w:u w:val="none"/>
          <w:effect w:val="none"/>
          <w:shd w:fill="FFFFFF" w:val="clear"/>
        </w:rPr>
        <w:t xml:space="preserve">guidance in the range of </w:t>
      </w:r>
      <w:r>
        <w:rPr>
          <w:rFonts w:ascii="Arial;sans-serif" w:hAnsi="Arial;sans-serif"/>
          <w:b w:val="false"/>
          <w:i w:val="false"/>
          <w:caps w:val="false"/>
          <w:smallCaps w:val="false"/>
          <w:strike w:val="false"/>
          <w:dstrike w:val="false"/>
          <w:sz w:val="22"/>
          <w:u w:val="none"/>
          <w:effect w:val="none"/>
          <w:shd w:fill="E4E4E4" w:val="clear"/>
        </w:rPr>
        <w:t>22.5%</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 xml:space="preserve">to </w:t>
      </w:r>
      <w:r>
        <w:rPr>
          <w:rFonts w:ascii="Arial;sans-serif" w:hAnsi="Arial;sans-serif"/>
          <w:b w:val="false"/>
          <w:i w:val="false"/>
          <w:caps w:val="false"/>
          <w:smallCaps w:val="false"/>
          <w:strike w:val="false"/>
          <w:dstrike w:val="false"/>
          <w:sz w:val="22"/>
          <w:u w:val="none"/>
          <w:effect w:val="none"/>
          <w:shd w:fill="E4E4E4" w:val="clear"/>
        </w:rPr>
        <w:t>24.5%</w:t>
      </w:r>
      <w:r>
        <w:rPr>
          <w:rFonts w:ascii="Arial;sans-serif" w:hAnsi="Arial;sans-serif"/>
          <w:b w:val="false"/>
          <w:i w:val="false"/>
          <w:caps w:val="false"/>
          <w:smallCaps w:val="false"/>
          <w:strike w:val="false"/>
          <w:dstrike w:val="false"/>
          <w:sz w:val="22"/>
          <w:u w:val="none"/>
          <w:effect w:val="none"/>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3</w:t>
      </w:r>
    </w:p>
    <w:p>
      <w:pPr>
        <w:pStyle w:val="TextBody"/>
        <w:bidi w:val="0"/>
        <w:spacing w:lineRule="atLeast" w:line="160" w:before="0" w:after="0"/>
        <w:jc w:val="left"/>
        <w:rPr>
          <w:rFonts w:ascii="Arial;sans-serif" w:hAnsi="Arial;sans-serif"/>
          <w:b/>
          <w:i w:val="false"/>
          <w:caps w:val="false"/>
          <w:smallCaps w:val="false"/>
          <w:sz w:val="22"/>
          <w:shd w:fill="E4E4E4" w:val="clear"/>
        </w:rPr>
      </w:pPr>
      <w:r>
        <w:rPr>
          <w:rFonts w:ascii="Arial;sans-serif" w:hAnsi="Arial;sans-serif"/>
          <w:b/>
          <w:i w:val="false"/>
          <w:caps w:val="false"/>
          <w:smallCaps w:val="false"/>
          <w:sz w:val="22"/>
          <w:shd w:fill="E4E4E4" w:val="clear"/>
        </w:rPr>
        <w:t>STRATEGIC AND BUSINESS UPDATES</w:t>
      </w:r>
    </w:p>
    <w:p>
      <w:pPr>
        <w:pStyle w:val="TextBody"/>
        <w:bidi w:val="0"/>
        <w:spacing w:lineRule="atLeast" w:line="160" w:before="0" w:after="0"/>
        <w:jc w:val="left"/>
        <w:rPr>
          <w:shd w:fill="E4E4E4" w:val="clear"/>
        </w:rPr>
      </w:pPr>
      <w:r>
        <w:rPr>
          <w:caps w:val="false"/>
          <w:smallCaps w:val="false"/>
          <w:strike w:val="false"/>
          <w:dstrike w:val="false"/>
          <w:u w:val="none"/>
          <w:effect w:val="none"/>
          <w:shd w:fill="FFFFFF" w:val="clear"/>
        </w:rPr>
        <w:t>•</w:t>
      </w:r>
      <w:r>
        <w:rPr>
          <w:rFonts w:ascii="Arial;sans-serif" w:hAnsi="Arial;sans-serif"/>
          <w:b/>
          <w:i w:val="false"/>
          <w:caps w:val="false"/>
          <w:smallCaps w:val="false"/>
          <w:strike w:val="false"/>
          <w:dstrike w:val="false"/>
          <w:sz w:val="22"/>
          <w:u w:val="none"/>
          <w:effect w:val="none"/>
          <w:shd w:fill="FFFFFF" w:val="clear"/>
        </w:rPr>
        <w:t>Financial Technology delivered record 18%</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i w:val="false"/>
          <w:caps w:val="false"/>
          <w:smallCaps w:val="false"/>
          <w:strike w:val="false"/>
          <w:dstrike w:val="false"/>
          <w:sz w:val="22"/>
          <w:u w:val="none"/>
          <w:effect w:val="none"/>
          <w:shd w:fill="FFFFFF" w:val="clear"/>
        </w:rPr>
        <w:t xml:space="preserve">organic ARR growth and double-digit </w:t>
      </w:r>
    </w:p>
    <w:p>
      <w:pPr>
        <w:pStyle w:val="TextBody"/>
        <w:bidi w:val="0"/>
        <w:spacing w:lineRule="atLeast" w:line="160" w:before="0" w:after="0"/>
        <w:jc w:val="left"/>
        <w:rPr>
          <w:rFonts w:ascii="Arial;sans-serif" w:hAnsi="Arial;sans-serif"/>
          <w:sz w:val="24"/>
          <w:shd w:fill="E4E4E4" w:val="clear"/>
        </w:rPr>
      </w:pPr>
      <w:r>
        <w:rPr>
          <w:rFonts w:ascii="Arial;sans-serif" w:hAnsi="Arial;sans-serif"/>
          <w:b/>
          <w:i w:val="false"/>
          <w:caps w:val="false"/>
          <w:smallCaps w:val="false"/>
          <w:strike w:val="false"/>
          <w:dstrike w:val="false"/>
          <w:sz w:val="22"/>
          <w:u w:val="none"/>
          <w:effect w:val="none"/>
          <w:shd w:fill="FFFFFF" w:val="clear"/>
        </w:rPr>
        <w:t xml:space="preserve">revenue growth in each subdivision for the third consecutive quarter. </w:t>
      </w:r>
      <w:r>
        <w:rPr>
          <w:rFonts w:ascii="Arial;sans-serif" w:hAnsi="Arial;sans-serif"/>
          <w:b w:val="false"/>
          <w:i w:val="false"/>
          <w:caps w:val="false"/>
          <w:smallCaps w:val="false"/>
          <w:strike w:val="false"/>
          <w:dstrike w:val="false"/>
          <w:sz w:val="22"/>
          <w:u w:val="none"/>
          <w:effect w:val="none"/>
          <w:shd w:fill="FFFFFF" w:val="clear"/>
        </w:rPr>
        <w:t>FinTech signed 54</w:t>
      </w:r>
      <w:r>
        <w:rPr>
          <w:rFonts w:ascii="Arial;sans-serif" w:hAnsi="Arial;sans-serif"/>
          <w:caps w:val="false"/>
          <w:smallCaps w:val="false"/>
          <w:strike w:val="false"/>
          <w:dstrike w:val="false"/>
          <w:sz w:val="24"/>
          <w:u w:val="none"/>
          <w:effect w:val="none"/>
          <w:shd w:fill="FFFFFF" w:val="clear"/>
        </w:rPr>
        <w:t xml:space="preserve"> </w:t>
      </w:r>
    </w:p>
    <w:p>
      <w:pPr>
        <w:pStyle w:val="TextBody"/>
        <w:bidi w:val="0"/>
        <w:spacing w:lineRule="atLeast" w:line="160"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2"/>
          <w:u w:val="none"/>
          <w:effect w:val="none"/>
          <w:shd w:fill="FFFFFF" w:val="clear"/>
        </w:rPr>
        <w:t>new clients and 135</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 xml:space="preserve">upsells in the quarter with cloud-based solutions accounting for 85% of </w:t>
      </w:r>
    </w:p>
    <w:p>
      <w:pPr>
        <w:pStyle w:val="TextBody"/>
        <w:bidi w:val="0"/>
        <w:spacing w:lineRule="atLeast" w:line="160"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2"/>
          <w:u w:val="none"/>
          <w:effect w:val="none"/>
          <w:shd w:fill="FFFFFF" w:val="clear"/>
        </w:rPr>
        <w:t>ACV bookings. FinTech performance reflected continued execution on</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the</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 xml:space="preserve">One Nasdaq </w:t>
      </w:r>
    </w:p>
    <w:p>
      <w:pPr>
        <w:pStyle w:val="TextBody"/>
        <w:bidi w:val="0"/>
        <w:spacing w:lineRule="atLeast" w:line="160" w:before="0" w:after="0"/>
        <w:jc w:val="left"/>
        <w:rPr>
          <w:rFonts w:ascii="Arial;sans-serif" w:hAnsi="Arial;sans-serif"/>
          <w:b w:val="false"/>
          <w:i w:val="false"/>
          <w:caps w:val="false"/>
          <w:smallCaps w:val="false"/>
          <w:strike w:val="false"/>
          <w:dstrike w:val="false"/>
          <w:sz w:val="22"/>
          <w:u w:val="none"/>
          <w:effect w:val="none"/>
          <w:shd w:fill="FFFFFF" w:val="clear"/>
        </w:rPr>
      </w:pPr>
      <w:r>
        <w:rPr>
          <w:rFonts w:ascii="Arial;sans-serif" w:hAnsi="Arial;sans-serif"/>
          <w:b w:val="false"/>
          <w:i w:val="false"/>
          <w:caps w:val="false"/>
          <w:smallCaps w:val="false"/>
          <w:strike w:val="false"/>
          <w:dstrike w:val="false"/>
          <w:sz w:val="22"/>
          <w:u w:val="none"/>
          <w:effect w:val="none"/>
          <w:shd w:fill="FFFFFF" w:val="clear"/>
        </w:rPr>
        <w:t xml:space="preserve">strategy with 5 cross-sells signed in the quarter and cross-sells accounting for over 15% of the </w:t>
      </w:r>
    </w:p>
    <w:p>
      <w:pPr>
        <w:pStyle w:val="TextBody"/>
        <w:bidi w:val="0"/>
        <w:spacing w:lineRule="atLeast" w:line="160" w:before="0" w:after="0"/>
        <w:jc w:val="left"/>
        <w:rPr>
          <w:rFonts w:ascii="Arial;sans-serif" w:hAnsi="Arial;sans-serif"/>
          <w:b w:val="false"/>
          <w:i w:val="false"/>
          <w:caps w:val="false"/>
          <w:smallCaps w:val="false"/>
          <w:strike w:val="false"/>
          <w:dstrike w:val="false"/>
          <w:sz w:val="22"/>
          <w:u w:val="none"/>
          <w:effect w:val="none"/>
          <w:shd w:fill="FFFFFF" w:val="clear"/>
        </w:rPr>
      </w:pPr>
      <w:r>
        <w:rPr>
          <w:rFonts w:ascii="Arial;sans-serif" w:hAnsi="Arial;sans-serif"/>
          <w:b w:val="false"/>
          <w:i w:val="false"/>
          <w:caps w:val="false"/>
          <w:smallCaps w:val="false"/>
          <w:strike w:val="false"/>
          <w:dstrike w:val="false"/>
          <w:sz w:val="22"/>
          <w:u w:val="none"/>
          <w:effect w:val="none"/>
          <w:shd w:fill="FFFFFF" w:val="clear"/>
        </w:rPr>
        <w:t xml:space="preserve">sales pipeline. Nasdaq achieved a second-place ranking on the Chartis RiskTech100, up from </w:t>
      </w:r>
    </w:p>
    <w:p>
      <w:pPr>
        <w:pStyle w:val="TextBody"/>
        <w:bidi w:val="0"/>
        <w:spacing w:lineRule="atLeast" w:line="160" w:before="0" w:after="0"/>
        <w:jc w:val="left"/>
        <w:rPr>
          <w:rFonts w:ascii="Arial;sans-serif" w:hAnsi="Arial;sans-serif"/>
          <w:b w:val="false"/>
          <w:i w:val="false"/>
          <w:caps w:val="false"/>
          <w:smallCaps w:val="false"/>
          <w:strike w:val="false"/>
          <w:dstrike w:val="false"/>
          <w:sz w:val="22"/>
          <w:u w:val="none"/>
          <w:effect w:val="none"/>
          <w:shd w:fill="FFFFFF" w:val="clear"/>
        </w:rPr>
      </w:pPr>
      <w:r>
        <w:rPr>
          <w:rFonts w:ascii="Arial;sans-serif" w:hAnsi="Arial;sans-serif"/>
          <w:b w:val="false"/>
          <w:i w:val="false"/>
          <w:caps w:val="false"/>
          <w:smallCaps w:val="false"/>
          <w:strike w:val="false"/>
          <w:dstrike w:val="false"/>
          <w:sz w:val="22"/>
          <w:u w:val="none"/>
          <w:effect w:val="none"/>
          <w:shd w:fill="FFFFFF" w:val="clear"/>
        </w:rPr>
        <w:t>fifth place in the prior year.</w:t>
      </w:r>
    </w:p>
    <w:p>
      <w:pPr>
        <w:pStyle w:val="TextBody"/>
        <w:bidi w:val="0"/>
        <w:spacing w:lineRule="atLeast" w:line="175" w:before="0" w:after="0"/>
        <w:jc w:val="left"/>
        <w:rPr>
          <w:shd w:fill="E4E4E4" w:val="clear"/>
        </w:rPr>
      </w:pPr>
      <w:r>
        <w:rPr>
          <w:caps w:val="false"/>
          <w:smallCaps w:val="false"/>
          <w:strike w:val="false"/>
          <w:dstrike w:val="false"/>
          <w:u w:val="none"/>
          <w:effect w:val="none"/>
          <w:shd w:fill="FFFFFF" w:val="clear"/>
        </w:rPr>
        <w:t>◦</w:t>
      </w:r>
      <w:r>
        <w:rPr>
          <w:rFonts w:ascii="Arial;sans-serif" w:hAnsi="Arial;sans-serif"/>
          <w:b/>
          <w:i w:val="false"/>
          <w:caps w:val="false"/>
          <w:smallCaps w:val="false"/>
          <w:strike w:val="false"/>
          <w:dstrike w:val="false"/>
          <w:sz w:val="22"/>
          <w:u w:val="none"/>
          <w:effect w:val="none"/>
          <w:shd w:fill="FFFFFF" w:val="clear"/>
        </w:rPr>
        <w:t xml:space="preserve">Financial Crime Management Technology revenue and ARR growth accelerated </w:t>
      </w:r>
    </w:p>
    <w:p>
      <w:pPr>
        <w:pStyle w:val="TextBody"/>
        <w:bidi w:val="0"/>
        <w:spacing w:lineRule="atLeast" w:line="175" w:before="0" w:after="0"/>
        <w:jc w:val="left"/>
        <w:rPr>
          <w:rFonts w:ascii="Arial;sans-serif" w:hAnsi="Arial;sans-serif"/>
          <w:shd w:fill="E4E4E4" w:val="clear"/>
        </w:rPr>
      </w:pPr>
      <w:r>
        <w:rPr>
          <w:rFonts w:ascii="Arial;sans-serif" w:hAnsi="Arial;sans-serif"/>
          <w:b/>
          <w:i w:val="false"/>
          <w:caps w:val="false"/>
          <w:smallCaps w:val="false"/>
          <w:strike w:val="false"/>
          <w:dstrike w:val="false"/>
          <w:sz w:val="22"/>
          <w:u w:val="none"/>
          <w:effect w:val="none"/>
          <w:shd w:fill="FFFFFF" w:val="clear"/>
        </w:rPr>
        <w:t xml:space="preserve">with momentum across SMBs and enterprise clients. </w:t>
      </w:r>
      <w:r>
        <w:rPr>
          <w:rFonts w:ascii="Arial;sans-serif" w:hAnsi="Arial;sans-serif"/>
          <w:b w:val="false"/>
          <w:i w:val="false"/>
          <w:caps w:val="false"/>
          <w:smallCaps w:val="false"/>
          <w:strike w:val="false"/>
          <w:dstrike w:val="false"/>
          <w:sz w:val="22"/>
          <w:u w:val="none"/>
          <w:effect w:val="none"/>
          <w:shd w:fill="FFFFFF" w:val="clear"/>
        </w:rPr>
        <w:t xml:space="preserve">Nasdaq Verafin signed 45 </w:t>
      </w:r>
    </w:p>
    <w:p>
      <w:pPr>
        <w:pStyle w:val="TextBody"/>
        <w:bidi w:val="0"/>
        <w:spacing w:lineRule="atLeast" w:line="175"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2"/>
          <w:u w:val="none"/>
          <w:effect w:val="none"/>
          <w:shd w:fill="FFFFFF" w:val="clear"/>
        </w:rPr>
        <w:t xml:space="preserve">new small-and-medium bank (SMB) clients and 3 enterprise deals in the </w:t>
      </w:r>
      <w:r>
        <w:rPr>
          <w:rFonts w:ascii="Arial;sans-serif" w:hAnsi="Arial;sans-serif"/>
          <w:b w:val="false"/>
          <w:i w:val="false"/>
          <w:caps w:val="false"/>
          <w:smallCaps w:val="false"/>
          <w:strike w:val="false"/>
          <w:dstrike w:val="false"/>
          <w:sz w:val="22"/>
          <w:u w:val="none"/>
          <w:effect w:val="none"/>
          <w:shd w:fill="E4E4E4" w:val="clear"/>
        </w:rPr>
        <w:t>third</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 xml:space="preserve">quarter,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2"/>
          <w:u w:val="none"/>
          <w:effect w:val="none"/>
          <w:shd w:fill="FFFFFF" w:val="clear"/>
        </w:rPr>
      </w:pPr>
      <w:r>
        <w:rPr>
          <w:rFonts w:ascii="Arial;sans-serif" w:hAnsi="Arial;sans-serif"/>
          <w:b w:val="false"/>
          <w:i w:val="false"/>
          <w:caps w:val="false"/>
          <w:smallCaps w:val="false"/>
          <w:strike w:val="false"/>
          <w:dstrike w:val="false"/>
          <w:sz w:val="22"/>
          <w:u w:val="none"/>
          <w:effect w:val="none"/>
          <w:shd w:fill="FFFFFF" w:val="clear"/>
        </w:rPr>
        <w:t xml:space="preserve">bringing year-to-date enterprise signings to 12, surpassing the 9 enterprise deals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2"/>
          <w:u w:val="none"/>
          <w:effect w:val="none"/>
          <w:shd w:fill="FFFFFF" w:val="clear"/>
        </w:rPr>
      </w:pPr>
      <w:r>
        <w:rPr>
          <w:rFonts w:ascii="Arial;sans-serif" w:hAnsi="Arial;sans-serif"/>
          <w:b w:val="false"/>
          <w:i w:val="false"/>
          <w:caps w:val="false"/>
          <w:smallCaps w:val="false"/>
          <w:strike w:val="false"/>
          <w:dstrike w:val="false"/>
          <w:sz w:val="22"/>
          <w:u w:val="none"/>
          <w:effect w:val="none"/>
          <w:shd w:fill="FFFFFF" w:val="clear"/>
        </w:rPr>
        <w:t xml:space="preserve">signed in all of 2025. Nasdaq Verafin announced the general availability of two new AI </w:t>
      </w:r>
    </w:p>
    <w:p>
      <w:pPr>
        <w:pStyle w:val="TextBody"/>
        <w:bidi w:val="0"/>
        <w:spacing w:lineRule="atLeast" w:line="175" w:before="0" w:after="0"/>
        <w:jc w:val="left"/>
        <w:rPr>
          <w:rFonts w:ascii="Arial;sans-serif" w:hAnsi="Arial;sans-serif"/>
          <w:b w:val="false"/>
          <w:i w:val="false"/>
          <w:caps w:val="false"/>
          <w:smallCaps w:val="false"/>
          <w:strike w:val="false"/>
          <w:dstrike w:val="false"/>
          <w:sz w:val="22"/>
          <w:u w:val="none"/>
          <w:effect w:val="none"/>
          <w:shd w:fill="FFFFFF" w:val="clear"/>
        </w:rPr>
      </w:pPr>
      <w:r>
        <w:rPr>
          <w:rFonts w:ascii="Arial;sans-serif" w:hAnsi="Arial;sans-serif"/>
          <w:b w:val="false"/>
          <w:i w:val="false"/>
          <w:caps w:val="false"/>
          <w:smallCaps w:val="false"/>
          <w:strike w:val="false"/>
          <w:dstrike w:val="false"/>
          <w:sz w:val="22"/>
          <w:u w:val="none"/>
          <w:effect w:val="none"/>
          <w:shd w:fill="FFFFFF" w:val="clear"/>
        </w:rPr>
        <w:t xml:space="preserve">workers, the Agentic AML Analyst and the Agentic Fraud Analyst, and now has more </w:t>
      </w:r>
    </w:p>
    <w:p>
      <w:pPr>
        <w:pStyle w:val="TextBody"/>
        <w:bidi w:val="0"/>
        <w:spacing w:lineRule="atLeast" w:line="175"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2"/>
          <w:u w:val="none"/>
          <w:effect w:val="none"/>
          <w:shd w:fill="FFFFFF" w:val="clear"/>
        </w:rPr>
        <w:t>than 850</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 xml:space="preserve">clients using its Agentic AI Workforce. </w:t>
      </w:r>
    </w:p>
    <w:p>
      <w:pPr>
        <w:pStyle w:val="TextBody"/>
        <w:bidi w:val="0"/>
        <w:spacing w:lineRule="atLeast" w:line="225" w:before="0" w:after="0"/>
        <w:jc w:val="left"/>
        <w:rPr>
          <w:shd w:fill="E4E4E4" w:val="clear"/>
        </w:rPr>
      </w:pPr>
      <w:r>
        <w:rPr>
          <w:caps w:val="false"/>
          <w:smallCaps w:val="false"/>
          <w:strike w:val="false"/>
          <w:dstrike w:val="false"/>
          <w:u w:val="none"/>
          <w:effect w:val="none"/>
          <w:shd w:fill="FFFFFF" w:val="clear"/>
        </w:rPr>
        <w:t>◦</w:t>
      </w:r>
      <w:r>
        <w:rPr>
          <w:rFonts w:ascii="Arial;sans-serif" w:hAnsi="Arial;sans-serif"/>
          <w:b/>
          <w:i w:val="false"/>
          <w:caps w:val="false"/>
          <w:smallCaps w:val="false"/>
          <w:strike w:val="false"/>
          <w:dstrike w:val="false"/>
          <w:sz w:val="22"/>
          <w:u w:val="none"/>
          <w:effect w:val="none"/>
          <w:shd w:fill="FFFFFF" w:val="clear"/>
        </w:rPr>
        <w:t>Regulatory Technology achieved the fifth straight quarter of accelerating ARR</w:t>
      </w:r>
      <w:r>
        <w:rPr>
          <w:rFonts w:ascii="Arial;sans-serif" w:hAnsi="Arial;sans-serif"/>
          <w:caps w:val="false"/>
          <w:smallCaps w:val="false"/>
          <w:strike w:val="false"/>
          <w:dstrike w:val="false"/>
          <w:sz w:val="24"/>
          <w:u w:val="none"/>
          <w:effect w:val="none"/>
          <w:shd w:fill="FFFFFF" w:val="clear"/>
        </w:rPr>
        <w:t xml:space="preserve"> </w:t>
      </w:r>
    </w:p>
    <w:p>
      <w:pPr>
        <w:pStyle w:val="TextBody"/>
        <w:bidi w:val="0"/>
        <w:spacing w:lineRule="atLeast" w:line="225" w:before="0" w:after="0"/>
        <w:jc w:val="left"/>
        <w:rPr>
          <w:rFonts w:ascii="Arial;sans-serif" w:hAnsi="Arial;sans-serif"/>
          <w:shd w:fill="E4E4E4" w:val="clear"/>
        </w:rPr>
      </w:pPr>
      <w:r>
        <w:rPr>
          <w:rFonts w:ascii="Arial;sans-serif" w:hAnsi="Arial;sans-serif"/>
          <w:b/>
          <w:i w:val="false"/>
          <w:caps w:val="false"/>
          <w:smallCaps w:val="false"/>
          <w:strike w:val="false"/>
          <w:dstrike w:val="false"/>
          <w:sz w:val="22"/>
          <w:u w:val="none"/>
          <w:effect w:val="none"/>
          <w:shd w:fill="FFFFFF" w:val="clear"/>
        </w:rPr>
        <w:t xml:space="preserve">growth led by strong performance across Surveillance and AxiomSL. </w:t>
      </w:r>
      <w:r>
        <w:rPr>
          <w:rFonts w:ascii="Arial;sans-serif" w:hAnsi="Arial;sans-serif"/>
          <w:b w:val="false"/>
          <w:i w:val="false"/>
          <w:caps w:val="false"/>
          <w:smallCaps w:val="false"/>
          <w:strike w:val="false"/>
          <w:dstrike w:val="false"/>
          <w:sz w:val="22"/>
          <w:u w:val="none"/>
          <w:effect w:val="none"/>
          <w:shd w:fill="FFFFFF" w:val="clear"/>
        </w:rPr>
        <w:t xml:space="preserve">The </w:t>
      </w:r>
    </w:p>
    <w:p>
      <w:pPr>
        <w:pStyle w:val="TextBody"/>
        <w:bidi w:val="0"/>
        <w:spacing w:lineRule="atLeast" w:line="225" w:before="0" w:after="0"/>
        <w:jc w:val="left"/>
        <w:rPr>
          <w:rFonts w:ascii="Arial;sans-serif" w:hAnsi="Arial;sans-serif"/>
          <w:b w:val="false"/>
          <w:i w:val="false"/>
          <w:caps w:val="false"/>
          <w:smallCaps w:val="false"/>
          <w:strike w:val="false"/>
          <w:dstrike w:val="false"/>
          <w:sz w:val="22"/>
          <w:u w:val="none"/>
          <w:effect w:val="none"/>
          <w:shd w:fill="FFFFFF" w:val="clear"/>
        </w:rPr>
      </w:pPr>
      <w:r>
        <w:rPr>
          <w:rFonts w:ascii="Arial;sans-serif" w:hAnsi="Arial;sans-serif"/>
          <w:b w:val="false"/>
          <w:i w:val="false"/>
          <w:caps w:val="false"/>
          <w:smallCaps w:val="false"/>
          <w:strike w:val="false"/>
          <w:dstrike w:val="false"/>
          <w:sz w:val="22"/>
          <w:u w:val="none"/>
          <w:effect w:val="none"/>
          <w:shd w:fill="FFFFFF" w:val="clear"/>
        </w:rPr>
        <w:t xml:space="preserve">subdivision added 10 new clients, including 2 cross-sells, and 86 upsells in the third </w:t>
      </w:r>
    </w:p>
    <w:p>
      <w:pPr>
        <w:pStyle w:val="TextBody"/>
        <w:bidi w:val="0"/>
        <w:spacing w:lineRule="atLeast" w:line="225" w:before="0" w:after="0"/>
        <w:jc w:val="left"/>
        <w:rPr>
          <w:rFonts w:ascii="Arial;sans-serif" w:hAnsi="Arial;sans-serif"/>
          <w:b w:val="false"/>
          <w:i w:val="false"/>
          <w:caps w:val="false"/>
          <w:smallCaps w:val="false"/>
          <w:strike w:val="false"/>
          <w:dstrike w:val="false"/>
          <w:sz w:val="22"/>
          <w:u w:val="none"/>
          <w:effect w:val="none"/>
          <w:shd w:fill="FFFFFF" w:val="clear"/>
        </w:rPr>
      </w:pPr>
      <w:r>
        <w:rPr>
          <w:rFonts w:ascii="Arial;sans-serif" w:hAnsi="Arial;sans-serif"/>
          <w:b w:val="false"/>
          <w:i w:val="false"/>
          <w:caps w:val="false"/>
          <w:smallCaps w:val="false"/>
          <w:strike w:val="false"/>
          <w:dstrike w:val="false"/>
          <w:sz w:val="22"/>
          <w:u w:val="none"/>
          <w:effect w:val="none"/>
          <w:shd w:fill="FFFFFF" w:val="clear"/>
        </w:rPr>
        <w:t xml:space="preserve">quarter, driven by demand for cloud infrastructure, AI, digital assets, and regulatory </w:t>
      </w:r>
    </w:p>
    <w:p>
      <w:pPr>
        <w:pStyle w:val="TextBody"/>
        <w:bidi w:val="0"/>
        <w:spacing w:lineRule="atLeast" w:line="225" w:before="0" w:after="0"/>
        <w:jc w:val="left"/>
        <w:rPr>
          <w:rFonts w:ascii="Arial;sans-serif" w:hAnsi="Arial;sans-serif"/>
          <w:b w:val="false"/>
          <w:i w:val="false"/>
          <w:caps w:val="false"/>
          <w:smallCaps w:val="false"/>
          <w:strike w:val="false"/>
          <w:dstrike w:val="false"/>
          <w:sz w:val="22"/>
          <w:u w:val="none"/>
          <w:effect w:val="none"/>
          <w:shd w:fill="FFFFFF" w:val="clear"/>
        </w:rPr>
      </w:pPr>
      <w:r>
        <w:rPr>
          <w:rFonts w:ascii="Arial;sans-serif" w:hAnsi="Arial;sans-serif"/>
          <w:b w:val="false"/>
          <w:i w:val="false"/>
          <w:caps w:val="false"/>
          <w:smallCaps w:val="false"/>
          <w:strike w:val="false"/>
          <w:dstrike w:val="false"/>
          <w:sz w:val="22"/>
          <w:u w:val="none"/>
          <w:effect w:val="none"/>
          <w:shd w:fill="FFFFFF" w:val="clear"/>
        </w:rPr>
        <w:t xml:space="preserve">requirements. Surveillance signed 9 new clients, including 2 cross-sells and strategic </w:t>
      </w:r>
    </w:p>
    <w:p>
      <w:pPr>
        <w:pStyle w:val="TextBody"/>
        <w:bidi w:val="0"/>
        <w:spacing w:lineRule="atLeast" w:line="225" w:before="0" w:after="0"/>
        <w:jc w:val="left"/>
        <w:rPr>
          <w:rFonts w:ascii="Arial;sans-serif" w:hAnsi="Arial;sans-serif"/>
          <w:b w:val="false"/>
          <w:i w:val="false"/>
          <w:caps w:val="false"/>
          <w:smallCaps w:val="false"/>
          <w:strike w:val="false"/>
          <w:dstrike w:val="false"/>
          <w:sz w:val="22"/>
          <w:u w:val="none"/>
          <w:effect w:val="none"/>
          <w:shd w:fill="FFFFFF" w:val="clear"/>
        </w:rPr>
      </w:pPr>
      <w:r>
        <w:rPr>
          <w:rFonts w:ascii="Arial;sans-serif" w:hAnsi="Arial;sans-serif"/>
          <w:b w:val="false"/>
          <w:i w:val="false"/>
          <w:caps w:val="false"/>
          <w:smallCaps w:val="false"/>
          <w:strike w:val="false"/>
          <w:dstrike w:val="false"/>
          <w:sz w:val="22"/>
          <w:u w:val="none"/>
          <w:effect w:val="none"/>
          <w:shd w:fill="FFFFFF" w:val="clear"/>
        </w:rPr>
        <w:t xml:space="preserve">wins with Kalshi and Kraken, while also achieving 51 upsells. AxiomSL added 1 new </w:t>
      </w:r>
    </w:p>
    <w:p>
      <w:pPr>
        <w:pStyle w:val="TextBody"/>
        <w:bidi w:val="0"/>
        <w:spacing w:lineRule="atLeast" w:line="225"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2"/>
          <w:u w:val="none"/>
          <w:effect w:val="none"/>
          <w:shd w:fill="FFFFFF" w:val="clear"/>
        </w:rPr>
        <w:t>client and 35</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upsells in the third quarter, including an expansion</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 xml:space="preserve">with a Global </w:t>
      </w:r>
    </w:p>
    <w:p>
      <w:pPr>
        <w:pStyle w:val="TextBody"/>
        <w:bidi w:val="0"/>
        <w:spacing w:lineRule="atLeast" w:line="225" w:before="0" w:after="0"/>
        <w:jc w:val="left"/>
        <w:rPr>
          <w:rFonts w:ascii="Arial;sans-serif" w:hAnsi="Arial;sans-serif"/>
          <w:b w:val="false"/>
          <w:i w:val="false"/>
          <w:caps w:val="false"/>
          <w:smallCaps w:val="false"/>
          <w:strike w:val="false"/>
          <w:dstrike w:val="false"/>
          <w:sz w:val="22"/>
          <w:u w:val="none"/>
          <w:effect w:val="none"/>
          <w:shd w:fill="FFFFFF" w:val="clear"/>
        </w:rPr>
      </w:pPr>
      <w:r>
        <w:rPr>
          <w:rFonts w:ascii="Arial;sans-serif" w:hAnsi="Arial;sans-serif"/>
          <w:b w:val="false"/>
          <w:i w:val="false"/>
          <w:caps w:val="false"/>
          <w:smallCaps w:val="false"/>
          <w:strike w:val="false"/>
          <w:dstrike w:val="false"/>
          <w:sz w:val="22"/>
          <w:u w:val="none"/>
          <w:effect w:val="none"/>
          <w:shd w:fill="FFFFFF" w:val="clear"/>
        </w:rPr>
        <w:t xml:space="preserve">Systemically Important Bank (G-SIB) for a Basel III implementation. </w:t>
      </w:r>
    </w:p>
    <w:p>
      <w:pPr>
        <w:pStyle w:val="TextBody"/>
        <w:bidi w:val="0"/>
        <w:spacing w:lineRule="atLeast" w:line="160" w:before="0" w:after="0"/>
        <w:jc w:val="left"/>
        <w:rPr>
          <w:shd w:fill="E4E4E4" w:val="clear"/>
        </w:rPr>
      </w:pPr>
      <w:r>
        <w:rPr>
          <w:caps w:val="false"/>
          <w:smallCaps w:val="false"/>
          <w:strike w:val="false"/>
          <w:dstrike w:val="false"/>
          <w:u w:val="none"/>
          <w:effect w:val="none"/>
          <w:shd w:fill="FFFFFF" w:val="clear"/>
        </w:rPr>
        <w:t>◦</w:t>
      </w:r>
      <w:r>
        <w:rPr>
          <w:rFonts w:ascii="Arial;sans-serif" w:hAnsi="Arial;sans-serif"/>
          <w:b/>
          <w:i w:val="false"/>
          <w:caps w:val="false"/>
          <w:smallCaps w:val="false"/>
          <w:strike w:val="false"/>
          <w:dstrike w:val="false"/>
          <w:sz w:val="22"/>
          <w:u w:val="none"/>
          <w:effect w:val="none"/>
          <w:shd w:fill="FFFFFF" w:val="clear"/>
        </w:rPr>
        <w:t>Capital Markets Technology delivered robust organic ARR growth with broad-</w:t>
      </w:r>
    </w:p>
    <w:p>
      <w:pPr>
        <w:pStyle w:val="TextBody"/>
        <w:bidi w:val="0"/>
        <w:spacing w:lineRule="atLeast" w:line="160" w:before="0" w:after="0"/>
        <w:jc w:val="left"/>
        <w:rPr>
          <w:rFonts w:ascii="Arial;sans-serif" w:hAnsi="Arial;sans-serif"/>
          <w:shd w:fill="E4E4E4" w:val="clear"/>
        </w:rPr>
      </w:pPr>
      <w:r>
        <w:rPr>
          <w:rFonts w:ascii="Arial;sans-serif" w:hAnsi="Arial;sans-serif"/>
          <w:b/>
          <w:i w:val="false"/>
          <w:caps w:val="false"/>
          <w:smallCaps w:val="false"/>
          <w:strike w:val="false"/>
          <w:dstrike w:val="false"/>
          <w:sz w:val="22"/>
          <w:u w:val="none"/>
          <w:effect w:val="none"/>
          <w:shd w:fill="FFFFFF" w:val="clear"/>
        </w:rPr>
        <w:t xml:space="preserve">based strength across the subdivision. </w:t>
      </w:r>
      <w:r>
        <w:rPr>
          <w:rFonts w:ascii="Arial;sans-serif" w:hAnsi="Arial;sans-serif"/>
          <w:b w:val="false"/>
          <w:i w:val="false"/>
          <w:caps w:val="false"/>
          <w:smallCaps w:val="false"/>
          <w:strike w:val="false"/>
          <w:dstrike w:val="false"/>
          <w:sz w:val="22"/>
          <w:u w:val="none"/>
          <w:effect w:val="none"/>
          <w:shd w:fill="FFFFFF" w:val="clear"/>
        </w:rPr>
        <w:t xml:space="preserve">The subdivision signed 2 new clients, </w:t>
      </w:r>
    </w:p>
    <w:p>
      <w:pPr>
        <w:pStyle w:val="TextBody"/>
        <w:bidi w:val="0"/>
        <w:spacing w:lineRule="atLeast" w:line="160"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2"/>
          <w:u w:val="none"/>
          <w:effect w:val="none"/>
          <w:shd w:fill="FFFFFF" w:val="clear"/>
        </w:rPr>
        <w:t>including 1</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 xml:space="preserve">cross-sell, and 48 upsells in the </w:t>
      </w:r>
      <w:r>
        <w:rPr>
          <w:rFonts w:ascii="Arial;sans-serif" w:hAnsi="Arial;sans-serif"/>
          <w:b w:val="false"/>
          <w:i w:val="false"/>
          <w:caps w:val="false"/>
          <w:smallCaps w:val="false"/>
          <w:strike w:val="false"/>
          <w:dstrike w:val="false"/>
          <w:sz w:val="22"/>
          <w:u w:val="none"/>
          <w:effect w:val="none"/>
          <w:shd w:fill="E4E4E4" w:val="clear"/>
        </w:rPr>
        <w:t>third</w:t>
      </w:r>
      <w:r>
        <w:rPr>
          <w:rFonts w:ascii="Arial;sans-serif" w:hAnsi="Arial;sans-serif"/>
          <w:caps w:val="false"/>
          <w:smallCaps w:val="false"/>
          <w:sz w:val="24"/>
          <w:shd w:fill="E4E4E4" w:val="clear"/>
        </w:rPr>
        <w:t xml:space="preserve"> </w:t>
      </w:r>
      <w:r>
        <w:rPr>
          <w:rFonts w:ascii="Arial;sans-serif" w:hAnsi="Arial;sans-serif"/>
          <w:b w:val="false"/>
          <w:i w:val="false"/>
          <w:caps w:val="false"/>
          <w:smallCaps w:val="false"/>
          <w:sz w:val="22"/>
          <w:shd w:fill="E4E4E4" w:val="clear"/>
        </w:rPr>
        <w:t>quarter. Calypso added</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2"/>
          <w:u w:val="none"/>
          <w:effect w:val="none"/>
          <w:shd w:fill="FFFFFF" w:val="clear"/>
        </w:rPr>
        <w:t>2</w:t>
      </w:r>
      <w:r>
        <w:rPr>
          <w:rFonts w:ascii="Arial;sans-serif" w:hAnsi="Arial;sans-serif"/>
          <w:caps w:val="false"/>
          <w:smallCaps w:val="false"/>
          <w:strike w:val="false"/>
          <w:dstrike w:val="false"/>
          <w:sz w:val="24"/>
          <w:u w:val="none"/>
          <w:effect w:val="none"/>
          <w:shd w:fill="E4E4E4" w:val="clear"/>
        </w:rPr>
        <w:t xml:space="preserve"> </w:t>
      </w:r>
      <w:r>
        <w:rPr>
          <w:rFonts w:ascii="Arial;sans-serif" w:hAnsi="Arial;sans-serif"/>
          <w:b w:val="false"/>
          <w:i w:val="false"/>
          <w:caps w:val="false"/>
          <w:smallCaps w:val="false"/>
          <w:strike w:val="false"/>
          <w:dstrike w:val="false"/>
          <w:sz w:val="22"/>
          <w:u w:val="none"/>
          <w:effect w:val="none"/>
          <w:shd w:fill="E4E4E4" w:val="clear"/>
        </w:rPr>
        <w:t>new</w:t>
      </w:r>
      <w:r>
        <w:rPr>
          <w:rFonts w:ascii="Arial;sans-serif" w:hAnsi="Arial;sans-serif"/>
          <w:caps w:val="false"/>
          <w:smallCaps w:val="false"/>
          <w:sz w:val="24"/>
          <w:shd w:fill="E4E4E4" w:val="clear"/>
        </w:rPr>
        <w:t xml:space="preserve"> </w:t>
      </w:r>
      <w:r>
        <w:rPr>
          <w:rFonts w:ascii="Arial;sans-serif" w:hAnsi="Arial;sans-serif"/>
          <w:b w:val="false"/>
          <w:i w:val="false"/>
          <w:caps w:val="false"/>
          <w:smallCaps w:val="false"/>
          <w:sz w:val="22"/>
          <w:shd w:fill="E4E4E4" w:val="clear"/>
        </w:rPr>
        <w:t xml:space="preserve">clients, </w:t>
      </w:r>
    </w:p>
    <w:p>
      <w:pPr>
        <w:pStyle w:val="TextBody"/>
        <w:bidi w:val="0"/>
        <w:spacing w:lineRule="atLeast" w:line="160" w:before="0" w:after="0"/>
        <w:jc w:val="left"/>
        <w:rPr>
          <w:rFonts w:ascii="Arial;sans-serif" w:hAnsi="Arial;sans-serif"/>
          <w:shd w:fill="E4E4E4" w:val="clear"/>
        </w:rPr>
      </w:pPr>
      <w:r>
        <w:rPr>
          <w:rFonts w:ascii="Arial;sans-serif" w:hAnsi="Arial;sans-serif"/>
          <w:b w:val="false"/>
          <w:i w:val="false"/>
          <w:caps w:val="false"/>
          <w:smallCaps w:val="false"/>
          <w:sz w:val="22"/>
          <w:shd w:fill="E4E4E4" w:val="clear"/>
        </w:rPr>
        <w:t xml:space="preserve">including </w:t>
      </w:r>
      <w:r>
        <w:rPr>
          <w:rFonts w:ascii="Arial;sans-serif" w:hAnsi="Arial;sans-serif"/>
          <w:b w:val="false"/>
          <w:i w:val="false"/>
          <w:caps w:val="false"/>
          <w:smallCaps w:val="false"/>
          <w:strike w:val="false"/>
          <w:dstrike w:val="false"/>
          <w:sz w:val="22"/>
          <w:u w:val="none"/>
          <w:effect w:val="none"/>
          <w:shd w:fill="FFFFFF" w:val="clear"/>
        </w:rPr>
        <w:t>1</w:t>
      </w:r>
      <w:r>
        <w:rPr>
          <w:rFonts w:ascii="Arial;sans-serif" w:hAnsi="Arial;sans-serif"/>
          <w:caps w:val="false"/>
          <w:smallCaps w:val="false"/>
          <w:shd w:fill="E4E4E4" w:val="clear"/>
        </w:rPr>
        <w:t xml:space="preserve"> </w:t>
      </w:r>
      <w:r>
        <w:rPr>
          <w:rFonts w:ascii="Arial;sans-serif" w:hAnsi="Arial;sans-serif"/>
          <w:b w:val="false"/>
          <w:i w:val="false"/>
          <w:caps w:val="false"/>
          <w:smallCaps w:val="false"/>
          <w:sz w:val="22"/>
          <w:shd w:fill="E4E4E4" w:val="clear"/>
        </w:rPr>
        <w:t xml:space="preserve">cross-sell, and </w:t>
      </w:r>
      <w:r>
        <w:rPr>
          <w:rFonts w:ascii="Arial;sans-serif" w:hAnsi="Arial;sans-serif"/>
          <w:b w:val="false"/>
          <w:i w:val="false"/>
          <w:caps w:val="false"/>
          <w:smallCaps w:val="false"/>
          <w:strike w:val="false"/>
          <w:dstrike w:val="false"/>
          <w:sz w:val="22"/>
          <w:u w:val="none"/>
          <w:effect w:val="none"/>
          <w:shd w:fill="FFFFFF" w:val="clear"/>
        </w:rPr>
        <w:t>23</w:t>
      </w:r>
      <w:r>
        <w:rPr>
          <w:rFonts w:ascii="Arial;sans-serif" w:hAnsi="Arial;sans-serif"/>
          <w:caps w:val="false"/>
          <w:smallCaps w:val="false"/>
          <w:shd w:fill="E4E4E4" w:val="clear"/>
        </w:rPr>
        <w:t xml:space="preserve"> </w:t>
      </w:r>
      <w:r>
        <w:rPr>
          <w:rFonts w:ascii="Arial;sans-serif" w:hAnsi="Arial;sans-serif"/>
          <w:b w:val="false"/>
          <w:i w:val="false"/>
          <w:caps w:val="false"/>
          <w:smallCaps w:val="false"/>
          <w:sz w:val="22"/>
          <w:shd w:fill="E4E4E4" w:val="clear"/>
        </w:rPr>
        <w:t xml:space="preserve">upsells. Nasdaq partnered with HSBC to co-develop </w:t>
      </w:r>
    </w:p>
    <w:p>
      <w:pPr>
        <w:pStyle w:val="TextBody"/>
        <w:bidi w:val="0"/>
        <w:spacing w:lineRule="atLeast" w:line="160" w:before="0" w:after="0"/>
        <w:jc w:val="left"/>
        <w:rPr>
          <w:rFonts w:ascii="Arial;sans-serif" w:hAnsi="Arial;sans-serif"/>
          <w:b w:val="false"/>
          <w:i w:val="false"/>
          <w:caps w:val="false"/>
          <w:smallCaps w:val="false"/>
          <w:sz w:val="22"/>
          <w:shd w:fill="E4E4E4" w:val="clear"/>
        </w:rPr>
      </w:pPr>
      <w:r>
        <w:rPr>
          <w:rFonts w:ascii="Arial;sans-serif" w:hAnsi="Arial;sans-serif"/>
          <w:b w:val="false"/>
          <w:i w:val="false"/>
          <w:caps w:val="false"/>
          <w:smallCaps w:val="false"/>
          <w:sz w:val="22"/>
          <w:shd w:fill="E4E4E4" w:val="clear"/>
        </w:rPr>
        <w:t xml:space="preserve">comprehensive exchange-traded derivatives (ETD) clearing capabilities in Calypso, </w:t>
      </w:r>
    </w:p>
    <w:p>
      <w:pPr>
        <w:pStyle w:val="TextBody"/>
        <w:bidi w:val="0"/>
        <w:spacing w:lineRule="atLeast" w:line="160" w:before="0" w:after="0"/>
        <w:jc w:val="left"/>
        <w:rPr>
          <w:rFonts w:ascii="Arial;sans-serif" w:hAnsi="Arial;sans-serif"/>
          <w:b w:val="false"/>
          <w:i w:val="false"/>
          <w:caps w:val="false"/>
          <w:smallCaps w:val="false"/>
          <w:sz w:val="22"/>
          <w:shd w:fill="E4E4E4" w:val="clear"/>
        </w:rPr>
      </w:pPr>
      <w:r>
        <w:rPr>
          <w:rFonts w:ascii="Arial;sans-serif" w:hAnsi="Arial;sans-serif"/>
          <w:b w:val="false"/>
          <w:i w:val="false"/>
          <w:caps w:val="false"/>
          <w:smallCaps w:val="false"/>
          <w:sz w:val="22"/>
          <w:shd w:fill="E4E4E4" w:val="clear"/>
        </w:rPr>
        <w:t xml:space="preserve">creating a unified platform HSBC has selected for clearing across OTC, ETD, and </w:t>
      </w:r>
    </w:p>
    <w:p>
      <w:pPr>
        <w:pStyle w:val="TextBody"/>
        <w:bidi w:val="0"/>
        <w:spacing w:lineRule="atLeast" w:line="160" w:before="0" w:after="0"/>
        <w:jc w:val="left"/>
        <w:rPr>
          <w:rFonts w:ascii="Arial;sans-serif" w:hAnsi="Arial;sans-serif"/>
          <w:b w:val="false"/>
          <w:i w:val="false"/>
          <w:caps w:val="false"/>
          <w:smallCaps w:val="false"/>
          <w:sz w:val="22"/>
          <w:shd w:fill="E4E4E4" w:val="clear"/>
        </w:rPr>
      </w:pPr>
      <w:r>
        <w:rPr>
          <w:rFonts w:ascii="Arial;sans-serif" w:hAnsi="Arial;sans-serif"/>
          <w:b w:val="false"/>
          <w:i w:val="false"/>
          <w:caps w:val="false"/>
          <w:smallCaps w:val="false"/>
          <w:sz w:val="22"/>
          <w:shd w:fill="E4E4E4" w:val="clear"/>
        </w:rPr>
        <w:t xml:space="preserve">repos. Nasdaq also launched a new operating environment which enables clients to </w:t>
      </w:r>
    </w:p>
    <w:p>
      <w:pPr>
        <w:pStyle w:val="TextBody"/>
        <w:bidi w:val="0"/>
        <w:spacing w:lineRule="atLeast" w:line="160" w:before="0" w:after="0"/>
        <w:jc w:val="left"/>
        <w:rPr>
          <w:rFonts w:ascii="Arial;sans-serif" w:hAnsi="Arial;sans-serif"/>
          <w:b w:val="false"/>
          <w:i w:val="false"/>
          <w:caps w:val="false"/>
          <w:smallCaps w:val="false"/>
          <w:sz w:val="22"/>
          <w:shd w:fill="E4E4E4" w:val="clear"/>
        </w:rPr>
      </w:pPr>
      <w:r>
        <w:rPr>
          <w:rFonts w:ascii="Arial;sans-serif" w:hAnsi="Arial;sans-serif"/>
          <w:b w:val="false"/>
          <w:i w:val="false"/>
          <w:caps w:val="false"/>
          <w:smallCaps w:val="false"/>
          <w:sz w:val="22"/>
          <w:shd w:fill="E4E4E4" w:val="clear"/>
        </w:rPr>
        <w:t xml:space="preserve">connect their own AI infrastructure and serve as an access point for Calypso’s agentic </w:t>
      </w:r>
    </w:p>
    <w:p>
      <w:pPr>
        <w:pStyle w:val="TextBody"/>
        <w:bidi w:val="0"/>
        <w:spacing w:lineRule="atLeast" w:line="160" w:before="0" w:after="0"/>
        <w:jc w:val="left"/>
        <w:rPr>
          <w:rFonts w:ascii="Arial;sans-serif" w:hAnsi="Arial;sans-serif"/>
          <w:b w:val="false"/>
          <w:i w:val="false"/>
          <w:caps w:val="false"/>
          <w:smallCaps w:val="false"/>
          <w:sz w:val="22"/>
          <w:shd w:fill="E4E4E4" w:val="clear"/>
        </w:rPr>
      </w:pPr>
      <w:r>
        <w:rPr>
          <w:rFonts w:ascii="Arial;sans-serif" w:hAnsi="Arial;sans-serif"/>
          <w:b w:val="false"/>
          <w:i w:val="false"/>
          <w:caps w:val="false"/>
          <w:smallCaps w:val="false"/>
          <w:sz w:val="22"/>
          <w:shd w:fill="E4E4E4" w:val="clear"/>
        </w:rPr>
        <w:t xml:space="preserve">capabilities. Market Technology signed 25 upsells in the quarter and continued to </w:t>
      </w:r>
    </w:p>
    <w:p>
      <w:pPr>
        <w:pStyle w:val="TextBody"/>
        <w:bidi w:val="0"/>
        <w:spacing w:lineRule="atLeast" w:line="160" w:before="0" w:after="0"/>
        <w:jc w:val="left"/>
        <w:rPr>
          <w:rFonts w:ascii="Arial;sans-serif" w:hAnsi="Arial;sans-serif"/>
          <w:sz w:val="24"/>
          <w:shd w:fill="E4E4E4" w:val="clear"/>
        </w:rPr>
      </w:pPr>
      <w:r>
        <w:rPr>
          <w:rFonts w:ascii="Arial;sans-serif" w:hAnsi="Arial;sans-serif"/>
          <w:b w:val="false"/>
          <w:i w:val="false"/>
          <w:caps w:val="false"/>
          <w:smallCaps w:val="false"/>
          <w:sz w:val="22"/>
          <w:shd w:fill="E4E4E4" w:val="clear"/>
        </w:rPr>
        <w:t>shape Always-On markets, signing a deal with Bruce Market</w:t>
      </w:r>
      <w:r>
        <w:rPr>
          <w:rFonts w:ascii="Arial;sans-serif" w:hAnsi="Arial;sans-serif"/>
          <w:b w:val="false"/>
          <w:i w:val="false"/>
          <w:caps w:val="false"/>
          <w:smallCaps w:val="false"/>
          <w:strike w:val="false"/>
          <w:dstrike w:val="false"/>
          <w:sz w:val="22"/>
          <w:u w:val="none"/>
          <w:effect w:val="none"/>
          <w:shd w:fill="E4E4E4" w:val="clear"/>
        </w:rPr>
        <w:t>s</w:t>
      </w:r>
      <w:r>
        <w:rPr>
          <w:rFonts w:ascii="Arial;sans-serif" w:hAnsi="Arial;sans-serif"/>
          <w:caps w:val="false"/>
          <w:smallCaps w:val="false"/>
          <w:sz w:val="24"/>
          <w:shd w:fill="E4E4E4" w:val="clear"/>
        </w:rPr>
        <w:t xml:space="preserve"> </w:t>
      </w:r>
      <w:r>
        <w:rPr>
          <w:rFonts w:ascii="Arial;sans-serif" w:hAnsi="Arial;sans-serif"/>
          <w:b w:val="false"/>
          <w:i w:val="false"/>
          <w:caps w:val="false"/>
          <w:smallCaps w:val="false"/>
          <w:sz w:val="22"/>
          <w:shd w:fill="E4E4E4" w:val="clear"/>
        </w:rPr>
        <w:t xml:space="preserve">to power the first 24/7 </w:t>
      </w:r>
    </w:p>
    <w:p>
      <w:pPr>
        <w:pStyle w:val="TextBody"/>
        <w:bidi w:val="0"/>
        <w:spacing w:lineRule="atLeast" w:line="160" w:before="0" w:after="0"/>
        <w:jc w:val="left"/>
        <w:rPr>
          <w:rFonts w:ascii="Arial;sans-serif" w:hAnsi="Arial;sans-serif"/>
          <w:b w:val="false"/>
          <w:i w:val="false"/>
          <w:caps w:val="false"/>
          <w:smallCaps w:val="false"/>
          <w:sz w:val="22"/>
          <w:shd w:fill="E4E4E4" w:val="clear"/>
        </w:rPr>
      </w:pPr>
      <w:r>
        <w:rPr>
          <w:rFonts w:ascii="Arial;sans-serif" w:hAnsi="Arial;sans-serif"/>
          <w:b w:val="false"/>
          <w:i w:val="false"/>
          <w:caps w:val="false"/>
          <w:smallCaps w:val="false"/>
          <w:sz w:val="22"/>
          <w:shd w:fill="E4E4E4" w:val="clear"/>
        </w:rPr>
        <w:t xml:space="preserve">continuous trading in U.S. equities. </w:t>
      </w:r>
    </w:p>
    <w:p>
      <w:pPr>
        <w:pStyle w:val="TextBody"/>
        <w:bidi w:val="0"/>
        <w:spacing w:lineRule="atLeast" w:line="160" w:before="0" w:after="0"/>
        <w:jc w:val="left"/>
        <w:rPr>
          <w:shd w:fill="E4E4E4" w:val="clear"/>
        </w:rPr>
      </w:pPr>
      <w:r>
        <w:rPr>
          <w:caps w:val="false"/>
          <w:smallCaps w:val="false"/>
          <w:strike w:val="false"/>
          <w:dstrike w:val="false"/>
          <w:u w:val="none"/>
          <w:effect w:val="none"/>
          <w:shd w:fill="FFFFFF" w:val="clear"/>
        </w:rPr>
        <w:t>•</w:t>
      </w:r>
      <w:r>
        <w:rPr>
          <w:rFonts w:ascii="Arial;sans-serif" w:hAnsi="Arial;sans-serif"/>
          <w:b/>
          <w:i w:val="false"/>
          <w:caps w:val="false"/>
          <w:smallCaps w:val="false"/>
          <w:strike w:val="false"/>
          <w:dstrike w:val="false"/>
          <w:sz w:val="22"/>
          <w:u w:val="none"/>
          <w:effect w:val="none"/>
          <w:shd w:fill="FFFFFF" w:val="clear"/>
        </w:rPr>
        <w:t>Index set new ETP assets under management (AUM) and net inflow</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i w:val="false"/>
          <w:caps w:val="false"/>
          <w:smallCaps w:val="false"/>
          <w:strike w:val="false"/>
          <w:dstrike w:val="false"/>
          <w:sz w:val="22"/>
          <w:u w:val="none"/>
          <w:effect w:val="none"/>
          <w:shd w:fill="FFFFFF" w:val="clear"/>
        </w:rPr>
        <w:t>records</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i w:val="false"/>
          <w:caps w:val="false"/>
          <w:smallCaps w:val="false"/>
          <w:strike w:val="false"/>
          <w:dstrike w:val="false"/>
          <w:sz w:val="22"/>
          <w:u w:val="none"/>
          <w:effect w:val="none"/>
          <w:shd w:fill="FFFFFF" w:val="clear"/>
        </w:rPr>
        <w:t xml:space="preserve">while </w:t>
      </w:r>
    </w:p>
    <w:p>
      <w:pPr>
        <w:pStyle w:val="TextBody"/>
        <w:bidi w:val="0"/>
        <w:spacing w:lineRule="atLeast" w:line="160" w:before="0" w:after="0"/>
        <w:jc w:val="left"/>
        <w:rPr>
          <w:rFonts w:ascii="Arial;sans-serif" w:hAnsi="Arial;sans-serif"/>
          <w:b/>
          <w:i w:val="false"/>
          <w:caps w:val="false"/>
          <w:smallCaps w:val="false"/>
          <w:strike w:val="false"/>
          <w:dstrike w:val="false"/>
          <w:sz w:val="22"/>
          <w:u w:val="none"/>
          <w:effect w:val="none"/>
          <w:shd w:fill="FFFFFF" w:val="clear"/>
        </w:rPr>
      </w:pPr>
      <w:r>
        <w:rPr>
          <w:rFonts w:ascii="Arial;sans-serif" w:hAnsi="Arial;sans-serif"/>
          <w:b/>
          <w:i w:val="false"/>
          <w:caps w:val="false"/>
          <w:smallCaps w:val="false"/>
          <w:strike w:val="false"/>
          <w:dstrike w:val="false"/>
          <w:sz w:val="22"/>
          <w:u w:val="none"/>
          <w:effect w:val="none"/>
          <w:shd w:fill="FFFFFF" w:val="clear"/>
        </w:rPr>
        <w:t xml:space="preserve">executing on its growth pillars of product innovation, international expansion, and </w:t>
      </w:r>
    </w:p>
    <w:p>
      <w:pPr>
        <w:pStyle w:val="TextBody"/>
        <w:bidi w:val="0"/>
        <w:spacing w:lineRule="atLeast" w:line="160" w:before="0" w:after="0"/>
        <w:jc w:val="left"/>
        <w:rPr>
          <w:rFonts w:ascii="Arial;sans-serif" w:hAnsi="Arial;sans-serif"/>
          <w:sz w:val="24"/>
          <w:shd w:fill="E4E4E4" w:val="clear"/>
        </w:rPr>
      </w:pPr>
      <w:r>
        <w:rPr>
          <w:rFonts w:ascii="Arial;sans-serif" w:hAnsi="Arial;sans-serif"/>
          <w:b/>
          <w:i w:val="false"/>
          <w:caps w:val="false"/>
          <w:smallCaps w:val="false"/>
          <w:strike w:val="false"/>
          <w:dstrike w:val="false"/>
          <w:sz w:val="22"/>
          <w:u w:val="none"/>
          <w:effect w:val="none"/>
          <w:shd w:fill="FFFFFF" w:val="clear"/>
        </w:rPr>
        <w:t xml:space="preserve">institutional adoption. </w:t>
      </w:r>
      <w:r>
        <w:rPr>
          <w:rFonts w:ascii="Arial;sans-serif" w:hAnsi="Arial;sans-serif"/>
          <w:b w:val="false"/>
          <w:i w:val="false"/>
          <w:caps w:val="false"/>
          <w:smallCaps w:val="false"/>
          <w:strike w:val="false"/>
          <w:dstrike w:val="false"/>
          <w:sz w:val="22"/>
          <w:u w:val="none"/>
          <w:effect w:val="none"/>
          <w:shd w:fill="FFFFFF" w:val="clear"/>
        </w:rPr>
        <w:t>Index had a record $141</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billion in net inflows</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 xml:space="preserve">over the trailing twelve </w:t>
      </w:r>
    </w:p>
    <w:p>
      <w:pPr>
        <w:pStyle w:val="TextBody"/>
        <w:bidi w:val="0"/>
        <w:spacing w:lineRule="atLeast" w:line="160"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2"/>
          <w:u w:val="none"/>
          <w:effect w:val="none"/>
          <w:shd w:fill="FFFFFF" w:val="clear"/>
        </w:rPr>
        <w:t>months, including $49</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 xml:space="preserve">billion in the </w:t>
      </w:r>
      <w:r>
        <w:rPr>
          <w:rFonts w:ascii="Arial;sans-serif" w:hAnsi="Arial;sans-serif"/>
          <w:b w:val="false"/>
          <w:i w:val="false"/>
          <w:caps w:val="false"/>
          <w:smallCaps w:val="false"/>
          <w:strike w:val="false"/>
          <w:dstrike w:val="false"/>
          <w:sz w:val="22"/>
          <w:u w:val="none"/>
          <w:effect w:val="none"/>
          <w:shd w:fill="E4E4E4" w:val="clear"/>
        </w:rPr>
        <w:t>third</w:t>
      </w:r>
      <w:r>
        <w:rPr>
          <w:rFonts w:ascii="Arial;sans-serif" w:hAnsi="Arial;sans-serif"/>
          <w:caps w:val="false"/>
          <w:smallCaps w:val="false"/>
          <w:sz w:val="24"/>
          <w:shd w:fill="E4E4E4" w:val="clear"/>
        </w:rPr>
        <w:t xml:space="preserve"> </w:t>
      </w:r>
      <w:r>
        <w:rPr>
          <w:rFonts w:ascii="Arial;sans-serif" w:hAnsi="Arial;sans-serif"/>
          <w:b w:val="false"/>
          <w:i w:val="false"/>
          <w:caps w:val="false"/>
          <w:smallCaps w:val="false"/>
          <w:sz w:val="22"/>
          <w:shd w:fill="E4E4E4" w:val="clear"/>
        </w:rPr>
        <w:t>quarter.</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End-of-period ETP AUM was $</w:t>
      </w:r>
      <w:r>
        <w:rPr>
          <w:rFonts w:ascii="Arial;sans-serif" w:hAnsi="Arial;sans-serif"/>
          <w:b w:val="false"/>
          <w:i w:val="false"/>
          <w:caps w:val="false"/>
          <w:smallCaps w:val="false"/>
          <w:strike w:val="false"/>
          <w:dstrike w:val="false"/>
          <w:sz w:val="22"/>
          <w:u w:val="none"/>
          <w:effect w:val="none"/>
          <w:shd w:fill="E4E4E4" w:val="clear"/>
        </w:rPr>
        <w:t>1.160</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 xml:space="preserve">trillion </w:t>
      </w:r>
    </w:p>
    <w:p>
      <w:pPr>
        <w:pStyle w:val="TextBody"/>
        <w:bidi w:val="0"/>
        <w:spacing w:lineRule="atLeast" w:line="160"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2"/>
          <w:u w:val="none"/>
          <w:effect w:val="none"/>
          <w:shd w:fill="FFFFFF" w:val="clear"/>
        </w:rPr>
        <w:t xml:space="preserve">and average ETP AUM over the </w:t>
      </w:r>
      <w:r>
        <w:rPr>
          <w:rFonts w:ascii="Arial;sans-serif" w:hAnsi="Arial;sans-serif"/>
          <w:b w:val="false"/>
          <w:i w:val="false"/>
          <w:caps w:val="false"/>
          <w:smallCaps w:val="false"/>
          <w:strike w:val="false"/>
          <w:dstrike w:val="false"/>
          <w:sz w:val="22"/>
          <w:u w:val="none"/>
          <w:effect w:val="none"/>
          <w:shd w:fill="E4E4E4" w:val="clear"/>
        </w:rPr>
        <w:t>third</w:t>
      </w:r>
      <w:r>
        <w:rPr>
          <w:rFonts w:ascii="Arial;sans-serif" w:hAnsi="Arial;sans-serif"/>
          <w:caps w:val="false"/>
          <w:smallCaps w:val="false"/>
          <w:sz w:val="24"/>
          <w:shd w:fill="E4E4E4" w:val="clear"/>
        </w:rPr>
        <w:t xml:space="preserve"> </w:t>
      </w:r>
      <w:r>
        <w:rPr>
          <w:rFonts w:ascii="Arial;sans-serif" w:hAnsi="Arial;sans-serif"/>
          <w:b w:val="false"/>
          <w:i w:val="false"/>
          <w:caps w:val="false"/>
          <w:smallCaps w:val="false"/>
          <w:sz w:val="22"/>
          <w:shd w:fill="E4E4E4" w:val="clear"/>
        </w:rPr>
        <w:t>quarter was $</w:t>
      </w:r>
      <w:r>
        <w:rPr>
          <w:rFonts w:ascii="Arial;sans-serif" w:hAnsi="Arial;sans-serif"/>
          <w:b w:val="false"/>
          <w:i w:val="false"/>
          <w:caps w:val="false"/>
          <w:smallCaps w:val="false"/>
          <w:strike w:val="false"/>
          <w:dstrike w:val="false"/>
          <w:sz w:val="22"/>
          <w:u w:val="none"/>
          <w:effect w:val="none"/>
          <w:shd w:fill="E4E4E4" w:val="clear"/>
        </w:rPr>
        <w:t>1.108</w:t>
      </w:r>
      <w:r>
        <w:rPr>
          <w:rFonts w:ascii="Arial;sans-serif" w:hAnsi="Arial;sans-serif"/>
          <w:caps w:val="false"/>
          <w:smallCaps w:val="false"/>
          <w:sz w:val="24"/>
          <w:shd w:fill="E4E4E4" w:val="clear"/>
        </w:rPr>
        <w:t xml:space="preserve"> </w:t>
      </w:r>
      <w:r>
        <w:rPr>
          <w:rFonts w:ascii="Arial;sans-serif" w:hAnsi="Arial;sans-serif"/>
          <w:b w:val="false"/>
          <w:i w:val="false"/>
          <w:caps w:val="false"/>
          <w:smallCaps w:val="false"/>
          <w:sz w:val="22"/>
          <w:shd w:fill="E4E4E4" w:val="clear"/>
        </w:rPr>
        <w:t xml:space="preserve">trillion, both new records. Nasdaq </w:t>
      </w:r>
    </w:p>
    <w:p>
      <w:pPr>
        <w:pStyle w:val="TextBody"/>
        <w:bidi w:val="0"/>
        <w:spacing w:lineRule="atLeast" w:line="160" w:before="0" w:after="0"/>
        <w:jc w:val="left"/>
        <w:rPr>
          <w:rFonts w:ascii="Arial;sans-serif" w:hAnsi="Arial;sans-serif"/>
          <w:sz w:val="24"/>
          <w:shd w:fill="E4E4E4" w:val="clear"/>
        </w:rPr>
      </w:pPr>
      <w:r>
        <w:rPr>
          <w:rFonts w:ascii="Arial;sans-serif" w:hAnsi="Arial;sans-serif"/>
          <w:b w:val="false"/>
          <w:i w:val="false"/>
          <w:caps w:val="false"/>
          <w:smallCaps w:val="false"/>
          <w:sz w:val="22"/>
          <w:shd w:fill="E4E4E4" w:val="clear"/>
        </w:rPr>
        <w:t xml:space="preserve">launched </w:t>
      </w:r>
      <w:r>
        <w:rPr>
          <w:rFonts w:ascii="Arial;sans-serif" w:hAnsi="Arial;sans-serif"/>
          <w:b w:val="false"/>
          <w:i w:val="false"/>
          <w:caps w:val="false"/>
          <w:smallCaps w:val="false"/>
          <w:strike w:val="false"/>
          <w:dstrike w:val="false"/>
          <w:sz w:val="22"/>
          <w:u w:val="none"/>
          <w:effect w:val="none"/>
          <w:shd w:fill="E4E4E4" w:val="clear"/>
        </w:rPr>
        <w:t>32</w:t>
      </w:r>
      <w:r>
        <w:rPr>
          <w:rFonts w:ascii="Arial;sans-serif" w:hAnsi="Arial;sans-serif"/>
          <w:caps w:val="false"/>
          <w:smallCaps w:val="false"/>
          <w:sz w:val="24"/>
          <w:shd w:fill="E4E4E4" w:val="clear"/>
        </w:rPr>
        <w:t xml:space="preserve"> </w:t>
      </w:r>
      <w:r>
        <w:rPr>
          <w:rFonts w:ascii="Arial;sans-serif" w:hAnsi="Arial;sans-serif"/>
          <w:b w:val="false"/>
          <w:i w:val="false"/>
          <w:caps w:val="false"/>
          <w:smallCaps w:val="false"/>
          <w:sz w:val="22"/>
          <w:shd w:fill="E4E4E4" w:val="clear"/>
        </w:rPr>
        <w:t xml:space="preserve">new Index products in the </w:t>
      </w:r>
      <w:r>
        <w:rPr>
          <w:rFonts w:ascii="Arial;sans-serif" w:hAnsi="Arial;sans-serif"/>
          <w:b w:val="false"/>
          <w:i w:val="false"/>
          <w:caps w:val="false"/>
          <w:smallCaps w:val="false"/>
          <w:strike w:val="false"/>
          <w:dstrike w:val="false"/>
          <w:sz w:val="22"/>
          <w:u w:val="none"/>
          <w:effect w:val="none"/>
          <w:shd w:fill="E4E4E4" w:val="clear"/>
        </w:rPr>
        <w:t>third</w:t>
      </w:r>
      <w:r>
        <w:rPr>
          <w:rFonts w:ascii="Arial;sans-serif" w:hAnsi="Arial;sans-serif"/>
          <w:caps w:val="false"/>
          <w:smallCaps w:val="false"/>
          <w:sz w:val="24"/>
          <w:shd w:fill="E4E4E4" w:val="clear"/>
        </w:rPr>
        <w:t xml:space="preserve"> </w:t>
      </w:r>
      <w:r>
        <w:rPr>
          <w:rFonts w:ascii="Arial;sans-serif" w:hAnsi="Arial;sans-serif"/>
          <w:b w:val="false"/>
          <w:i w:val="false"/>
          <w:caps w:val="false"/>
          <w:smallCaps w:val="false"/>
          <w:sz w:val="22"/>
          <w:shd w:fill="E4E4E4" w:val="clear"/>
        </w:rPr>
        <w:t xml:space="preserve">quarter, including 10 in the institutional annuity </w:t>
      </w:r>
    </w:p>
    <w:p>
      <w:pPr>
        <w:pStyle w:val="TextBody"/>
        <w:bidi w:val="0"/>
        <w:spacing w:lineRule="atLeast" w:line="160" w:before="0" w:after="0"/>
        <w:jc w:val="left"/>
        <w:rPr>
          <w:rFonts w:ascii="Arial;sans-serif" w:hAnsi="Arial;sans-serif"/>
          <w:b w:val="false"/>
          <w:i w:val="false"/>
          <w:caps w:val="false"/>
          <w:smallCaps w:val="false"/>
          <w:sz w:val="22"/>
          <w:shd w:fill="E4E4E4" w:val="clear"/>
        </w:rPr>
      </w:pPr>
      <w:r>
        <w:rPr>
          <w:rFonts w:ascii="Arial;sans-serif" w:hAnsi="Arial;sans-serif"/>
          <w:b w:val="false"/>
          <w:i w:val="false"/>
          <w:caps w:val="false"/>
          <w:smallCaps w:val="false"/>
          <w:sz w:val="22"/>
          <w:shd w:fill="E4E4E4" w:val="clear"/>
        </w:rPr>
        <w:t>space. Half of the new products launched in the third quarter were outside the U.S.</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4</w:t>
      </w:r>
    </w:p>
    <w:p>
      <w:pPr>
        <w:pStyle w:val="TextBody"/>
        <w:bidi w:val="0"/>
        <w:spacing w:lineRule="atLeast" w:line="160" w:before="0" w:after="0"/>
        <w:jc w:val="left"/>
        <w:rPr>
          <w:shd w:fill="E4E4E4" w:val="clear"/>
        </w:rPr>
      </w:pPr>
      <w:r>
        <w:rPr>
          <w:caps w:val="false"/>
          <w:smallCaps w:val="false"/>
          <w:strike w:val="false"/>
          <w:dstrike w:val="false"/>
          <w:u w:val="none"/>
          <w:effect w:val="none"/>
          <w:shd w:fill="FFFFFF" w:val="clear"/>
        </w:rPr>
        <w:t>•</w:t>
      </w:r>
      <w:r>
        <w:rPr>
          <w:rFonts w:ascii="Arial;sans-serif" w:hAnsi="Arial;sans-serif"/>
          <w:b/>
          <w:i w:val="false"/>
          <w:caps w:val="false"/>
          <w:smallCaps w:val="false"/>
          <w:strike w:val="false"/>
          <w:dstrike w:val="false"/>
          <w:sz w:val="22"/>
          <w:u w:val="none"/>
          <w:effect w:val="none"/>
          <w:shd w:fill="FFFFFF" w:val="clear"/>
        </w:rPr>
        <w:t>Nasdaq</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i w:val="false"/>
          <w:caps w:val="false"/>
          <w:smallCaps w:val="false"/>
          <w:strike w:val="false"/>
          <w:dstrike w:val="false"/>
          <w:sz w:val="22"/>
          <w:u w:val="none"/>
          <w:effect w:val="none"/>
          <w:shd w:fill="FFFFFF" w:val="clear"/>
        </w:rPr>
        <w:t xml:space="preserve">extended its listings leadership with 8 of the 10 largest operating company </w:t>
      </w:r>
    </w:p>
    <w:p>
      <w:pPr>
        <w:pStyle w:val="TextBody"/>
        <w:bidi w:val="0"/>
        <w:spacing w:lineRule="atLeast" w:line="160" w:before="0" w:after="0"/>
        <w:jc w:val="left"/>
        <w:rPr>
          <w:rFonts w:ascii="Arial;sans-serif" w:hAnsi="Arial;sans-serif"/>
          <w:shd w:fill="E4E4E4" w:val="clear"/>
        </w:rPr>
      </w:pPr>
      <w:r>
        <w:rPr>
          <w:rFonts w:ascii="Arial;sans-serif" w:hAnsi="Arial;sans-serif"/>
          <w:b/>
          <w:i w:val="false"/>
          <w:caps w:val="false"/>
          <w:smallCaps w:val="false"/>
          <w:strike w:val="false"/>
          <w:dstrike w:val="false"/>
          <w:sz w:val="22"/>
          <w:u w:val="none"/>
          <w:effect w:val="none"/>
          <w:shd w:fill="FFFFFF" w:val="clear"/>
        </w:rPr>
        <w:t xml:space="preserve">IPOs in the third quarter. </w:t>
      </w:r>
      <w:r>
        <w:rPr>
          <w:rFonts w:ascii="Arial;sans-serif" w:hAnsi="Arial;sans-serif"/>
          <w:b w:val="false"/>
          <w:i w:val="false"/>
          <w:caps w:val="false"/>
          <w:smallCaps w:val="false"/>
          <w:strike w:val="false"/>
          <w:dstrike w:val="false"/>
          <w:sz w:val="22"/>
          <w:u w:val="none"/>
          <w:effect w:val="none"/>
          <w:shd w:fill="FFFFFF" w:val="clear"/>
        </w:rPr>
        <w:t xml:space="preserve">Nasdaq welcomed 15 new operating companies that raised $32 </w:t>
      </w:r>
    </w:p>
    <w:p>
      <w:pPr>
        <w:pStyle w:val="TextBody"/>
        <w:bidi w:val="0"/>
        <w:spacing w:lineRule="atLeast" w:line="160"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2"/>
          <w:u w:val="none"/>
          <w:effect w:val="none"/>
          <w:shd w:fill="FFFFFF" w:val="clear"/>
        </w:rPr>
        <w:t>billion in capital</w:t>
      </w:r>
      <w:r>
        <w:rPr>
          <w:rFonts w:ascii="Arial;sans-serif" w:hAnsi="Arial;sans-serif"/>
          <w:b w:val="false"/>
          <w:i w:val="false"/>
          <w:caps w:val="false"/>
          <w:smallCaps w:val="false"/>
          <w:strike w:val="false"/>
          <w:dstrike w:val="false"/>
          <w:sz w:val="14"/>
          <w:u w:val="none"/>
          <w:effect w:val="none"/>
          <w:shd w:fill="FFFFFF" w:val="clear"/>
        </w:rPr>
        <w:t>7</w:t>
      </w:r>
      <w:r>
        <w:rPr>
          <w:rFonts w:ascii="Arial;sans-serif" w:hAnsi="Arial;sans-serif"/>
          <w:b w:val="false"/>
          <w:i w:val="false"/>
          <w:caps w:val="false"/>
          <w:smallCaps w:val="false"/>
          <w:strike w:val="false"/>
          <w:dstrike w:val="false"/>
          <w:sz w:val="22"/>
          <w:u w:val="none"/>
          <w:effect w:val="none"/>
          <w:shd w:fill="FFFFFF" w:val="clear"/>
        </w:rPr>
        <w:t>, reflecting a 79%</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win rate</w:t>
      </w:r>
      <w:r>
        <w:rPr>
          <w:rFonts w:ascii="Arial;sans-serif" w:hAnsi="Arial;sans-serif"/>
          <w:b w:val="false"/>
          <w:i w:val="false"/>
          <w:caps w:val="false"/>
          <w:smallCaps w:val="false"/>
          <w:strike w:val="false"/>
          <w:dstrike w:val="false"/>
          <w:sz w:val="14"/>
          <w:u w:val="none"/>
          <w:effect w:val="none"/>
          <w:shd w:fill="FFFFFF" w:val="clear"/>
        </w:rPr>
        <w:t>8</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 xml:space="preserve">of new operating company listings. The quarter’s </w:t>
      </w:r>
    </w:p>
    <w:p>
      <w:pPr>
        <w:pStyle w:val="TextBody"/>
        <w:bidi w:val="0"/>
        <w:spacing w:lineRule="atLeast" w:line="160" w:before="0" w:after="0"/>
        <w:jc w:val="left"/>
        <w:rPr>
          <w:rFonts w:ascii="Arial;sans-serif" w:hAnsi="Arial;sans-serif"/>
          <w:b w:val="false"/>
          <w:i w:val="false"/>
          <w:caps w:val="false"/>
          <w:smallCaps w:val="false"/>
          <w:strike w:val="false"/>
          <w:dstrike w:val="false"/>
          <w:sz w:val="22"/>
          <w:u w:val="none"/>
          <w:effect w:val="none"/>
          <w:shd w:fill="FFFFFF" w:val="clear"/>
        </w:rPr>
      </w:pPr>
      <w:r>
        <w:rPr>
          <w:rFonts w:ascii="Arial;sans-serif" w:hAnsi="Arial;sans-serif"/>
          <w:b w:val="false"/>
          <w:i w:val="false"/>
          <w:caps w:val="false"/>
          <w:smallCaps w:val="false"/>
          <w:strike w:val="false"/>
          <w:dstrike w:val="false"/>
          <w:sz w:val="22"/>
          <w:u w:val="none"/>
          <w:effect w:val="none"/>
          <w:shd w:fill="FFFFFF" w:val="clear"/>
        </w:rPr>
        <w:t xml:space="preserve">strong performance contributed to a 74% year-to-date new listings win rate. Year-to-date </w:t>
      </w:r>
    </w:p>
    <w:p>
      <w:pPr>
        <w:pStyle w:val="TextBody"/>
        <w:bidi w:val="0"/>
        <w:spacing w:lineRule="atLeast" w:line="160" w:before="0" w:after="0"/>
        <w:jc w:val="left"/>
        <w:rPr>
          <w:rFonts w:ascii="Arial;sans-serif" w:hAnsi="Arial;sans-serif"/>
          <w:b w:val="false"/>
          <w:i w:val="false"/>
          <w:caps w:val="false"/>
          <w:smallCaps w:val="false"/>
          <w:strike w:val="false"/>
          <w:dstrike w:val="false"/>
          <w:sz w:val="22"/>
          <w:u w:val="none"/>
          <w:effect w:val="none"/>
          <w:shd w:fill="FFFFFF" w:val="clear"/>
        </w:rPr>
      </w:pPr>
      <w:r>
        <w:rPr>
          <w:rFonts w:ascii="Arial;sans-serif" w:hAnsi="Arial;sans-serif"/>
          <w:b w:val="false"/>
          <w:i w:val="false"/>
          <w:caps w:val="false"/>
          <w:smallCaps w:val="false"/>
          <w:strike w:val="false"/>
          <w:dstrike w:val="false"/>
          <w:sz w:val="22"/>
          <w:u w:val="none"/>
          <w:effect w:val="none"/>
          <w:shd w:fill="FFFFFF" w:val="clear"/>
        </w:rPr>
        <w:t xml:space="preserve">through the third quarter, new operating company listings raised $144 billion in proceeds, </w:t>
      </w:r>
    </w:p>
    <w:p>
      <w:pPr>
        <w:pStyle w:val="TextBody"/>
        <w:bidi w:val="0"/>
        <w:spacing w:lineRule="atLeast" w:line="160" w:before="0" w:after="0"/>
        <w:jc w:val="left"/>
        <w:rPr>
          <w:rFonts w:ascii="Arial;sans-serif" w:hAnsi="Arial;sans-serif"/>
          <w:b w:val="false"/>
          <w:i w:val="false"/>
          <w:caps w:val="false"/>
          <w:smallCaps w:val="false"/>
          <w:strike w:val="false"/>
          <w:dstrike w:val="false"/>
          <w:sz w:val="22"/>
          <w:u w:val="none"/>
          <w:effect w:val="none"/>
          <w:shd w:fill="FFFFFF" w:val="clear"/>
        </w:rPr>
      </w:pPr>
      <w:r>
        <w:rPr>
          <w:rFonts w:ascii="Arial;sans-serif" w:hAnsi="Arial;sans-serif"/>
          <w:b w:val="false"/>
          <w:i w:val="false"/>
          <w:caps w:val="false"/>
          <w:smallCaps w:val="false"/>
          <w:strike w:val="false"/>
          <w:dstrike w:val="false"/>
          <w:sz w:val="22"/>
          <w:u w:val="none"/>
          <w:effect w:val="none"/>
          <w:shd w:fill="FFFFFF" w:val="clear"/>
        </w:rPr>
        <w:t>reflecting 89% of total proceeds raised.</w:t>
      </w:r>
    </w:p>
    <w:p>
      <w:pPr>
        <w:pStyle w:val="TextBody"/>
        <w:bidi w:val="0"/>
        <w:spacing w:lineRule="atLeast" w:line="160" w:before="0" w:after="0"/>
        <w:jc w:val="left"/>
        <w:rPr>
          <w:shd w:fill="E4E4E4" w:val="clear"/>
        </w:rPr>
      </w:pPr>
      <w:r>
        <w:rPr>
          <w:caps w:val="false"/>
          <w:smallCaps w:val="false"/>
          <w:shd w:fill="E4E4E4" w:val="clear"/>
        </w:rPr>
        <w:t>•</w:t>
      </w:r>
      <w:r>
        <w:rPr>
          <w:rFonts w:ascii="Arial;sans-serif" w:hAnsi="Arial;sans-serif"/>
          <w:b/>
          <w:i w:val="false"/>
          <w:caps w:val="false"/>
          <w:smallCaps w:val="false"/>
          <w:sz w:val="22"/>
          <w:shd w:fill="E4E4E4" w:val="clear"/>
        </w:rPr>
        <w:t xml:space="preserve">Nasdaq expanded its distribution of private markets data through a partnership with </w:t>
      </w:r>
    </w:p>
    <w:p>
      <w:pPr>
        <w:pStyle w:val="TextBody"/>
        <w:bidi w:val="0"/>
        <w:spacing w:lineRule="atLeast" w:line="160" w:before="0" w:after="0"/>
        <w:jc w:val="left"/>
        <w:rPr>
          <w:rFonts w:ascii="Arial;sans-serif" w:hAnsi="Arial;sans-serif"/>
          <w:shd w:fill="E4E4E4" w:val="clear"/>
        </w:rPr>
      </w:pPr>
      <w:r>
        <w:rPr>
          <w:rFonts w:ascii="Arial;sans-serif" w:hAnsi="Arial;sans-serif"/>
          <w:b/>
          <w:i w:val="false"/>
          <w:caps w:val="false"/>
          <w:smallCaps w:val="false"/>
          <w:sz w:val="22"/>
          <w:shd w:fill="E4E4E4" w:val="clear"/>
        </w:rPr>
        <w:t>Juniper Square.</w:t>
      </w:r>
      <w:r>
        <w:rPr>
          <w:rFonts w:ascii="Arial;sans-serif" w:hAnsi="Arial;sans-serif"/>
          <w:caps w:val="false"/>
          <w:smallCaps w:val="false"/>
          <w:shd w:fill="E4E4E4" w:val="clear"/>
        </w:rPr>
        <w:t xml:space="preserve"> </w:t>
      </w:r>
      <w:r>
        <w:rPr>
          <w:rFonts w:ascii="Arial;sans-serif" w:hAnsi="Arial;sans-serif"/>
          <w:b w:val="false"/>
          <w:i w:val="false"/>
          <w:caps w:val="false"/>
          <w:smallCaps w:val="false"/>
          <w:sz w:val="22"/>
          <w:shd w:fill="E4E4E4" w:val="clear"/>
        </w:rPr>
        <w:t xml:space="preserve">The partnership embeds eVestment's private markets data directly into </w:t>
      </w:r>
    </w:p>
    <w:p>
      <w:pPr>
        <w:pStyle w:val="TextBody"/>
        <w:bidi w:val="0"/>
        <w:spacing w:lineRule="atLeast" w:line="160" w:before="0" w:after="0"/>
        <w:jc w:val="left"/>
        <w:rPr>
          <w:rFonts w:ascii="Arial;sans-serif" w:hAnsi="Arial;sans-serif"/>
          <w:b w:val="false"/>
          <w:i w:val="false"/>
          <w:caps w:val="false"/>
          <w:smallCaps w:val="false"/>
          <w:sz w:val="22"/>
          <w:shd w:fill="E4E4E4" w:val="clear"/>
        </w:rPr>
      </w:pPr>
      <w:r>
        <w:rPr>
          <w:rFonts w:ascii="Arial;sans-serif" w:hAnsi="Arial;sans-serif"/>
          <w:b w:val="false"/>
          <w:i w:val="false"/>
          <w:caps w:val="false"/>
          <w:smallCaps w:val="false"/>
          <w:sz w:val="22"/>
          <w:shd w:fill="E4E4E4" w:val="clear"/>
        </w:rPr>
        <w:t xml:space="preserve">Juniper Square’s client workflows, strengthening Nasdaq's position as a trusted provider of </w:t>
      </w:r>
    </w:p>
    <w:p>
      <w:pPr>
        <w:pStyle w:val="TextBody"/>
        <w:bidi w:val="0"/>
        <w:spacing w:lineRule="atLeast" w:line="160" w:before="0" w:after="0"/>
        <w:jc w:val="left"/>
        <w:rPr>
          <w:rFonts w:ascii="Arial;sans-serif" w:hAnsi="Arial;sans-serif"/>
          <w:b w:val="false"/>
          <w:i w:val="false"/>
          <w:caps w:val="false"/>
          <w:smallCaps w:val="false"/>
          <w:sz w:val="22"/>
          <w:shd w:fill="E4E4E4" w:val="clear"/>
        </w:rPr>
      </w:pPr>
      <w:r>
        <w:rPr>
          <w:rFonts w:ascii="Arial;sans-serif" w:hAnsi="Arial;sans-serif"/>
          <w:b w:val="false"/>
          <w:i w:val="false"/>
          <w:caps w:val="false"/>
          <w:smallCaps w:val="false"/>
          <w:sz w:val="22"/>
          <w:shd w:fill="E4E4E4" w:val="clear"/>
        </w:rPr>
        <w:t xml:space="preserve">institutional investment intelligence. eVestment also expanded its coverage of private funds to </w:t>
      </w:r>
    </w:p>
    <w:p>
      <w:pPr>
        <w:pStyle w:val="TextBody"/>
        <w:bidi w:val="0"/>
        <w:spacing w:lineRule="atLeast" w:line="160" w:before="0" w:after="0"/>
        <w:jc w:val="left"/>
        <w:rPr>
          <w:rFonts w:ascii="Arial;sans-serif" w:hAnsi="Arial;sans-serif"/>
          <w:b w:val="false"/>
          <w:i w:val="false"/>
          <w:caps w:val="false"/>
          <w:smallCaps w:val="false"/>
          <w:sz w:val="22"/>
          <w:shd w:fill="E4E4E4" w:val="clear"/>
        </w:rPr>
      </w:pPr>
      <w:r>
        <w:rPr>
          <w:rFonts w:ascii="Arial;sans-serif" w:hAnsi="Arial;sans-serif"/>
          <w:b w:val="false"/>
          <w:i w:val="false"/>
          <w:caps w:val="false"/>
          <w:smallCaps w:val="false"/>
          <w:sz w:val="22"/>
          <w:shd w:fill="E4E4E4" w:val="clear"/>
        </w:rPr>
        <w:t>more than 95,000, a 19% increase from the end of 2025.</w:t>
      </w:r>
    </w:p>
    <w:p>
      <w:pPr>
        <w:pStyle w:val="TextBody"/>
        <w:bidi w:val="0"/>
        <w:spacing w:lineRule="atLeast" w:line="160" w:before="0" w:after="0"/>
        <w:jc w:val="left"/>
        <w:rPr>
          <w:shd w:fill="E4E4E4" w:val="clear"/>
        </w:rPr>
      </w:pPr>
      <w:r>
        <w:rPr>
          <w:caps w:val="false"/>
          <w:smallCaps w:val="false"/>
          <w:strike w:val="false"/>
          <w:dstrike w:val="false"/>
          <w:u w:val="none"/>
          <w:effect w:val="none"/>
          <w:shd w:fill="FFFFFF" w:val="clear"/>
        </w:rPr>
        <w:t>•</w:t>
      </w:r>
      <w:r>
        <w:rPr>
          <w:rFonts w:ascii="Arial;sans-serif" w:hAnsi="Arial;sans-serif"/>
          <w:b/>
          <w:i w:val="false"/>
          <w:caps w:val="false"/>
          <w:smallCaps w:val="false"/>
          <w:strike w:val="false"/>
          <w:dstrike w:val="false"/>
          <w:sz w:val="22"/>
          <w:u w:val="none"/>
          <w:effect w:val="none"/>
          <w:shd w:fill="FFFFFF" w:val="clear"/>
        </w:rPr>
        <w:t xml:space="preserve">Nasdaq executed several strategic actions to advance the evolution of capital markets. </w:t>
      </w:r>
    </w:p>
    <w:p>
      <w:pPr>
        <w:pStyle w:val="TextBody"/>
        <w:bidi w:val="0"/>
        <w:spacing w:lineRule="atLeast" w:line="160" w:before="0" w:after="0"/>
        <w:jc w:val="left"/>
        <w:rPr>
          <w:rFonts w:ascii="Arial;sans-serif" w:hAnsi="Arial;sans-serif"/>
          <w:b w:val="false"/>
          <w:i w:val="false"/>
          <w:caps w:val="false"/>
          <w:smallCaps w:val="false"/>
          <w:strike w:val="false"/>
          <w:dstrike w:val="false"/>
          <w:sz w:val="22"/>
          <w:u w:val="none"/>
          <w:effect w:val="none"/>
          <w:shd w:fill="FFFFFF" w:val="clear"/>
        </w:rPr>
      </w:pPr>
      <w:r>
        <w:rPr>
          <w:rFonts w:ascii="Arial;sans-serif" w:hAnsi="Arial;sans-serif"/>
          <w:b w:val="false"/>
          <w:i w:val="false"/>
          <w:caps w:val="false"/>
          <w:smallCaps w:val="false"/>
          <w:strike w:val="false"/>
          <w:dstrike w:val="false"/>
          <w:sz w:val="22"/>
          <w:u w:val="none"/>
          <w:effect w:val="none"/>
          <w:shd w:fill="FFFFFF" w:val="clear"/>
        </w:rPr>
        <w:t xml:space="preserve">Nasdaq formed Digital Liquidity Networks (DLN), a new organization within Nasdaq Market </w:t>
      </w:r>
    </w:p>
    <w:p>
      <w:pPr>
        <w:pStyle w:val="TextBody"/>
        <w:bidi w:val="0"/>
        <w:spacing w:lineRule="atLeast" w:line="160" w:before="0" w:after="0"/>
        <w:jc w:val="left"/>
        <w:rPr>
          <w:rFonts w:ascii="Arial;sans-serif" w:hAnsi="Arial;sans-serif"/>
          <w:b w:val="false"/>
          <w:i w:val="false"/>
          <w:caps w:val="false"/>
          <w:smallCaps w:val="false"/>
          <w:strike w:val="false"/>
          <w:dstrike w:val="false"/>
          <w:sz w:val="22"/>
          <w:u w:val="none"/>
          <w:effect w:val="none"/>
          <w:shd w:fill="FFFFFF" w:val="clear"/>
        </w:rPr>
      </w:pPr>
      <w:r>
        <w:rPr>
          <w:rFonts w:ascii="Arial;sans-serif" w:hAnsi="Arial;sans-serif"/>
          <w:b w:val="false"/>
          <w:i w:val="false"/>
          <w:caps w:val="false"/>
          <w:smallCaps w:val="false"/>
          <w:strike w:val="false"/>
          <w:dstrike w:val="false"/>
          <w:sz w:val="22"/>
          <w:u w:val="none"/>
          <w:effect w:val="none"/>
          <w:shd w:fill="FFFFFF" w:val="clear"/>
        </w:rPr>
        <w:t xml:space="preserve">Services focused on advancing the company’s leadership in digital assets and market </w:t>
      </w:r>
    </w:p>
    <w:p>
      <w:pPr>
        <w:pStyle w:val="TextBody"/>
        <w:bidi w:val="0"/>
        <w:spacing w:lineRule="atLeast" w:line="160"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2"/>
          <w:u w:val="none"/>
          <w:effect w:val="none"/>
          <w:shd w:fill="FFFFFF" w:val="clear"/>
        </w:rPr>
        <w:t>modernization. Within DLN, Nasdaq completed the acquisition of LeveL Markets,</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the third-</w:t>
      </w:r>
    </w:p>
    <w:p>
      <w:pPr>
        <w:pStyle w:val="TextBody"/>
        <w:bidi w:val="0"/>
        <w:spacing w:lineRule="atLeast" w:line="160"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2"/>
          <w:u w:val="none"/>
          <w:effect w:val="none"/>
          <w:shd w:fill="FFFFFF" w:val="clear"/>
        </w:rPr>
        <w:t>largest Alternative Trading System</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(ATS)</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 xml:space="preserve">in the U.S. by trading volume with more than 2,500 </w:t>
      </w:r>
    </w:p>
    <w:p>
      <w:pPr>
        <w:pStyle w:val="TextBody"/>
        <w:bidi w:val="0"/>
        <w:spacing w:lineRule="atLeast" w:line="160" w:before="0" w:after="0"/>
        <w:jc w:val="left"/>
        <w:rPr>
          <w:rFonts w:ascii="Arial;sans-serif" w:hAnsi="Arial;sans-serif"/>
          <w:b w:val="false"/>
          <w:i w:val="false"/>
          <w:caps w:val="false"/>
          <w:smallCaps w:val="false"/>
          <w:strike w:val="false"/>
          <w:dstrike w:val="false"/>
          <w:sz w:val="22"/>
          <w:u w:val="none"/>
          <w:effect w:val="none"/>
          <w:shd w:fill="FFFFFF" w:val="clear"/>
        </w:rPr>
      </w:pPr>
      <w:r>
        <w:rPr>
          <w:rFonts w:ascii="Arial;sans-serif" w:hAnsi="Arial;sans-serif"/>
          <w:b w:val="false"/>
          <w:i w:val="false"/>
          <w:caps w:val="false"/>
          <w:smallCaps w:val="false"/>
          <w:strike w:val="false"/>
          <w:dstrike w:val="false"/>
          <w:sz w:val="22"/>
          <w:u w:val="none"/>
          <w:effect w:val="none"/>
          <w:shd w:fill="FFFFFF" w:val="clear"/>
        </w:rPr>
        <w:t xml:space="preserve">buy-side and sell-side clients. The acquisition, which closed early in the fourth quarter, </w:t>
      </w:r>
    </w:p>
    <w:p>
      <w:pPr>
        <w:pStyle w:val="TextBody"/>
        <w:bidi w:val="0"/>
        <w:spacing w:lineRule="atLeast" w:line="160" w:before="0" w:after="0"/>
        <w:jc w:val="left"/>
        <w:rPr>
          <w:rFonts w:ascii="Arial;sans-serif" w:hAnsi="Arial;sans-serif"/>
          <w:b w:val="false"/>
          <w:i w:val="false"/>
          <w:caps w:val="false"/>
          <w:smallCaps w:val="false"/>
          <w:strike w:val="false"/>
          <w:dstrike w:val="false"/>
          <w:sz w:val="22"/>
          <w:u w:val="none"/>
          <w:effect w:val="none"/>
          <w:shd w:fill="FFFFFF" w:val="clear"/>
        </w:rPr>
      </w:pPr>
      <w:r>
        <w:rPr>
          <w:rFonts w:ascii="Arial;sans-serif" w:hAnsi="Arial;sans-serif"/>
          <w:b w:val="false"/>
          <w:i w:val="false"/>
          <w:caps w:val="false"/>
          <w:smallCaps w:val="false"/>
          <w:strike w:val="false"/>
          <w:dstrike w:val="false"/>
          <w:sz w:val="22"/>
          <w:u w:val="none"/>
          <w:effect w:val="none"/>
          <w:shd w:fill="FFFFFF" w:val="clear"/>
        </w:rPr>
        <w:t xml:space="preserve">enhances Nasdaq’s ability to serve a wider liquidity pool across off-exchange venues and </w:t>
      </w:r>
    </w:p>
    <w:p>
      <w:pPr>
        <w:pStyle w:val="TextBody"/>
        <w:bidi w:val="0"/>
        <w:spacing w:lineRule="atLeast" w:line="160" w:before="0" w:after="0"/>
        <w:jc w:val="left"/>
        <w:rPr>
          <w:rFonts w:ascii="Arial;sans-serif" w:hAnsi="Arial;sans-serif"/>
          <w:b w:val="false"/>
          <w:i w:val="false"/>
          <w:caps w:val="false"/>
          <w:smallCaps w:val="false"/>
          <w:strike w:val="false"/>
          <w:dstrike w:val="false"/>
          <w:sz w:val="22"/>
          <w:u w:val="none"/>
          <w:effect w:val="none"/>
          <w:shd w:fill="FFFFFF" w:val="clear"/>
        </w:rPr>
      </w:pPr>
      <w:r>
        <w:rPr>
          <w:rFonts w:ascii="Arial;sans-serif" w:hAnsi="Arial;sans-serif"/>
          <w:b w:val="false"/>
          <w:i w:val="false"/>
          <w:caps w:val="false"/>
          <w:smallCaps w:val="false"/>
          <w:strike w:val="false"/>
          <w:dstrike w:val="false"/>
          <w:sz w:val="22"/>
          <w:u w:val="none"/>
          <w:effect w:val="none"/>
          <w:shd w:fill="FFFFFF" w:val="clear"/>
        </w:rPr>
        <w:t xml:space="preserve">deliver institutional-grade liquidity and execution solutions to clients. </w:t>
      </w:r>
    </w:p>
    <w:p>
      <w:pPr>
        <w:pStyle w:val="TextBody"/>
        <w:bidi w:val="0"/>
        <w:spacing w:lineRule="atLeast" w:line="160" w:before="0" w:after="0"/>
        <w:jc w:val="left"/>
        <w:rPr>
          <w:shd w:fill="E4E4E4" w:val="clear"/>
        </w:rPr>
      </w:pPr>
      <w:r>
        <w:rPr>
          <w:caps w:val="false"/>
          <w:smallCaps w:val="false"/>
          <w:strike w:val="false"/>
          <w:dstrike w:val="false"/>
          <w:u w:val="none"/>
          <w:effect w:val="none"/>
          <w:shd w:fill="FFFFFF" w:val="clear"/>
        </w:rPr>
        <w:t>•</w:t>
      </w:r>
      <w:r>
        <w:rPr>
          <w:rFonts w:ascii="Arial;sans-serif" w:hAnsi="Arial;sans-serif"/>
          <w:b/>
          <w:i w:val="false"/>
          <w:caps w:val="false"/>
          <w:smallCaps w:val="false"/>
          <w:strike w:val="false"/>
          <w:dstrike w:val="false"/>
          <w:sz w:val="22"/>
          <w:u w:val="none"/>
          <w:effect w:val="none"/>
          <w:shd w:fill="FFFFFF" w:val="clear"/>
        </w:rPr>
        <w:t>Market Services set a new record</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i w:val="false"/>
          <w:caps w:val="false"/>
          <w:smallCaps w:val="false"/>
          <w:strike w:val="false"/>
          <w:dstrike w:val="false"/>
          <w:sz w:val="22"/>
          <w:u w:val="none"/>
          <w:effect w:val="none"/>
          <w:shd w:fill="FFFFFF" w:val="clear"/>
        </w:rPr>
        <w:t>in third quarter net revenue and continued</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i w:val="false"/>
          <w:caps w:val="false"/>
          <w:smallCaps w:val="false"/>
          <w:strike w:val="false"/>
          <w:dstrike w:val="false"/>
          <w:sz w:val="22"/>
          <w:u w:val="none"/>
          <w:effect w:val="none"/>
          <w:shd w:fill="FFFFFF" w:val="clear"/>
        </w:rPr>
        <w:t xml:space="preserve">to lead the </w:t>
      </w:r>
    </w:p>
    <w:p>
      <w:pPr>
        <w:pStyle w:val="TextBody"/>
        <w:bidi w:val="0"/>
        <w:spacing w:lineRule="atLeast" w:line="160" w:before="0" w:after="0"/>
        <w:jc w:val="left"/>
        <w:rPr>
          <w:rFonts w:ascii="Arial;sans-serif" w:hAnsi="Arial;sans-serif"/>
          <w:shd w:fill="E4E4E4" w:val="clear"/>
        </w:rPr>
      </w:pPr>
      <w:r>
        <w:rPr>
          <w:rFonts w:ascii="Arial;sans-serif" w:hAnsi="Arial;sans-serif"/>
          <w:b/>
          <w:i w:val="false"/>
          <w:caps w:val="false"/>
          <w:smallCaps w:val="false"/>
          <w:strike w:val="false"/>
          <w:dstrike w:val="false"/>
          <w:sz w:val="22"/>
          <w:u w:val="none"/>
          <w:effect w:val="none"/>
          <w:shd w:fill="FFFFFF" w:val="clear"/>
        </w:rPr>
        <w:t xml:space="preserve">evolution of markets including the transition to Always-On markets. </w:t>
      </w:r>
      <w:r>
        <w:rPr>
          <w:rFonts w:ascii="Arial;sans-serif" w:hAnsi="Arial;sans-serif"/>
          <w:b w:val="false"/>
          <w:i w:val="false"/>
          <w:caps w:val="false"/>
          <w:smallCaps w:val="false"/>
          <w:strike w:val="false"/>
          <w:dstrike w:val="false"/>
          <w:sz w:val="22"/>
          <w:u w:val="none"/>
          <w:effect w:val="none"/>
          <w:shd w:fill="FFFFFF" w:val="clear"/>
        </w:rPr>
        <w:t xml:space="preserve">Third quarter Market </w:t>
      </w:r>
    </w:p>
    <w:p>
      <w:pPr>
        <w:pStyle w:val="TextBody"/>
        <w:bidi w:val="0"/>
        <w:spacing w:lineRule="atLeast" w:line="160" w:before="0" w:after="0"/>
        <w:jc w:val="left"/>
        <w:rPr>
          <w:rFonts w:ascii="Arial;sans-serif" w:hAnsi="Arial;sans-serif"/>
          <w:b w:val="false"/>
          <w:i w:val="false"/>
          <w:caps w:val="false"/>
          <w:smallCaps w:val="false"/>
          <w:strike w:val="false"/>
          <w:dstrike w:val="false"/>
          <w:sz w:val="22"/>
          <w:u w:val="none"/>
          <w:effect w:val="none"/>
          <w:shd w:fill="FFFFFF" w:val="clear"/>
        </w:rPr>
      </w:pPr>
      <w:r>
        <w:rPr>
          <w:rFonts w:ascii="Arial;sans-serif" w:hAnsi="Arial;sans-serif"/>
          <w:b w:val="false"/>
          <w:i w:val="false"/>
          <w:caps w:val="false"/>
          <w:smallCaps w:val="false"/>
          <w:strike w:val="false"/>
          <w:dstrike w:val="false"/>
          <w:sz w:val="22"/>
          <w:u w:val="none"/>
          <w:effect w:val="none"/>
          <w:shd w:fill="FFFFFF" w:val="clear"/>
        </w:rPr>
        <w:t xml:space="preserve">Services net revenue benefitted from higher industry volumes across U.S. options and </w:t>
      </w:r>
    </w:p>
    <w:p>
      <w:pPr>
        <w:pStyle w:val="TextBody"/>
        <w:bidi w:val="0"/>
        <w:spacing w:lineRule="atLeast" w:line="160"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2"/>
          <w:u w:val="none"/>
          <w:effect w:val="none"/>
          <w:shd w:fill="FFFFFF" w:val="clear"/>
        </w:rPr>
        <w:t>European equities with robust performance in U.S. cash equities,</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which</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achieved higher</w:t>
      </w:r>
      <w:r>
        <w:rPr>
          <w:rFonts w:ascii="Arial;sans-serif" w:hAnsi="Arial;sans-serif"/>
          <w:caps w:val="false"/>
          <w:smallCaps w:val="false"/>
          <w:strike w:val="false"/>
          <w:dstrike w:val="false"/>
          <w:sz w:val="24"/>
          <w:u w:val="none"/>
          <w:effect w:val="none"/>
          <w:shd w:fill="FFFFFF" w:val="clear"/>
        </w:rPr>
        <w:t xml:space="preserve"> </w:t>
      </w:r>
    </w:p>
    <w:p>
      <w:pPr>
        <w:pStyle w:val="TextBody"/>
        <w:bidi w:val="0"/>
        <w:spacing w:lineRule="atLeast" w:line="160"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2"/>
          <w:u w:val="none"/>
          <w:effect w:val="none"/>
          <w:shd w:fill="FFFFFF" w:val="clear"/>
        </w:rPr>
        <w:t>market share and near record</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 xml:space="preserve">capture. The Nasdaq Stock Market remains on track to go live </w:t>
      </w:r>
    </w:p>
    <w:p>
      <w:pPr>
        <w:pStyle w:val="TextBody"/>
        <w:bidi w:val="0"/>
        <w:spacing w:lineRule="atLeast" w:line="160"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sz w:val="22"/>
          <w:u w:val="none"/>
          <w:effect w:val="none"/>
          <w:shd w:fill="FFFFFF" w:val="clear"/>
        </w:rPr>
        <w:t>with 23/5 trading on December 6, 2026,</w:t>
      </w:r>
      <w:r>
        <w:rPr>
          <w:rFonts w:ascii="Arial;sans-serif" w:hAnsi="Arial;sans-serif"/>
          <w:caps w:val="false"/>
          <w:smallCaps w:val="false"/>
          <w:strike w:val="false"/>
          <w:dstrike w:val="false"/>
          <w:sz w:val="24"/>
          <w:u w:val="none"/>
          <w:effect w:val="none"/>
          <w:shd w:fill="FFFFFF" w:val="clear"/>
        </w:rPr>
        <w:t xml:space="preserve"> </w:t>
      </w:r>
      <w:r>
        <w:rPr>
          <w:rFonts w:ascii="Arial;sans-serif" w:hAnsi="Arial;sans-serif"/>
          <w:b w:val="false"/>
          <w:i w:val="false"/>
          <w:caps w:val="false"/>
          <w:smallCaps w:val="false"/>
          <w:strike w:val="false"/>
          <w:dstrike w:val="false"/>
          <w:sz w:val="22"/>
          <w:u w:val="none"/>
          <w:effect w:val="none"/>
          <w:shd w:fill="FFFFFF" w:val="clear"/>
        </w:rPr>
        <w:t xml:space="preserve">expanding global access to U.S.-listed equities. </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i w:val="false"/>
          <w:caps w:val="false"/>
          <w:smallCaps w:val="false"/>
          <w:sz w:val="16"/>
          <w:shd w:fill="E4E4E4" w:val="clear"/>
        </w:rPr>
      </w:pPr>
      <w:r>
        <w:rPr>
          <w:rFonts w:ascii="Arial;sans-serif" w:hAnsi="Arial;sans-serif"/>
          <w:b/>
          <w:i w:val="false"/>
          <w:caps w:val="false"/>
          <w:smallCaps w:val="false"/>
          <w:sz w:val="16"/>
          <w:shd w:fill="E4E4E4" w:val="clear"/>
        </w:rPr>
        <w:t>____________</w:t>
      </w:r>
    </w:p>
    <w:p>
      <w:pPr>
        <w:pStyle w:val="TextBody"/>
        <w:bidi w:val="0"/>
        <w:spacing w:lineRule="atLeast" w:line="142" w:before="0" w:after="0"/>
        <w:jc w:val="left"/>
        <w:rPr>
          <w:rFonts w:ascii="Arial;sans-serif" w:hAnsi="Arial;sans-serif"/>
          <w:shd w:fill="E4E4E4" w:val="clear"/>
        </w:rPr>
      </w:pPr>
      <w:r>
        <w:rPr>
          <w:rFonts w:ascii="Arial;sans-serif" w:hAnsi="Arial;sans-serif"/>
          <w:b w:val="false"/>
          <w:i w:val="false"/>
          <w:caps w:val="false"/>
          <w:smallCaps w:val="false"/>
          <w:sz w:val="12"/>
          <w:shd w:fill="E4E4E4" w:val="clear"/>
        </w:rPr>
        <w:t xml:space="preserve">1 </w:t>
      </w:r>
      <w:r>
        <w:rPr>
          <w:rFonts w:ascii="Arial;sans-serif" w:hAnsi="Arial;sans-serif"/>
          <w:b w:val="false"/>
          <w:i w:val="false"/>
          <w:caps w:val="false"/>
          <w:smallCaps w:val="false"/>
          <w:sz w:val="18"/>
          <w:shd w:fill="E4E4E4" w:val="clear"/>
        </w:rPr>
        <w:t xml:space="preserve">Represents revenue less transaction-based expenses. </w:t>
      </w:r>
    </w:p>
    <w:p>
      <w:pPr>
        <w:pStyle w:val="TextBody"/>
        <w:bidi w:val="0"/>
        <w:spacing w:lineRule="atLeast" w:line="142" w:before="0" w:after="0"/>
        <w:jc w:val="left"/>
        <w:rPr>
          <w:rFonts w:ascii="Arial;sans-serif" w:hAnsi="Arial;sans-serif"/>
          <w:shd w:fill="E4E4E4" w:val="clear"/>
        </w:rPr>
      </w:pPr>
      <w:r>
        <w:rPr>
          <w:rFonts w:ascii="Arial;sans-serif" w:hAnsi="Arial;sans-serif"/>
          <w:b w:val="false"/>
          <w:i w:val="false"/>
          <w:caps w:val="false"/>
          <w:smallCaps w:val="false"/>
          <w:strike w:val="false"/>
          <w:dstrike w:val="false"/>
          <w:sz w:val="12"/>
          <w:u w:val="none"/>
          <w:effect w:val="none"/>
          <w:shd w:fill="FFFFFF" w:val="clear"/>
        </w:rPr>
        <w:t xml:space="preserve">2 </w:t>
      </w:r>
      <w:r>
        <w:rPr>
          <w:rFonts w:ascii="Arial;sans-serif" w:hAnsi="Arial;sans-serif"/>
          <w:b w:val="false"/>
          <w:i w:val="false"/>
          <w:caps w:val="false"/>
          <w:smallCaps w:val="false"/>
          <w:sz w:val="18"/>
          <w:shd w:fill="E4E4E4" w:val="clear"/>
        </w:rPr>
        <w:t xml:space="preserve">Organic change is generally calculated by removing the impacts of changes in foreign exchange rates, and </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 xml:space="preserve">acquisitions and divestitures during the one-year period post transaction. Adjusted and organic change for 3Q26 as </w:t>
      </w:r>
    </w:p>
    <w:p>
      <w:pPr>
        <w:pStyle w:val="TextBody"/>
        <w:bidi w:val="0"/>
        <w:spacing w:lineRule="atLeast" w:line="142" w:before="0" w:after="0"/>
        <w:jc w:val="left"/>
        <w:rPr>
          <w:rFonts w:ascii="Arial;sans-serif" w:hAnsi="Arial;sans-serif"/>
          <w:sz w:val="24"/>
          <w:shd w:fill="E4E4E4" w:val="clear"/>
        </w:rPr>
      </w:pPr>
      <w:r>
        <w:rPr>
          <w:rFonts w:ascii="Arial;sans-serif" w:hAnsi="Arial;sans-serif"/>
          <w:b w:val="false"/>
          <w:i w:val="false"/>
          <w:caps w:val="false"/>
          <w:smallCaps w:val="false"/>
          <w:sz w:val="18"/>
          <w:shd w:fill="E4E4E4" w:val="clear"/>
        </w:rPr>
        <w:t>compared to 3Q25 are equivalent as they include the same period over period adjustments</w:t>
      </w:r>
      <w:r>
        <w:rPr>
          <w:rFonts w:ascii="Arial;sans-serif" w:hAnsi="Arial;sans-serif"/>
          <w:b w:val="false"/>
          <w:i w:val="false"/>
          <w:caps w:val="false"/>
          <w:smallCaps w:val="false"/>
          <w:strike w:val="false"/>
          <w:dstrike w:val="false"/>
          <w:sz w:val="18"/>
          <w:u w:val="none"/>
          <w:effect w:val="none"/>
          <w:shd w:fill="FFFFFF" w:val="clear"/>
        </w:rPr>
        <w:t>.</w:t>
      </w:r>
      <w:r>
        <w:rPr>
          <w:rFonts w:ascii="Arial;sans-serif" w:hAnsi="Arial;sans-serif"/>
          <w:caps w:val="false"/>
          <w:smallCaps w:val="false"/>
          <w:strike w:val="false"/>
          <w:dstrike w:val="false"/>
          <w:sz w:val="24"/>
          <w:u w:val="none"/>
          <w:effect w:val="none"/>
          <w:shd w:fill="FFFFFF" w:val="clear"/>
        </w:rPr>
        <w:t xml:space="preserve"> </w:t>
      </w:r>
    </w:p>
    <w:p>
      <w:pPr>
        <w:pStyle w:val="TextBody"/>
        <w:bidi w:val="0"/>
        <w:spacing w:lineRule="atLeast" w:line="142" w:before="0" w:after="0"/>
        <w:jc w:val="left"/>
        <w:rPr>
          <w:rFonts w:ascii="Arial;sans-serif" w:hAnsi="Arial;sans-serif"/>
          <w:sz w:val="24"/>
          <w:shd w:fill="E4E4E4" w:val="clear"/>
        </w:rPr>
      </w:pPr>
      <w:r>
        <w:rPr>
          <w:rFonts w:ascii="Arial;sans-serif" w:hAnsi="Arial;sans-serif"/>
          <w:b w:val="false"/>
          <w:i w:val="false"/>
          <w:caps w:val="false"/>
          <w:smallCaps w:val="false"/>
          <w:sz w:val="12"/>
          <w:shd w:fill="E4E4E4" w:val="clear"/>
        </w:rPr>
        <w:t xml:space="preserve">3 </w:t>
      </w:r>
      <w:r>
        <w:rPr>
          <w:rFonts w:ascii="Arial;sans-serif" w:hAnsi="Arial;sans-serif"/>
          <w:b w:val="false"/>
          <w:i w:val="false"/>
          <w:caps w:val="false"/>
          <w:smallCaps w:val="false"/>
          <w:sz w:val="18"/>
          <w:shd w:fill="E4E4E4" w:val="clear"/>
        </w:rPr>
        <w:t>Solutions revenue constitutes revenue from our Capital Access Platforms and Financial Technology segments a</w:t>
      </w:r>
      <w:r>
        <w:rPr>
          <w:rFonts w:ascii="Arial;sans-serif" w:hAnsi="Arial;sans-serif"/>
          <w:b w:val="false"/>
          <w:i w:val="false"/>
          <w:caps w:val="false"/>
          <w:smallCaps w:val="false"/>
          <w:strike w:val="false"/>
          <w:dstrike w:val="false"/>
          <w:sz w:val="18"/>
          <w:u w:val="none"/>
          <w:effect w:val="none"/>
          <w:shd w:fill="E4E4E4" w:val="clear"/>
        </w:rPr>
        <w:t xml:space="preserve">s well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8"/>
          <w:u w:val="none"/>
          <w:effect w:val="none"/>
          <w:shd w:fill="E4E4E4" w:val="clear"/>
        </w:rPr>
      </w:pPr>
      <w:r>
        <w:rPr>
          <w:rFonts w:ascii="Arial;sans-serif" w:hAnsi="Arial;sans-serif"/>
          <w:b w:val="false"/>
          <w:i w:val="false"/>
          <w:caps w:val="false"/>
          <w:smallCaps w:val="false"/>
          <w:strike w:val="false"/>
          <w:dstrike w:val="false"/>
          <w:sz w:val="18"/>
          <w:u w:val="none"/>
          <w:effect w:val="none"/>
          <w:shd w:fill="E4E4E4" w:val="clear"/>
        </w:rPr>
        <w:t xml:space="preserve">as certain Other revenues. These Other revenues of $2 million and $4 million in 3Q26 and 3Q25, respectively, relates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8"/>
          <w:u w:val="none"/>
          <w:effect w:val="none"/>
          <w:shd w:fill="E4E4E4" w:val="clear"/>
        </w:rPr>
      </w:pPr>
      <w:r>
        <w:rPr>
          <w:rFonts w:ascii="Arial;sans-serif" w:hAnsi="Arial;sans-serif"/>
          <w:b w:val="false"/>
          <w:i w:val="false"/>
          <w:caps w:val="false"/>
          <w:smallCaps w:val="false"/>
          <w:strike w:val="false"/>
          <w:dstrike w:val="false"/>
          <w:sz w:val="18"/>
          <w:u w:val="none"/>
          <w:effect w:val="none"/>
          <w:shd w:fill="E4E4E4" w:val="clear"/>
        </w:rPr>
        <w:t xml:space="preserve">to the sale of our Nasdaq Fund Secondaries business and the sale of the Nasdaq Metrio platform and related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8"/>
          <w:u w:val="none"/>
          <w:effect w:val="none"/>
          <w:shd w:fill="E4E4E4" w:val="clear"/>
        </w:rPr>
      </w:pPr>
      <w:r>
        <w:rPr>
          <w:rFonts w:ascii="Arial;sans-serif" w:hAnsi="Arial;sans-serif"/>
          <w:b w:val="false"/>
          <w:i w:val="false"/>
          <w:caps w:val="false"/>
          <w:smallCaps w:val="false"/>
          <w:strike w:val="false"/>
          <w:dstrike w:val="false"/>
          <w:sz w:val="18"/>
          <w:u w:val="none"/>
          <w:effect w:val="none"/>
          <w:shd w:fill="E4E4E4" w:val="clear"/>
        </w:rPr>
        <w:t xml:space="preserve">customer contracts, which were both sold in 3Q26. Other revenues in 3Q25 also included $8 million related to the sale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8"/>
          <w:u w:val="none"/>
          <w:effect w:val="none"/>
          <w:shd w:fill="E4E4E4" w:val="clear"/>
        </w:rPr>
      </w:pPr>
      <w:r>
        <w:rPr>
          <w:rFonts w:ascii="Arial;sans-serif" w:hAnsi="Arial;sans-serif"/>
          <w:b w:val="false"/>
          <w:i w:val="false"/>
          <w:caps w:val="false"/>
          <w:smallCaps w:val="false"/>
          <w:strike w:val="false"/>
          <w:dstrike w:val="false"/>
          <w:sz w:val="18"/>
          <w:u w:val="none"/>
          <w:effect w:val="none"/>
          <w:shd w:fill="E4E4E4" w:val="clear"/>
        </w:rPr>
        <w:t xml:space="preserve">of the Solovis business, which was sold in 4Q25. These revenues were previously included in our Capital Access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8"/>
          <w:u w:val="none"/>
          <w:effect w:val="none"/>
          <w:shd w:fill="E4E4E4" w:val="clear"/>
        </w:rPr>
      </w:pPr>
      <w:r>
        <w:rPr>
          <w:rFonts w:ascii="Arial;sans-serif" w:hAnsi="Arial;sans-serif"/>
          <w:b w:val="false"/>
          <w:i w:val="false"/>
          <w:caps w:val="false"/>
          <w:smallCaps w:val="false"/>
          <w:strike w:val="false"/>
          <w:dstrike w:val="false"/>
          <w:sz w:val="18"/>
          <w:u w:val="none"/>
          <w:effect w:val="none"/>
          <w:shd w:fill="E4E4E4" w:val="clear"/>
        </w:rPr>
        <w:t xml:space="preserve">Platforms Segment. ARR and Annualized SaaS revenues for 3Q25 includes $42 million and $40 million, respectively, </w:t>
      </w:r>
    </w:p>
    <w:p>
      <w:pPr>
        <w:pStyle w:val="TextBody"/>
        <w:bidi w:val="0"/>
        <w:spacing w:lineRule="atLeast" w:line="142" w:before="0" w:after="0"/>
        <w:jc w:val="left"/>
        <w:rPr>
          <w:rFonts w:ascii="Arial;sans-serif" w:hAnsi="Arial;sans-serif"/>
          <w:b w:val="false"/>
          <w:i w:val="false"/>
          <w:caps w:val="false"/>
          <w:smallCaps w:val="false"/>
          <w:strike w:val="false"/>
          <w:dstrike w:val="false"/>
          <w:sz w:val="18"/>
          <w:u w:val="none"/>
          <w:effect w:val="none"/>
          <w:shd w:fill="E4E4E4" w:val="clear"/>
        </w:rPr>
      </w:pPr>
      <w:r>
        <w:rPr>
          <w:rFonts w:ascii="Arial;sans-serif" w:hAnsi="Arial;sans-serif"/>
          <w:b w:val="false"/>
          <w:i w:val="false"/>
          <w:caps w:val="false"/>
          <w:smallCaps w:val="false"/>
          <w:strike w:val="false"/>
          <w:dstrike w:val="false"/>
          <w:sz w:val="18"/>
          <w:u w:val="none"/>
          <w:effect w:val="none"/>
          <w:shd w:fill="E4E4E4" w:val="clear"/>
        </w:rPr>
        <w:t>related to these businesses.</w:t>
      </w:r>
    </w:p>
    <w:p>
      <w:pPr>
        <w:pStyle w:val="TextBody"/>
        <w:bidi w:val="0"/>
        <w:spacing w:lineRule="atLeast" w:line="142" w:before="0" w:after="0"/>
        <w:jc w:val="left"/>
        <w:rPr>
          <w:rFonts w:ascii="Arial;sans-serif" w:hAnsi="Arial;sans-serif"/>
          <w:shd w:fill="E4E4E4" w:val="clear"/>
        </w:rPr>
      </w:pPr>
      <w:r>
        <w:rPr>
          <w:rFonts w:ascii="Arial;sans-serif" w:hAnsi="Arial;sans-serif"/>
          <w:b w:val="false"/>
          <w:i w:val="false"/>
          <w:caps w:val="false"/>
          <w:smallCaps w:val="false"/>
          <w:sz w:val="12"/>
          <w:shd w:fill="E4E4E4" w:val="clear"/>
        </w:rPr>
        <w:t xml:space="preserve">4 </w:t>
      </w:r>
      <w:r>
        <w:rPr>
          <w:rFonts w:ascii="Arial;sans-serif" w:hAnsi="Arial;sans-serif"/>
          <w:b w:val="false"/>
          <w:i w:val="false"/>
          <w:caps w:val="false"/>
          <w:smallCaps w:val="false"/>
          <w:sz w:val="18"/>
          <w:shd w:fill="E4E4E4" w:val="clear"/>
        </w:rPr>
        <w:t xml:space="preserve">ARR for a given period is the current annualized value derived from subscription contracts with a defined contract </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 xml:space="preserve">value. This excludes contracts that are not recurring, are one-time in nature or where the contract value fluctuates </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 xml:space="preserve">based on defined metrics. For AxiomSL and Calypso recurring revenue contracts, the amount included in ARR is </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 xml:space="preserve">consistent with the amount that we invoice the customer during the current period. Additionally, for AxiomSL and </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 xml:space="preserve">Calypso recurring revenue contracts that include annual values that increase over time, we include in ARR only the </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 xml:space="preserve">annualized value of components of the contract that are considered active as of the date of the ARR calculation. We </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 xml:space="preserve">do not include the future committed increases in the contract value as of the date of the ARR calculation. ACV </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 xml:space="preserve">Bookings for our Financial Technology segment excluding Financial Crime Management Technology refers to the </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 xml:space="preserve">maximum annualized committed contract value at the time of signature, excluding one-time fees and not accounting </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 xml:space="preserve">for initial discounts. For Financial Crime Management Technology, ACV bookings is calculated by averaging the total </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 xml:space="preserve">contract value over the contract term, including fixed increases. ARR and ACV are supplemental metrics to help </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 xml:space="preserve">evaluate the performance of the business. These measures are not a replacement for, and should be viewed </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 xml:space="preserve">independently of, U.S. GAAP revenue and deferred revenue as they are performance metrics, and are not intended to </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 xml:space="preserve">be combined with any of these items. ARR and ACV are not a forecast, and the active contracts at the end of a </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 xml:space="preserve">reporting period used in calculating these measures may or may not be extended or renewed by our customers. There </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 xml:space="preserve">is no U.S. GAAP measure comparable to ARR or ACV. As these metrics do not have any standardized definition they </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 xml:space="preserve">may not be comparable to similarly titled measures presented by other companies and should be viewed </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 xml:space="preserve">independently of revenue and deferred revenue and are not intended to be combined with or to replace either of those </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items.</w:t>
      </w:r>
    </w:p>
    <w:p>
      <w:pPr>
        <w:pStyle w:val="TextBody"/>
        <w:bidi w:val="0"/>
        <w:spacing w:lineRule="atLeast" w:line="142" w:before="0" w:after="0"/>
        <w:jc w:val="left"/>
        <w:rPr>
          <w:rFonts w:ascii="Arial;sans-serif" w:hAnsi="Arial;sans-serif"/>
          <w:shd w:fill="E4E4E4" w:val="clear"/>
        </w:rPr>
      </w:pPr>
      <w:r>
        <w:rPr>
          <w:rFonts w:ascii="Arial;sans-serif" w:hAnsi="Arial;sans-serif"/>
          <w:b w:val="false"/>
          <w:i w:val="false"/>
          <w:caps w:val="false"/>
          <w:smallCaps w:val="false"/>
          <w:sz w:val="12"/>
          <w:shd w:fill="E4E4E4" w:val="clear"/>
        </w:rPr>
        <w:t xml:space="preserve">5 </w:t>
      </w:r>
      <w:r>
        <w:rPr>
          <w:rFonts w:ascii="Arial;sans-serif" w:hAnsi="Arial;sans-serif"/>
          <w:b w:val="false"/>
          <w:i w:val="false"/>
          <w:caps w:val="false"/>
          <w:smallCaps w:val="false"/>
          <w:sz w:val="18"/>
          <w:shd w:fill="E4E4E4" w:val="clear"/>
        </w:rPr>
        <w:t xml:space="preserve">Refer to our reconciliations of U.S. GAAP to non-GAAP metrics and organic and adjusted impacts, included in the </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attached schedules.</w:t>
      </w:r>
    </w:p>
    <w:p>
      <w:pPr>
        <w:pStyle w:val="TextBody"/>
        <w:bidi w:val="0"/>
        <w:spacing w:lineRule="atLeast" w:line="142" w:before="0" w:after="0"/>
        <w:jc w:val="left"/>
        <w:rPr>
          <w:rFonts w:ascii="Arial;sans-serif" w:hAnsi="Arial;sans-serif"/>
          <w:shd w:fill="E4E4E4" w:val="clear"/>
        </w:rPr>
      </w:pPr>
      <w:r>
        <w:rPr>
          <w:rFonts w:ascii="Arial;sans-serif" w:hAnsi="Arial;sans-serif"/>
          <w:b w:val="false"/>
          <w:i w:val="false"/>
          <w:caps w:val="false"/>
          <w:smallCaps w:val="false"/>
          <w:sz w:val="12"/>
          <w:shd w:fill="E4E4E4" w:val="clear"/>
        </w:rPr>
        <w:t xml:space="preserve">6 </w:t>
      </w:r>
      <w:r>
        <w:rPr>
          <w:rFonts w:ascii="Arial;sans-serif" w:hAnsi="Arial;sans-serif"/>
          <w:b w:val="false"/>
          <w:i w:val="false"/>
          <w:caps w:val="false"/>
          <w:smallCaps w:val="false"/>
          <w:sz w:val="18"/>
          <w:shd w:fill="E4E4E4" w:val="clear"/>
        </w:rPr>
        <w:t xml:space="preserve">U.S. GAAP operating expense and tax rate guidance are not provided due to the inherent difficulty in quantifying </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 xml:space="preserve">certain amounts due to a variety of factors including the unpredictability in the movement in foreign currency rates, as </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well as future charges or reversals outside of the normal course of business.</w:t>
      </w:r>
    </w:p>
    <w:p>
      <w:pPr>
        <w:pStyle w:val="TextBody"/>
        <w:bidi w:val="0"/>
        <w:spacing w:lineRule="atLeast" w:line="142" w:before="0" w:after="0"/>
        <w:jc w:val="left"/>
        <w:rPr>
          <w:rFonts w:ascii="Arial;sans-serif" w:hAnsi="Arial;sans-serif"/>
          <w:shd w:fill="E4E4E4" w:val="clear"/>
        </w:rPr>
      </w:pPr>
      <w:r>
        <w:rPr>
          <w:rFonts w:ascii="Arial;sans-serif" w:hAnsi="Arial;sans-serif"/>
          <w:b w:val="false"/>
          <w:i w:val="false"/>
          <w:caps w:val="false"/>
          <w:smallCaps w:val="false"/>
          <w:sz w:val="12"/>
          <w:shd w:fill="E4E4E4" w:val="clear"/>
        </w:rPr>
        <w:t xml:space="preserve">7 </w:t>
      </w:r>
      <w:r>
        <w:rPr>
          <w:rFonts w:ascii="Arial;sans-serif" w:hAnsi="Arial;sans-serif"/>
          <w:b w:val="false"/>
          <w:i w:val="false"/>
          <w:caps w:val="false"/>
          <w:smallCaps w:val="false"/>
          <w:sz w:val="18"/>
          <w:shd w:fill="E4E4E4" w:val="clear"/>
        </w:rPr>
        <w:t xml:space="preserve">Listings proceeds for the quarter reflect current quarter IPO activity only and YTD proceeds reflect greenshoe shares </w:t>
      </w:r>
    </w:p>
    <w:p>
      <w:pPr>
        <w:pStyle w:val="TextBody"/>
        <w:bidi w:val="0"/>
        <w:spacing w:lineRule="atLeast" w:line="142" w:before="0" w:after="0"/>
        <w:jc w:val="left"/>
        <w:rPr>
          <w:rFonts w:ascii="Arial;sans-serif" w:hAnsi="Arial;sans-serif"/>
          <w:sz w:val="24"/>
          <w:shd w:fill="E4E4E4" w:val="clear"/>
        </w:rPr>
      </w:pPr>
      <w:r>
        <w:rPr>
          <w:rFonts w:ascii="Arial;sans-serif" w:hAnsi="Arial;sans-serif"/>
          <w:b w:val="false"/>
          <w:i w:val="false"/>
          <w:caps w:val="false"/>
          <w:smallCaps w:val="false"/>
          <w:sz w:val="18"/>
          <w:shd w:fill="E4E4E4" w:val="clear"/>
        </w:rPr>
        <w:t xml:space="preserve">exercised after the quarter in which the </w:t>
      </w:r>
      <w:r>
        <w:rPr>
          <w:rFonts w:ascii="Arial;sans-serif" w:hAnsi="Arial;sans-serif"/>
          <w:b w:val="false"/>
          <w:i w:val="false"/>
          <w:caps w:val="false"/>
          <w:smallCaps w:val="false"/>
          <w:strike w:val="false"/>
          <w:dstrike w:val="false"/>
          <w:sz w:val="18"/>
          <w:u w:val="none"/>
          <w:effect w:val="none"/>
          <w:shd w:fill="E4E4E4" w:val="clear"/>
        </w:rPr>
        <w:t>IPO occurred</w:t>
      </w:r>
      <w:r>
        <w:rPr>
          <w:rFonts w:ascii="Arial;sans-serif" w:hAnsi="Arial;sans-serif"/>
          <w:b w:val="false"/>
          <w:i w:val="false"/>
          <w:caps w:val="false"/>
          <w:smallCaps w:val="false"/>
          <w:sz w:val="18"/>
          <w:shd w:fill="E4E4E4" w:val="clear"/>
        </w:rPr>
        <w:t xml:space="preserve">. </w:t>
      </w:r>
    </w:p>
    <w:p>
      <w:pPr>
        <w:pStyle w:val="TextBody"/>
        <w:bidi w:val="0"/>
        <w:spacing w:lineRule="atLeast" w:line="142" w:before="0" w:after="0"/>
        <w:jc w:val="left"/>
        <w:rPr>
          <w:rFonts w:ascii="Arial;sans-serif" w:hAnsi="Arial;sans-serif"/>
          <w:shd w:fill="E4E4E4" w:val="clear"/>
        </w:rPr>
      </w:pPr>
      <w:r>
        <w:rPr>
          <w:rFonts w:ascii="Arial;sans-serif" w:hAnsi="Arial;sans-serif"/>
          <w:b w:val="false"/>
          <w:i w:val="false"/>
          <w:caps w:val="false"/>
          <w:smallCaps w:val="false"/>
          <w:sz w:val="12"/>
          <w:shd w:fill="E4E4E4" w:val="clear"/>
        </w:rPr>
        <w:t xml:space="preserve">8 </w:t>
      </w:r>
      <w:r>
        <w:rPr>
          <w:rFonts w:ascii="Arial;sans-serif" w:hAnsi="Arial;sans-serif"/>
          <w:b w:val="false"/>
          <w:i w:val="false"/>
          <w:caps w:val="false"/>
          <w:smallCaps w:val="false"/>
          <w:sz w:val="18"/>
          <w:shd w:fill="E4E4E4" w:val="clear"/>
        </w:rPr>
        <w:t xml:space="preserve">Listings win rate includes eligible U.S. operating companies, direct listings, and SPAC business combinations. </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ABOUT NASDAQ</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Nasdaq (Nasdaq: NDAQ) is a leading technology platform that powers the world’s economies. We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architect the infrastructure of the world’s most modern markets, power the innovation economy, and build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trust in the financial system. We empower economic opportunity by designing and deploying advanced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technology, data, and intelligence solutions that enable our clients to capture opportunities, navigate risk,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and strengthen resilience. To learn more about the company, technology solutions and career </w:t>
      </w:r>
    </w:p>
    <w:p>
      <w:pPr>
        <w:pStyle w:val="TextBody"/>
        <w:bidi w:val="0"/>
        <w:spacing w:lineRule="atLeast" w:line="146" w:before="0" w:after="0"/>
        <w:jc w:val="left"/>
        <w:rPr>
          <w:rFonts w:ascii="Arial;sans-serif" w:hAnsi="Arial;sans-serif"/>
          <w:shd w:fill="E4E4E4" w:val="clear"/>
        </w:rPr>
      </w:pPr>
      <w:r>
        <w:rPr>
          <w:rFonts w:ascii="Arial;sans-serif" w:hAnsi="Arial;sans-serif"/>
          <w:b w:val="false"/>
          <w:i w:val="false"/>
          <w:caps w:val="false"/>
          <w:smallCaps w:val="false"/>
          <w:sz w:val="20"/>
          <w:shd w:fill="E4E4E4" w:val="clear"/>
        </w:rPr>
        <w:t xml:space="preserve">opportunities, visit us on </w:t>
      </w:r>
      <w:r>
        <w:rPr>
          <w:rFonts w:ascii="Arial;sans-serif" w:hAnsi="Arial;sans-serif"/>
          <w:b w:val="false"/>
          <w:i w:val="false"/>
          <w:caps w:val="false"/>
          <w:smallCaps w:val="false"/>
          <w:color w:val="0563C1"/>
          <w:sz w:val="20"/>
          <w:u w:val="single"/>
          <w:shd w:fill="E4E4E4" w:val="clear"/>
        </w:rPr>
        <w:t>LinkedIn</w:t>
      </w:r>
      <w:r>
        <w:rPr>
          <w:rFonts w:ascii="Arial;sans-serif" w:hAnsi="Arial;sans-serif"/>
          <w:b w:val="false"/>
          <w:i w:val="false"/>
          <w:caps w:val="false"/>
          <w:smallCaps w:val="false"/>
          <w:sz w:val="20"/>
          <w:shd w:fill="E4E4E4" w:val="clear"/>
        </w:rPr>
        <w:t xml:space="preserve">, on X </w:t>
      </w:r>
      <w:r>
        <w:rPr>
          <w:rFonts w:ascii="Arial;sans-serif" w:hAnsi="Arial;sans-serif"/>
          <w:b w:val="false"/>
          <w:i w:val="false"/>
          <w:caps w:val="false"/>
          <w:smallCaps w:val="false"/>
          <w:color w:val="0563C1"/>
          <w:sz w:val="20"/>
          <w:u w:val="single"/>
          <w:shd w:fill="E4E4E4" w:val="clear"/>
        </w:rPr>
        <w:t>@Nasdaq</w:t>
      </w:r>
      <w:r>
        <w:rPr>
          <w:rFonts w:ascii="Arial;sans-serif" w:hAnsi="Arial;sans-serif"/>
          <w:b w:val="false"/>
          <w:i w:val="false"/>
          <w:caps w:val="false"/>
          <w:smallCaps w:val="false"/>
          <w:sz w:val="20"/>
          <w:shd w:fill="E4E4E4" w:val="clear"/>
        </w:rPr>
        <w:t xml:space="preserve">, or at </w:t>
      </w:r>
      <w:r>
        <w:rPr>
          <w:rFonts w:ascii="Arial;sans-serif" w:hAnsi="Arial;sans-serif"/>
          <w:b w:val="false"/>
          <w:i w:val="false"/>
          <w:caps w:val="false"/>
          <w:smallCaps w:val="false"/>
          <w:color w:val="0563C1"/>
          <w:sz w:val="20"/>
          <w:u w:val="single"/>
          <w:shd w:fill="E4E4E4" w:val="clear"/>
        </w:rPr>
        <w:t>www.nasdaq.com</w:t>
      </w:r>
      <w:r>
        <w:rPr>
          <w:rFonts w:ascii="Arial;sans-serif" w:hAnsi="Arial;sans-serif"/>
          <w:b w:val="false"/>
          <w:i w:val="false"/>
          <w:caps w:val="false"/>
          <w:smallCaps w:val="false"/>
          <w:strike w:val="false"/>
          <w:dstrike w:val="false"/>
          <w:color w:val="1F497D"/>
          <w:sz w:val="20"/>
          <w:u w:val="none"/>
          <w:effect w:val="none"/>
          <w:shd w:fill="E4E4E4" w:val="clear"/>
        </w:rPr>
        <w:t xml:space="preserve">. </w:t>
      </w: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NON-GAAP INFORMATION</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In addition to disclosing results determined in accordance with U.S. GAAP, Nasdaq also discloses certain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non-GAAP results of operations, including, but not limited to, non-GAAP net income, non-GAAP diluted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earnings per share, non-GAAP operating income, and non-GAAP operating expenses, that include certain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adjustments or exclude certain charges and gains that are described in the reconciliation tables of U.S.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GAAP to non-GAAP information provided at the end of this release. Management uses this non-GAAP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information internally, along with U.S. GAAP information, in evaluating our performance and in making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financial and operational decisions. We believe our presentation of these measures provides investors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with greater transparency and supplemental data relating to our financial condition and results of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operations. In addition, we believe the presentation of these measures is useful to investors for period-to-</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period comparisons of results as the items described below in the reconciliation tables do not reflect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ongoing operating performance.</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These measures are not in accordance with, or an alternative to, U.S. GAAP, and may be different from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non-GAAP measures used by other companies. In addition, other companies, including companies in our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industry, may calculate such measures differently, which reduces their usefulness as a comparative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measure. Investors should not rely on any single financial measure when evaluating our business. This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information should be considered as supplemental in nature and is not meant as a substitute for our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operating results in accordance with U.S. GAAP. We recommend investors review the U.S. GAAP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financial measures included in this earnings release. When viewed in conjunction with our U.S. GAAP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results and the accompanying reconciliations, we believe these non-GAAP measures provide greater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transparency and a more complete understanding of factors affecting our business than U.S. GAAP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measures alone.</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We understand that analysts and investors regularly rely on non-GAAP financial measures, such as those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noted above, to assess operating performance. We use these measures because they highlight trends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more clearly in our business that may not otherwise be apparent when relying solely on U.S. GAAP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financial measures, since these measures eliminate from our results specific financial items that have less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bearing on our ongoing operating performance.</w:t>
      </w:r>
    </w:p>
    <w:p>
      <w:pPr>
        <w:pStyle w:val="TextBody"/>
        <w:bidi w:val="0"/>
        <w:spacing w:lineRule="atLeast" w:line="146" w:before="0" w:after="0"/>
        <w:jc w:val="left"/>
        <w:rPr>
          <w:rFonts w:ascii="Arial;sans-serif" w:hAnsi="Arial;sans-serif"/>
          <w:shd w:fill="E4E4E4" w:val="clear"/>
        </w:rPr>
      </w:pPr>
      <w:r>
        <w:rPr>
          <w:rFonts w:ascii="Arial;sans-serif" w:hAnsi="Arial;sans-serif"/>
          <w:b w:val="false"/>
          <w:i/>
          <w:sz w:val="20"/>
          <w:shd w:fill="E4E4E4" w:val="clear"/>
        </w:rPr>
        <w:t>Foreign exchange impact:</w:t>
      </w:r>
      <w:r>
        <w:rPr>
          <w:rFonts w:ascii="Arial;sans-serif" w:hAnsi="Arial;sans-serif"/>
          <w:caps w:val="false"/>
          <w:smallCaps w:val="false"/>
          <w:shd w:fill="E4E4E4" w:val="clear"/>
        </w:rPr>
        <w:t xml:space="preserve"> </w:t>
      </w:r>
      <w:r>
        <w:rPr>
          <w:rFonts w:ascii="Arial;sans-serif" w:hAnsi="Arial;sans-serif"/>
          <w:b w:val="false"/>
          <w:i w:val="false"/>
          <w:caps w:val="false"/>
          <w:smallCaps w:val="false"/>
          <w:sz w:val="20"/>
          <w:shd w:fill="E4E4E4" w:val="clear"/>
        </w:rPr>
        <w:t xml:space="preserve">In countries with currencies other than the U.S. dollar, revenue and expenses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are translated using monthly average exchange rates. Certain discussions in this release isolate the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impact of year-over-year foreign currency fluctuations to better measure the comparability of operating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results between periods. Operating results excluding the impact of foreign currency fluctuations are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calculated by translating the current period’s results by the prior period’s exchange rates.</w:t>
      </w: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CAUTIONARY NOTE REGARDING FORWARD-LOOKING STATEMENTS</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Information set forth in this communication contains forward-looking statements that involve a number of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risks and uncertainties. Nasdaq cautions readers that any forward-looking information is not a guarantee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of future performance and that actual results could differ materially from those contained in the forward-</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looking information. Such forward-looking statements include, but are not limited to (i) projections relating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to our future financial results, total shareholder returns, growth, dividend program, trading volumes,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products and services, ability to transition to new business models, taxes and achievement of synergy </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7</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targets, (ii) statements about the closing or implementation dates and benefits of certain acquisitions,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divestitures and other strategic, restructuring, technology, de-leveraging and capital allocation initiatives,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(iii) statements about our integrations of our recent acquisitions, (iv) statements relating to any litigation or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regulatory or government investigation or action to which we are or could become a party, and (v) other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statements that are not historical facts. Forward-looking statements involve a number of risks,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uncertainties or other factors beyond Nasdaq’s control. These factors include, but are not limited to,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Nasdaq’s ability to implement its strategic initiatives, economic, political and market conditions and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fluctuations, geopolitical instability, government and industry regulation, interest rate risk, and U.S. and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global competition. Further information on these and other factors are detailed in Nasdaq’s filings with the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U.S. Securities and Exchange Commission, including its annual reports on Form 10-K and quarterly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reports on Form 10-Q, which are available on Nasdaq’s investor relations website at http://ir.nasdaq.com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and the SEC’s website at www.sec.gov. Nasdaq undertakes no obligation to publicly update any forward-</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looking statement, whether as a result of new information, future events or otherwise.</w:t>
      </w: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WEBSITE DISCLOSURE</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Nasdaq intends to use its website, ir.nasdaq.com, as a means for disclosing material non-public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information and for complying with SEC Regulation FD and other disclosure obligations. </w:t>
      </w: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8</w:t>
      </w:r>
      <w:r>
        <mc:AlternateContent>
          <mc:Choice Requires="wps">
            <w:drawing>
              <wp:anchor behindDoc="0" distT="0" distB="0" distL="0" distR="0" simplePos="0" locked="0" layoutInCell="1" allowOverlap="1" relativeHeight="44">
                <wp:simplePos x="0" y="0"/>
                <wp:positionH relativeFrom="page">
                  <wp:posOffset>914400</wp:posOffset>
                </wp:positionH>
                <wp:positionV relativeFrom="line">
                  <wp:posOffset>635</wp:posOffset>
                </wp:positionV>
                <wp:extent cx="5943600" cy="1303655"/>
                <wp:effectExtent l="0" t="0" r="0" b="0"/>
                <wp:wrapNone/>
                <wp:docPr id="11" name="Frame41"/>
                <a:graphic xmlns:a="http://schemas.openxmlformats.org/drawingml/2006/main">
                  <a:graphicData uri="http://schemas.microsoft.com/office/word/2010/wordprocessingShape">
                    <wps:wsp>
                      <wps:cNvSpPr txBox="1"/>
                      <wps:spPr>
                        <a:xfrm>
                          <a:off x="0" y="0"/>
                          <a:ext cx="5943600" cy="1303655"/>
                        </a:xfrm>
                        <a:prstGeom prst="rect"/>
                        <a:solidFill>
                          <a:srgbClr val="FFFFFF"/>
                        </a:solidFill>
                      </wps:spPr>
                      <wps:txbx>
                        <w:txbxContent>
                          <w:tbl>
                            <w:tblPr>
                              <w:tblW w:w="9101" w:type="dxa"/>
                              <w:jc w:val="left"/>
                              <w:tblInd w:w="0" w:type="dxa"/>
                              <w:tblLayout w:type="fixed"/>
                              <w:tblCellMar>
                                <w:top w:w="28" w:type="dxa"/>
                                <w:left w:w="28" w:type="dxa"/>
                                <w:bottom w:w="28" w:type="dxa"/>
                                <w:right w:w="28" w:type="dxa"/>
                              </w:tblCellMar>
                            </w:tblPr>
                            <w:tblGrid>
                              <w:gridCol w:w="4481"/>
                              <w:gridCol w:w="109"/>
                              <w:gridCol w:w="4511"/>
                            </w:tblGrid>
                            <w:tr>
                              <w:trPr/>
                              <w:tc>
                                <w:tcPr>
                                  <w:tcW w:w="4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1" w:type="dxa"/>
                                  <w:tcBorders/>
                                  <w:vAlign w:val="center"/>
                                </w:tcPr>
                                <w:p>
                                  <w:pPr>
                                    <w:pStyle w:val="TableContents"/>
                                    <w:bidi w:val="0"/>
                                    <w:spacing w:before="0" w:after="283"/>
                                    <w:jc w:val="left"/>
                                    <w:rPr>
                                      <w:sz w:val="4"/>
                                      <w:szCs w:val="4"/>
                                    </w:rPr>
                                  </w:pPr>
                                  <w:r>
                                    <w:rPr>
                                      <w:sz w:val="4"/>
                                      <w:szCs w:val="4"/>
                                    </w:rPr>
                                  </w:r>
                                </w:p>
                              </w:tc>
                            </w:tr>
                            <w:tr>
                              <w:trPr/>
                              <w:tc>
                                <w:tcPr>
                                  <w:tcW w:w="4481" w:type="dxa"/>
                                  <w:tcBorders>
                                    <w:top w:val="single" w:sz="4" w:space="0" w:color="0092BC"/>
                                    <w:left w:val="single" w:sz="4" w:space="0" w:color="0092BC"/>
                                    <w:right w:val="single" w:sz="4" w:space="0" w:color="0092BC"/>
                                  </w:tcBorders>
                                  <w:shd w:fill="0092BC"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4" w:space="0" w:color="0092BC"/>
                                    <w:right w:val="single" w:sz="4" w:space="0" w:color="0092BC"/>
                                  </w:tcBorders>
                                  <w:tcMar>
                                    <w:top w:w="0" w:type="dxa"/>
                                    <w:bottom w:w="0" w:type="dxa"/>
                                  </w:tcMar>
                                  <w:vAlign w:val="center"/>
                                </w:tcPr>
                                <w:p>
                                  <w:pPr>
                                    <w:pStyle w:val="TableContents"/>
                                    <w:bidi w:val="0"/>
                                    <w:spacing w:before="0" w:after="283"/>
                                    <w:jc w:val="left"/>
                                    <w:rPr>
                                      <w:sz w:val="4"/>
                                      <w:szCs w:val="4"/>
                                    </w:rPr>
                                  </w:pPr>
                                  <w:r>
                                    <w:rPr>
                                      <w:sz w:val="4"/>
                                      <w:szCs w:val="4"/>
                                    </w:rPr>
                                  </w:r>
                                </w:p>
                              </w:tc>
                              <w:tc>
                                <w:tcPr>
                                  <w:tcW w:w="4511" w:type="dxa"/>
                                  <w:tcBorders>
                                    <w:top w:val="single" w:sz="4" w:space="0" w:color="0092BC"/>
                                    <w:left w:val="single" w:sz="4" w:space="0" w:color="0092BC"/>
                                    <w:right w:val="single" w:sz="4" w:space="0" w:color="0092BC"/>
                                  </w:tcBorders>
                                  <w:shd w:fill="0092BC" w:val="clear"/>
                                  <w:tcMar>
                                    <w:bottom w:w="0" w:type="dxa"/>
                                  </w:tcMar>
                                  <w:vAlign w:val="center"/>
                                </w:tcPr>
                                <w:p>
                                  <w:pPr>
                                    <w:pStyle w:val="TableContents"/>
                                    <w:bidi w:val="0"/>
                                    <w:spacing w:before="0" w:after="283"/>
                                    <w:jc w:val="left"/>
                                    <w:rPr>
                                      <w:sz w:val="4"/>
                                      <w:szCs w:val="4"/>
                                    </w:rPr>
                                  </w:pPr>
                                  <w:r>
                                    <w:rPr>
                                      <w:sz w:val="4"/>
                                      <w:szCs w:val="4"/>
                                    </w:rPr>
                                  </w:r>
                                </w:p>
                              </w:tc>
                            </w:tr>
                            <w:tr>
                              <w:trPr/>
                              <w:tc>
                                <w:tcPr>
                                  <w:tcW w:w="4481" w:type="dxa"/>
                                  <w:tcBorders>
                                    <w:left w:val="single" w:sz="4" w:space="0" w:color="0092BC"/>
                                    <w:right w:val="single" w:sz="4" w:space="0" w:color="0092BC"/>
                                  </w:tcBorders>
                                  <w:tcMar>
                                    <w:top w:w="0" w:type="dxa"/>
                                    <w:bottom w:w="0" w:type="dxa"/>
                                  </w:tcMar>
                                  <w:vAlign w:val="center"/>
                                </w:tcPr>
                                <w:p>
                                  <w:pPr>
                                    <w:pStyle w:val="TableContents"/>
                                    <w:bidi w:val="0"/>
                                    <w:spacing w:lineRule="atLeast" w:line="194"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David Lurie</w:t>
                                  </w:r>
                                </w:p>
                              </w:tc>
                              <w:tc>
                                <w:tcPr>
                                  <w:tcW w:w="109" w:type="dxa"/>
                                  <w:tcBorders>
                                    <w:left w:val="single" w:sz="4" w:space="0" w:color="0092BC"/>
                                    <w:right w:val="single" w:sz="4" w:space="0" w:color="0092BC"/>
                                  </w:tcBorders>
                                  <w:tcMar>
                                    <w:top w:w="0" w:type="dxa"/>
                                    <w:bottom w:w="0" w:type="dxa"/>
                                  </w:tcMar>
                                  <w:vAlign w:val="center"/>
                                </w:tcPr>
                                <w:p>
                                  <w:pPr>
                                    <w:pStyle w:val="TableContents"/>
                                    <w:bidi w:val="0"/>
                                    <w:spacing w:before="0" w:after="283"/>
                                    <w:jc w:val="left"/>
                                    <w:rPr>
                                      <w:sz w:val="4"/>
                                      <w:szCs w:val="4"/>
                                    </w:rPr>
                                  </w:pPr>
                                  <w:r>
                                    <w:rPr>
                                      <w:sz w:val="4"/>
                                      <w:szCs w:val="4"/>
                                    </w:rPr>
                                  </w:r>
                                </w:p>
                              </w:tc>
                              <w:tc>
                                <w:tcPr>
                                  <w:tcW w:w="4511" w:type="dxa"/>
                                  <w:tcBorders>
                                    <w:left w:val="single" w:sz="4" w:space="0" w:color="0092BC"/>
                                    <w:right w:val="single" w:sz="4" w:space="0" w:color="0092BC"/>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481" w:type="dxa"/>
                                  <w:tcBorders>
                                    <w:left w:val="single" w:sz="4" w:space="0" w:color="0092BC"/>
                                    <w:right w:val="single" w:sz="4" w:space="0" w:color="0092BC"/>
                                  </w:tcBorders>
                                  <w:shd w:fill="FFFFFF" w:val="clear"/>
                                  <w:tcMar>
                                    <w:top w:w="0" w:type="dxa"/>
                                    <w:bottom w:w="0" w:type="dxa"/>
                                  </w:tcMar>
                                  <w:vAlign w:val="center"/>
                                </w:tcPr>
                                <w:p>
                                  <w:pPr>
                                    <w:pStyle w:val="TableContents"/>
                                    <w:bidi w:val="0"/>
                                    <w:spacing w:lineRule="atLeast" w:line="194"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914.538.0533</w:t>
                                  </w:r>
                                </w:p>
                              </w:tc>
                              <w:tc>
                                <w:tcPr>
                                  <w:tcW w:w="109" w:type="dxa"/>
                                  <w:tcBorders>
                                    <w:left w:val="single" w:sz="4" w:space="0" w:color="0092BC"/>
                                    <w:right w:val="single" w:sz="4" w:space="0" w:color="0092BC"/>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c>
                                <w:tcPr>
                                  <w:tcW w:w="4511" w:type="dxa"/>
                                  <w:tcBorders>
                                    <w:left w:val="single" w:sz="4" w:space="0" w:color="0092BC"/>
                                    <w:right w:val="single" w:sz="4" w:space="0" w:color="0092BC"/>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481" w:type="dxa"/>
                                  <w:tcBorders>
                                    <w:left w:val="single" w:sz="4" w:space="0" w:color="0092BC"/>
                                    <w:bottom w:val="single" w:sz="4" w:space="0" w:color="0092BC"/>
                                    <w:right w:val="single" w:sz="4" w:space="0" w:color="0092BC"/>
                                  </w:tcBorders>
                                  <w:tcMar>
                                    <w:top w:w="0" w:type="dxa"/>
                                  </w:tcMar>
                                  <w:vAlign w:val="center"/>
                                </w:tcPr>
                                <w:p>
                                  <w:pPr>
                                    <w:pStyle w:val="TableContents"/>
                                    <w:bidi w:val="0"/>
                                    <w:spacing w:lineRule="atLeast" w:line="194"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David.Lurie@nasdaq.com</w:t>
                                  </w:r>
                                </w:p>
                              </w:tc>
                              <w:tc>
                                <w:tcPr>
                                  <w:tcW w:w="109" w:type="dxa"/>
                                  <w:tcBorders>
                                    <w:left w:val="single" w:sz="4" w:space="0" w:color="0092BC"/>
                                    <w:right w:val="single" w:sz="4" w:space="0" w:color="0092BC"/>
                                  </w:tcBorders>
                                  <w:tcMar>
                                    <w:top w:w="0" w:type="dxa"/>
                                    <w:bottom w:w="0" w:type="dxa"/>
                                  </w:tcMar>
                                  <w:vAlign w:val="center"/>
                                </w:tcPr>
                                <w:p>
                                  <w:pPr>
                                    <w:pStyle w:val="TableContents"/>
                                    <w:bidi w:val="0"/>
                                    <w:spacing w:before="0" w:after="283"/>
                                    <w:jc w:val="left"/>
                                    <w:rPr>
                                      <w:sz w:val="4"/>
                                      <w:szCs w:val="4"/>
                                    </w:rPr>
                                  </w:pPr>
                                  <w:r>
                                    <w:rPr>
                                      <w:sz w:val="4"/>
                                      <w:szCs w:val="4"/>
                                    </w:rPr>
                                  </w:r>
                                </w:p>
                              </w:tc>
                              <w:tc>
                                <w:tcPr>
                                  <w:tcW w:w="4511" w:type="dxa"/>
                                  <w:tcBorders>
                                    <w:left w:val="single" w:sz="4" w:space="0" w:color="0092BC"/>
                                    <w:bottom w:val="single" w:sz="4" w:space="0" w:color="0092BC"/>
                                    <w:right w:val="single" w:sz="4" w:space="0" w:color="0092BC"/>
                                  </w:tcBorders>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102.65pt;mso-wrap-distance-left:0pt;mso-wrap-distance-right:0pt;mso-wrap-distance-top:0pt;mso-wrap-distance-bottom:0pt;margin-top:0pt;mso-position-vertical:top;mso-position-vertical-relative:text;margin-left:72pt;mso-position-horizontal-relative:page">
                <v:textbox>
                  <w:txbxContent>
                    <w:tbl>
                      <w:tblPr>
                        <w:tblW w:w="9101" w:type="dxa"/>
                        <w:jc w:val="left"/>
                        <w:tblInd w:w="0" w:type="dxa"/>
                        <w:tblLayout w:type="fixed"/>
                        <w:tblCellMar>
                          <w:top w:w="28" w:type="dxa"/>
                          <w:left w:w="28" w:type="dxa"/>
                          <w:bottom w:w="28" w:type="dxa"/>
                          <w:right w:w="28" w:type="dxa"/>
                        </w:tblCellMar>
                      </w:tblPr>
                      <w:tblGrid>
                        <w:gridCol w:w="4481"/>
                        <w:gridCol w:w="109"/>
                        <w:gridCol w:w="4511"/>
                      </w:tblGrid>
                      <w:tr>
                        <w:trPr/>
                        <w:tc>
                          <w:tcPr>
                            <w:tcW w:w="4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1" w:type="dxa"/>
                            <w:tcBorders/>
                            <w:vAlign w:val="center"/>
                          </w:tcPr>
                          <w:p>
                            <w:pPr>
                              <w:pStyle w:val="TableContents"/>
                              <w:bidi w:val="0"/>
                              <w:spacing w:before="0" w:after="283"/>
                              <w:jc w:val="left"/>
                              <w:rPr>
                                <w:sz w:val="4"/>
                                <w:szCs w:val="4"/>
                              </w:rPr>
                            </w:pPr>
                            <w:r>
                              <w:rPr>
                                <w:sz w:val="4"/>
                                <w:szCs w:val="4"/>
                              </w:rPr>
                            </w:r>
                          </w:p>
                        </w:tc>
                      </w:tr>
                      <w:tr>
                        <w:trPr/>
                        <w:tc>
                          <w:tcPr>
                            <w:tcW w:w="4481" w:type="dxa"/>
                            <w:tcBorders>
                              <w:top w:val="single" w:sz="4" w:space="0" w:color="0092BC"/>
                              <w:left w:val="single" w:sz="4" w:space="0" w:color="0092BC"/>
                              <w:right w:val="single" w:sz="4" w:space="0" w:color="0092BC"/>
                            </w:tcBorders>
                            <w:shd w:fill="0092BC" w:val="clear"/>
                            <w:tcMar>
                              <w:bottom w:w="0" w:type="dxa"/>
                            </w:tcMar>
                            <w:vAlign w:val="center"/>
                          </w:tcPr>
                          <w:p>
                            <w:pPr>
                              <w:pStyle w:val="TableContents"/>
                              <w:bidi w:val="0"/>
                              <w:spacing w:before="0" w:after="283"/>
                              <w:jc w:val="left"/>
                              <w:rPr>
                                <w:sz w:val="4"/>
                                <w:szCs w:val="4"/>
                              </w:rPr>
                            </w:pPr>
                            <w:r>
                              <w:rPr>
                                <w:sz w:val="4"/>
                                <w:szCs w:val="4"/>
                              </w:rPr>
                            </w:r>
                          </w:p>
                        </w:tc>
                        <w:tc>
                          <w:tcPr>
                            <w:tcW w:w="109" w:type="dxa"/>
                            <w:tcBorders>
                              <w:left w:val="single" w:sz="4" w:space="0" w:color="0092BC"/>
                              <w:right w:val="single" w:sz="4" w:space="0" w:color="0092BC"/>
                            </w:tcBorders>
                            <w:tcMar>
                              <w:top w:w="0" w:type="dxa"/>
                              <w:bottom w:w="0" w:type="dxa"/>
                            </w:tcMar>
                            <w:vAlign w:val="center"/>
                          </w:tcPr>
                          <w:p>
                            <w:pPr>
                              <w:pStyle w:val="TableContents"/>
                              <w:bidi w:val="0"/>
                              <w:spacing w:before="0" w:after="283"/>
                              <w:jc w:val="left"/>
                              <w:rPr>
                                <w:sz w:val="4"/>
                                <w:szCs w:val="4"/>
                              </w:rPr>
                            </w:pPr>
                            <w:r>
                              <w:rPr>
                                <w:sz w:val="4"/>
                                <w:szCs w:val="4"/>
                              </w:rPr>
                            </w:r>
                          </w:p>
                        </w:tc>
                        <w:tc>
                          <w:tcPr>
                            <w:tcW w:w="4511" w:type="dxa"/>
                            <w:tcBorders>
                              <w:top w:val="single" w:sz="4" w:space="0" w:color="0092BC"/>
                              <w:left w:val="single" w:sz="4" w:space="0" w:color="0092BC"/>
                              <w:right w:val="single" w:sz="4" w:space="0" w:color="0092BC"/>
                            </w:tcBorders>
                            <w:shd w:fill="0092BC" w:val="clear"/>
                            <w:tcMar>
                              <w:bottom w:w="0" w:type="dxa"/>
                            </w:tcMar>
                            <w:vAlign w:val="center"/>
                          </w:tcPr>
                          <w:p>
                            <w:pPr>
                              <w:pStyle w:val="TableContents"/>
                              <w:bidi w:val="0"/>
                              <w:spacing w:before="0" w:after="283"/>
                              <w:jc w:val="left"/>
                              <w:rPr>
                                <w:sz w:val="4"/>
                                <w:szCs w:val="4"/>
                              </w:rPr>
                            </w:pPr>
                            <w:r>
                              <w:rPr>
                                <w:sz w:val="4"/>
                                <w:szCs w:val="4"/>
                              </w:rPr>
                            </w:r>
                          </w:p>
                        </w:tc>
                      </w:tr>
                      <w:tr>
                        <w:trPr/>
                        <w:tc>
                          <w:tcPr>
                            <w:tcW w:w="4481" w:type="dxa"/>
                            <w:tcBorders>
                              <w:left w:val="single" w:sz="4" w:space="0" w:color="0092BC"/>
                              <w:right w:val="single" w:sz="4" w:space="0" w:color="0092BC"/>
                            </w:tcBorders>
                            <w:tcMar>
                              <w:top w:w="0" w:type="dxa"/>
                              <w:bottom w:w="0" w:type="dxa"/>
                            </w:tcMar>
                            <w:vAlign w:val="center"/>
                          </w:tcPr>
                          <w:p>
                            <w:pPr>
                              <w:pStyle w:val="TableContents"/>
                              <w:bidi w:val="0"/>
                              <w:spacing w:lineRule="atLeast" w:line="194"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David Lurie</w:t>
                            </w:r>
                          </w:p>
                        </w:tc>
                        <w:tc>
                          <w:tcPr>
                            <w:tcW w:w="109" w:type="dxa"/>
                            <w:tcBorders>
                              <w:left w:val="single" w:sz="4" w:space="0" w:color="0092BC"/>
                              <w:right w:val="single" w:sz="4" w:space="0" w:color="0092BC"/>
                            </w:tcBorders>
                            <w:tcMar>
                              <w:top w:w="0" w:type="dxa"/>
                              <w:bottom w:w="0" w:type="dxa"/>
                            </w:tcMar>
                            <w:vAlign w:val="center"/>
                          </w:tcPr>
                          <w:p>
                            <w:pPr>
                              <w:pStyle w:val="TableContents"/>
                              <w:bidi w:val="0"/>
                              <w:spacing w:before="0" w:after="283"/>
                              <w:jc w:val="left"/>
                              <w:rPr>
                                <w:sz w:val="4"/>
                                <w:szCs w:val="4"/>
                              </w:rPr>
                            </w:pPr>
                            <w:r>
                              <w:rPr>
                                <w:sz w:val="4"/>
                                <w:szCs w:val="4"/>
                              </w:rPr>
                            </w:r>
                          </w:p>
                        </w:tc>
                        <w:tc>
                          <w:tcPr>
                            <w:tcW w:w="4511" w:type="dxa"/>
                            <w:tcBorders>
                              <w:left w:val="single" w:sz="4" w:space="0" w:color="0092BC"/>
                              <w:right w:val="single" w:sz="4" w:space="0" w:color="0092BC"/>
                            </w:tcBorders>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481" w:type="dxa"/>
                            <w:tcBorders>
                              <w:left w:val="single" w:sz="4" w:space="0" w:color="0092BC"/>
                              <w:right w:val="single" w:sz="4" w:space="0" w:color="0092BC"/>
                            </w:tcBorders>
                            <w:shd w:fill="FFFFFF" w:val="clear"/>
                            <w:tcMar>
                              <w:top w:w="0" w:type="dxa"/>
                              <w:bottom w:w="0" w:type="dxa"/>
                            </w:tcMar>
                            <w:vAlign w:val="center"/>
                          </w:tcPr>
                          <w:p>
                            <w:pPr>
                              <w:pStyle w:val="TableContents"/>
                              <w:bidi w:val="0"/>
                              <w:spacing w:lineRule="atLeast" w:line="194"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914.538.0533</w:t>
                            </w:r>
                          </w:p>
                        </w:tc>
                        <w:tc>
                          <w:tcPr>
                            <w:tcW w:w="109" w:type="dxa"/>
                            <w:tcBorders>
                              <w:left w:val="single" w:sz="4" w:space="0" w:color="0092BC"/>
                              <w:right w:val="single" w:sz="4" w:space="0" w:color="0092BC"/>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c>
                          <w:tcPr>
                            <w:tcW w:w="4511" w:type="dxa"/>
                            <w:tcBorders>
                              <w:left w:val="single" w:sz="4" w:space="0" w:color="0092BC"/>
                              <w:right w:val="single" w:sz="4" w:space="0" w:color="0092BC"/>
                            </w:tcBorders>
                            <w:shd w:fill="FFFFFF" w:val="clear"/>
                            <w:tcMar>
                              <w:top w:w="0" w:type="dxa"/>
                              <w:bottom w:w="0" w:type="dxa"/>
                            </w:tcMar>
                            <w:vAlign w:val="center"/>
                          </w:tcPr>
                          <w:p>
                            <w:pPr>
                              <w:pStyle w:val="TableContents"/>
                              <w:bidi w:val="0"/>
                              <w:spacing w:before="0" w:after="283"/>
                              <w:jc w:val="left"/>
                              <w:rPr>
                                <w:sz w:val="4"/>
                                <w:szCs w:val="4"/>
                              </w:rPr>
                            </w:pPr>
                            <w:r>
                              <w:rPr>
                                <w:sz w:val="4"/>
                                <w:szCs w:val="4"/>
                              </w:rPr>
                            </w:r>
                          </w:p>
                        </w:tc>
                      </w:tr>
                      <w:tr>
                        <w:trPr/>
                        <w:tc>
                          <w:tcPr>
                            <w:tcW w:w="4481" w:type="dxa"/>
                            <w:tcBorders>
                              <w:left w:val="single" w:sz="4" w:space="0" w:color="0092BC"/>
                              <w:bottom w:val="single" w:sz="4" w:space="0" w:color="0092BC"/>
                              <w:right w:val="single" w:sz="4" w:space="0" w:color="0092BC"/>
                            </w:tcBorders>
                            <w:tcMar>
                              <w:top w:w="0" w:type="dxa"/>
                            </w:tcMar>
                            <w:vAlign w:val="center"/>
                          </w:tcPr>
                          <w:p>
                            <w:pPr>
                              <w:pStyle w:val="TableContents"/>
                              <w:bidi w:val="0"/>
                              <w:spacing w:lineRule="atLeast" w:line="194" w:before="0" w:after="0"/>
                              <w:jc w:val="left"/>
                              <w:rPr>
                                <w:rFonts w:ascii="Inter;sans-serif" w:hAnsi="Inter;sans-serif"/>
                                <w:b w:val="false"/>
                                <w:i w:val="false"/>
                                <w:caps w:val="false"/>
                                <w:smallCaps w:val="false"/>
                                <w:strike w:val="false"/>
                                <w:dstrike w:val="false"/>
                                <w:color w:val="000000"/>
                                <w:sz w:val="20"/>
                                <w:u w:val="none"/>
                                <w:effect w:val="none"/>
                              </w:rPr>
                            </w:pPr>
                            <w:r>
                              <w:rPr>
                                <w:rFonts w:ascii="Inter;sans-serif" w:hAnsi="Inter;sans-serif"/>
                                <w:b w:val="false"/>
                                <w:i w:val="false"/>
                                <w:caps w:val="false"/>
                                <w:smallCaps w:val="false"/>
                                <w:strike w:val="false"/>
                                <w:dstrike w:val="false"/>
                                <w:color w:val="000000"/>
                                <w:sz w:val="20"/>
                                <w:u w:val="none"/>
                                <w:effect w:val="none"/>
                              </w:rPr>
                              <w:t>David.Lurie@nasdaq.com</w:t>
                            </w:r>
                          </w:p>
                        </w:tc>
                        <w:tc>
                          <w:tcPr>
                            <w:tcW w:w="109" w:type="dxa"/>
                            <w:tcBorders>
                              <w:left w:val="single" w:sz="4" w:space="0" w:color="0092BC"/>
                              <w:right w:val="single" w:sz="4" w:space="0" w:color="0092BC"/>
                            </w:tcBorders>
                            <w:tcMar>
                              <w:top w:w="0" w:type="dxa"/>
                              <w:bottom w:w="0" w:type="dxa"/>
                            </w:tcMar>
                            <w:vAlign w:val="center"/>
                          </w:tcPr>
                          <w:p>
                            <w:pPr>
                              <w:pStyle w:val="TableContents"/>
                              <w:bidi w:val="0"/>
                              <w:spacing w:before="0" w:after="283"/>
                              <w:jc w:val="left"/>
                              <w:rPr>
                                <w:sz w:val="4"/>
                                <w:szCs w:val="4"/>
                              </w:rPr>
                            </w:pPr>
                            <w:r>
                              <w:rPr>
                                <w:sz w:val="4"/>
                                <w:szCs w:val="4"/>
                              </w:rPr>
                            </w:r>
                          </w:p>
                        </w:tc>
                        <w:tc>
                          <w:tcPr>
                            <w:tcW w:w="4511" w:type="dxa"/>
                            <w:tcBorders>
                              <w:left w:val="single" w:sz="4" w:space="0" w:color="0092BC"/>
                              <w:bottom w:val="single" w:sz="4" w:space="0" w:color="0092BC"/>
                              <w:right w:val="single" w:sz="4" w:space="0" w:color="0092BC"/>
                            </w:tcBorders>
                            <w:tcMar>
                              <w:top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781300" cy="155575"/>
                <wp:effectExtent l="0" t="0" r="0" b="0"/>
                <wp:wrapNone/>
                <wp:docPr id="12" name="Frame42"/>
                <a:graphic xmlns:a="http://schemas.openxmlformats.org/drawingml/2006/main">
                  <a:graphicData uri="http://schemas.microsoft.com/office/word/2010/wordprocessingShape">
                    <wps:wsp>
                      <wps:cNvSpPr txBox="1"/>
                      <wps:spPr>
                        <a:xfrm>
                          <a:off x="0" y="0"/>
                          <a:ext cx="2781300" cy="155575"/>
                        </a:xfrm>
                        <a:prstGeom prst="rect"/>
                        <a:solidFill>
                          <a:srgbClr val="FFFFFF"/>
                        </a:solidFill>
                      </wps:spPr>
                      <wps:txbx>
                        <w:txbxContent>
                          <w:p>
                            <w:pPr>
                              <w:pStyle w:val="TextBody"/>
                              <w:bidi w:val="0"/>
                              <w:spacing w:lineRule="atLeast" w:line="203" w:before="0" w:after="0"/>
                              <w:jc w:val="left"/>
                              <w:rPr>
                                <w:rFonts w:ascii="Inter;sans-serif" w:hAnsi="Inter;sans-serif"/>
                                <w:b w:val="false"/>
                                <w:i w:val="false"/>
                                <w:caps w:val="false"/>
                                <w:smallCaps w:val="false"/>
                                <w:strike w:val="false"/>
                                <w:dstrike w:val="false"/>
                                <w:color w:val="FFFFFF"/>
                                <w:sz w:val="21"/>
                                <w:u w:val="none"/>
                                <w:effect w:val="none"/>
                              </w:rPr>
                            </w:pPr>
                            <w:r>
                              <w:rPr>
                                <w:rFonts w:ascii="Inter;sans-serif" w:hAnsi="Inter;sans-serif"/>
                                <w:b w:val="false"/>
                                <w:i w:val="false"/>
                                <w:caps w:val="false"/>
                                <w:smallCaps w:val="false"/>
                                <w:strike w:val="false"/>
                                <w:dstrike w:val="false"/>
                                <w:color w:val="FFFFFF"/>
                                <w:sz w:val="21"/>
                                <w:u w:val="none"/>
                                <w:effect w:val="none"/>
                              </w:rPr>
                              <w:t>Media Relations Contact</w:t>
                            </w:r>
                          </w:p>
                        </w:txbxContent>
                      </wps:txbx>
                      <wps:bodyPr anchor="t" lIns="0" tIns="0" rIns="0" bIns="0">
                        <a:noAutofit/>
                      </wps:bodyPr>
                    </wps:wsp>
                  </a:graphicData>
                </a:graphic>
              </wp:anchor>
            </w:drawing>
          </mc:Choice>
          <mc:Fallback>
            <w:pict>
              <v:rect style="position:absolute;rotation:-0;width:219pt;height:1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3" w:before="0" w:after="0"/>
                        <w:jc w:val="left"/>
                        <w:rPr>
                          <w:rFonts w:ascii="Inter;sans-serif" w:hAnsi="Inter;sans-serif"/>
                          <w:b w:val="false"/>
                          <w:i w:val="false"/>
                          <w:caps w:val="false"/>
                          <w:smallCaps w:val="false"/>
                          <w:strike w:val="false"/>
                          <w:dstrike w:val="false"/>
                          <w:color w:val="FFFFFF"/>
                          <w:sz w:val="21"/>
                          <w:u w:val="none"/>
                          <w:effect w:val="none"/>
                        </w:rPr>
                      </w:pPr>
                      <w:r>
                        <w:rPr>
                          <w:rFonts w:ascii="Inter;sans-serif" w:hAnsi="Inter;sans-serif"/>
                          <w:b w:val="false"/>
                          <w:i w:val="false"/>
                          <w:caps w:val="false"/>
                          <w:smallCaps w:val="false"/>
                          <w:strike w:val="false"/>
                          <w:dstrike w:val="false"/>
                          <w:color w:val="FFFFFF"/>
                          <w:sz w:val="21"/>
                          <w:u w:val="none"/>
                          <w:effect w:val="none"/>
                        </w:rPr>
                        <w:t>Media Relations Contact</w:t>
                      </w:r>
                    </w:p>
                  </w:txbxContent>
                </v:textbox>
                <w10:wrap type="none"/>
              </v:rect>
            </w:pict>
          </mc:Fallback>
        </mc:AlternateContent>
      </w:r>
      <w:r>
        <mc:AlternateContent>
          <mc:Choice Requires="wps">
            <w:drawing>
              <wp:anchor behindDoc="0" distT="0" distB="0" distL="0" distR="0" simplePos="0" locked="0" layoutInCell="1" allowOverlap="1" relativeHeight="49">
                <wp:simplePos x="0" y="0"/>
                <wp:positionH relativeFrom="page">
                  <wp:posOffset>3162300</wp:posOffset>
                </wp:positionH>
                <wp:positionV relativeFrom="line">
                  <wp:posOffset>635</wp:posOffset>
                </wp:positionV>
                <wp:extent cx="2781300" cy="155575"/>
                <wp:effectExtent l="0" t="0" r="0" b="0"/>
                <wp:wrapNone/>
                <wp:docPr id="13" name="Frame43"/>
                <a:graphic xmlns:a="http://schemas.openxmlformats.org/drawingml/2006/main">
                  <a:graphicData uri="http://schemas.microsoft.com/office/word/2010/wordprocessingShape">
                    <wps:wsp>
                      <wps:cNvSpPr txBox="1"/>
                      <wps:spPr>
                        <a:xfrm>
                          <a:off x="0" y="0"/>
                          <a:ext cx="2781300" cy="155575"/>
                        </a:xfrm>
                        <a:prstGeom prst="rect"/>
                        <a:solidFill>
                          <a:srgbClr val="FFFFFF"/>
                        </a:solidFill>
                      </wps:spPr>
                      <wps:txbx>
                        <w:txbxContent>
                          <w:p>
                            <w:pPr>
                              <w:pStyle w:val="TextBody"/>
                              <w:bidi w:val="0"/>
                              <w:spacing w:lineRule="atLeast" w:line="203" w:before="0" w:after="0"/>
                              <w:jc w:val="left"/>
                              <w:rPr>
                                <w:rFonts w:ascii="Inter;sans-serif" w:hAnsi="Inter;sans-serif"/>
                                <w:b w:val="false"/>
                                <w:i w:val="false"/>
                                <w:caps w:val="false"/>
                                <w:smallCaps w:val="false"/>
                                <w:strike w:val="false"/>
                                <w:dstrike w:val="false"/>
                                <w:color w:val="FFFFFF"/>
                                <w:sz w:val="21"/>
                                <w:u w:val="none"/>
                                <w:effect w:val="none"/>
                              </w:rPr>
                            </w:pPr>
                            <w:r>
                              <w:rPr>
                                <w:rFonts w:ascii="Inter;sans-serif" w:hAnsi="Inter;sans-serif"/>
                                <w:b w:val="false"/>
                                <w:i w:val="false"/>
                                <w:caps w:val="false"/>
                                <w:smallCaps w:val="false"/>
                                <w:strike w:val="false"/>
                                <w:dstrike w:val="false"/>
                                <w:color w:val="FFFFFF"/>
                                <w:sz w:val="21"/>
                                <w:u w:val="none"/>
                                <w:effect w:val="none"/>
                              </w:rPr>
                              <w:t>Investor Relations Contact</w:t>
                            </w:r>
                          </w:p>
                        </w:txbxContent>
                      </wps:txbx>
                      <wps:bodyPr anchor="t" lIns="0" tIns="0" rIns="0" bIns="0">
                        <a:noAutofit/>
                      </wps:bodyPr>
                    </wps:wsp>
                  </a:graphicData>
                </a:graphic>
              </wp:anchor>
            </w:drawing>
          </mc:Choice>
          <mc:Fallback>
            <w:pict>
              <v:rect style="position:absolute;rotation:-0;width:219pt;height:12.25pt;mso-wrap-distance-left:0pt;mso-wrap-distance-right:0pt;mso-wrap-distance-top:0pt;mso-wrap-distance-bottom:0pt;margin-top:0pt;mso-position-vertical:top;mso-position-vertical-relative:text;margin-left:249pt;mso-position-horizontal-relative:page">
                <v:textbox>
                  <w:txbxContent>
                    <w:p>
                      <w:pPr>
                        <w:pStyle w:val="TextBody"/>
                        <w:bidi w:val="0"/>
                        <w:spacing w:lineRule="atLeast" w:line="203" w:before="0" w:after="0"/>
                        <w:jc w:val="left"/>
                        <w:rPr>
                          <w:rFonts w:ascii="Inter;sans-serif" w:hAnsi="Inter;sans-serif"/>
                          <w:b w:val="false"/>
                          <w:i w:val="false"/>
                          <w:caps w:val="false"/>
                          <w:smallCaps w:val="false"/>
                          <w:strike w:val="false"/>
                          <w:dstrike w:val="false"/>
                          <w:color w:val="FFFFFF"/>
                          <w:sz w:val="21"/>
                          <w:u w:val="none"/>
                          <w:effect w:val="none"/>
                        </w:rPr>
                      </w:pPr>
                      <w:r>
                        <w:rPr>
                          <w:rFonts w:ascii="Inter;sans-serif" w:hAnsi="Inter;sans-serif"/>
                          <w:b w:val="false"/>
                          <w:i w:val="false"/>
                          <w:caps w:val="false"/>
                          <w:smallCaps w:val="false"/>
                          <w:strike w:val="false"/>
                          <w:dstrike w:val="false"/>
                          <w:color w:val="FFFFFF"/>
                          <w:sz w:val="21"/>
                          <w:u w:val="none"/>
                          <w:effect w:val="none"/>
                        </w:rPr>
                        <w:t>Investor Relations Contact</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9</w:t>
      </w:r>
      <w:r>
        <mc:AlternateContent>
          <mc:Choice Requires="wps">
            <w:drawing>
              <wp:anchor behindDoc="0" distT="0" distB="0" distL="0" distR="0" simplePos="0" locked="0" layoutInCell="1" allowOverlap="1" relativeHeight="50">
                <wp:simplePos x="0" y="0"/>
                <wp:positionH relativeFrom="page">
                  <wp:posOffset>800100</wp:posOffset>
                </wp:positionH>
                <wp:positionV relativeFrom="line">
                  <wp:posOffset>635</wp:posOffset>
                </wp:positionV>
                <wp:extent cx="6096000" cy="9972040"/>
                <wp:effectExtent l="0" t="0" r="0" b="0"/>
                <wp:wrapNone/>
                <wp:docPr id="14" name="Frame47"/>
                <a:graphic xmlns:a="http://schemas.openxmlformats.org/drawingml/2006/main">
                  <a:graphicData uri="http://schemas.microsoft.com/office/word/2010/wordprocessingShape">
                    <wps:wsp>
                      <wps:cNvSpPr txBox="1"/>
                      <wps:spPr>
                        <a:xfrm>
                          <a:off x="0" y="0"/>
                          <a:ext cx="6096000" cy="9972040"/>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1728"/>
                              <w:gridCol w:w="1170"/>
                              <w:gridCol w:w="985"/>
                              <w:gridCol w:w="985"/>
                              <w:gridCol w:w="985"/>
                              <w:gridCol w:w="985"/>
                              <w:gridCol w:w="985"/>
                              <w:gridCol w:w="985"/>
                              <w:gridCol w:w="1397"/>
                            </w:tblGrid>
                            <w:tr>
                              <w:trPr/>
                              <w:tc>
                                <w:tcPr>
                                  <w:tcW w:w="172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Condensed Consolidated Statements of Income</w:t>
                                  </w:r>
                                </w:p>
                              </w:tc>
                            </w:tr>
                            <w:tr>
                              <w:trPr/>
                              <w:tc>
                                <w:tcPr>
                                  <w:tcW w:w="10205" w:type="dxa"/>
                                  <w:gridSpan w:val="9"/>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(in millions, except per share amounts)</w:t>
                                  </w:r>
                                </w:p>
                              </w:tc>
                            </w:tr>
                            <w:tr>
                              <w:trPr/>
                              <w:tc>
                                <w:tcPr>
                                  <w:tcW w:w="10205" w:type="dxa"/>
                                  <w:gridSpan w:val="9"/>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(unaudited)</w:t>
                                  </w:r>
                                </w:p>
                              </w:tc>
                            </w:tr>
                            <w:tr>
                              <w:trPr/>
                              <w:tc>
                                <w:tcPr>
                                  <w:tcW w:w="2898" w:type="dxa"/>
                                  <w:gridSpan w:val="2"/>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3367" w:type="dxa"/>
                                  <w:gridSpan w:val="3"/>
                                  <w:tcBorders/>
                                  <w:shd w:fill="FFFFFF" w:val="cle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before="0" w:after="283"/>
                                    <w:jc w:val="left"/>
                                    <w:rPr>
                                      <w:sz w:val="4"/>
                                      <w:szCs w:val="4"/>
                                    </w:rPr>
                                  </w:pPr>
                                  <w:r>
                                    <w:rPr>
                                      <w:sz w:val="4"/>
                                      <w:szCs w:val="4"/>
                                    </w:rPr>
                                  </w:r>
                                </w:p>
                              </w:tc>
                              <w:tc>
                                <w:tcPr>
                                  <w:tcW w:w="29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33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Revenues:</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Capital Access Platforms</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Financial Technology</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Market Services</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Other Revenues</w:t>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Transaction-based expenses:</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Transaction rebates</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Brokerage, clearance and exchange fees</w:t>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Revenues less transaction-based expenses</w:t>
                                  </w:r>
                                </w:p>
                              </w:tc>
                              <w:tc>
                                <w:tcPr>
                                  <w:tcW w:w="9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Operating Expenses:</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Compensation and benefits</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Professional and contract services</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Technology and communication infrastructure</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Occupancy</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General, administrative and other</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Marketing and advertising</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Depreciation and amortization</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Regulatory</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Merger and strategic initiatives</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Restructuring charges</w:t>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tcBorders/>
                                  <w:vAlign w:val="center"/>
                                </w:tcPr>
                                <w:p>
                                  <w:pPr>
                                    <w:pStyle w:val="TableContents"/>
                                    <w:bidi w:val="0"/>
                                    <w:spacing w:lineRule="atLeast" w:line="146"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1170"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Operating income</w:t>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Interest income</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Interest expense</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Net gain (loss) on divestitures</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Other income (loss)</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Net income from unconsolidated investees</w:t>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Income before income taxes</w:t>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Income tax provision</w:t>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Net income</w:t>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Net loss attributable to noncontrolling interests</w:t>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Net income attributable to Nasdaq</w:t>
                                  </w:r>
                                </w:p>
                              </w:tc>
                              <w:tc>
                                <w:tcPr>
                                  <w:tcW w:w="98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before="0" w:after="283"/>
                                    <w:jc w:val="left"/>
                                    <w:rPr>
                                      <w:sz w:val="4"/>
                                      <w:szCs w:val="4"/>
                                    </w:rPr>
                                  </w:pPr>
                                  <w:r>
                                    <w:rPr>
                                      <w:sz w:val="4"/>
                                      <w:szCs w:val="4"/>
                                    </w:rPr>
                                  </w:r>
                                </w:p>
                              </w:tc>
                              <w:tc>
                                <w:tcPr>
                                  <w:tcW w:w="985"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Per share information:</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Basic earnings per share</w:t>
                                  </w:r>
                                </w:p>
                              </w:tc>
                              <w:tc>
                                <w:tcPr>
                                  <w:tcW w:w="985"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Diluted earnings per share</w:t>
                                  </w:r>
                                </w:p>
                              </w:tc>
                              <w:tc>
                                <w:tcPr>
                                  <w:tcW w:w="985"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Cash dividends declared per common share</w:t>
                                  </w:r>
                                </w:p>
                              </w:tc>
                              <w:tc>
                                <w:tcPr>
                                  <w:tcW w:w="985"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before="0" w:after="283"/>
                                    <w:jc w:val="left"/>
                                    <w:rPr>
                                      <w:sz w:val="4"/>
                                      <w:szCs w:val="4"/>
                                    </w:rPr>
                                  </w:pPr>
                                  <w:r>
                                    <w:rPr>
                                      <w:sz w:val="4"/>
                                      <w:szCs w:val="4"/>
                                    </w:rPr>
                                  </w:r>
                                </w:p>
                              </w:tc>
                              <w:tc>
                                <w:tcPr>
                                  <w:tcW w:w="985"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Weighted-average common shares outstanding</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for earnings per share:</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Basic</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Diluted</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80pt;height:785.2pt;mso-wrap-distance-left:0pt;mso-wrap-distance-right:0pt;mso-wrap-distance-top:0pt;mso-wrap-distance-bottom:0pt;margin-top:0pt;mso-position-vertical:top;mso-position-vertical-relative:text;margin-left:63pt;mso-position-horizontal-relative:page">
                <v:textbox>
                  <w:txbxContent>
                    <w:tbl>
                      <w:tblPr>
                        <w:tblW w:w="10205" w:type="dxa"/>
                        <w:jc w:val="left"/>
                        <w:tblInd w:w="0" w:type="dxa"/>
                        <w:tblLayout w:type="fixed"/>
                        <w:tblCellMar>
                          <w:top w:w="28" w:type="dxa"/>
                          <w:left w:w="28" w:type="dxa"/>
                          <w:bottom w:w="28" w:type="dxa"/>
                          <w:right w:w="28" w:type="dxa"/>
                        </w:tblCellMar>
                      </w:tblPr>
                      <w:tblGrid>
                        <w:gridCol w:w="1728"/>
                        <w:gridCol w:w="1170"/>
                        <w:gridCol w:w="985"/>
                        <w:gridCol w:w="985"/>
                        <w:gridCol w:w="985"/>
                        <w:gridCol w:w="985"/>
                        <w:gridCol w:w="985"/>
                        <w:gridCol w:w="985"/>
                        <w:gridCol w:w="1397"/>
                      </w:tblGrid>
                      <w:tr>
                        <w:trPr/>
                        <w:tc>
                          <w:tcPr>
                            <w:tcW w:w="172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Condensed Consolidated Statements of Income</w:t>
                            </w:r>
                          </w:p>
                        </w:tc>
                      </w:tr>
                      <w:tr>
                        <w:trPr/>
                        <w:tc>
                          <w:tcPr>
                            <w:tcW w:w="10205" w:type="dxa"/>
                            <w:gridSpan w:val="9"/>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(in millions, except per share amounts)</w:t>
                            </w:r>
                          </w:p>
                        </w:tc>
                      </w:tr>
                      <w:tr>
                        <w:trPr/>
                        <w:tc>
                          <w:tcPr>
                            <w:tcW w:w="10205" w:type="dxa"/>
                            <w:gridSpan w:val="9"/>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(unaudited)</w:t>
                            </w:r>
                          </w:p>
                        </w:tc>
                      </w:tr>
                      <w:tr>
                        <w:trPr/>
                        <w:tc>
                          <w:tcPr>
                            <w:tcW w:w="2898" w:type="dxa"/>
                            <w:gridSpan w:val="2"/>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3367" w:type="dxa"/>
                            <w:gridSpan w:val="3"/>
                            <w:tcBorders/>
                            <w:shd w:fill="FFFFFF" w:val="cle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before="0" w:after="283"/>
                              <w:jc w:val="left"/>
                              <w:rPr>
                                <w:sz w:val="4"/>
                                <w:szCs w:val="4"/>
                              </w:rPr>
                            </w:pPr>
                            <w:r>
                              <w:rPr>
                                <w:sz w:val="4"/>
                                <w:szCs w:val="4"/>
                              </w:rPr>
                            </w:r>
                          </w:p>
                        </w:tc>
                        <w:tc>
                          <w:tcPr>
                            <w:tcW w:w="295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33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Revenues:</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Capital Access Platforms</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Financial Technology</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Market Services</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Other Revenues</w:t>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Transaction-based expenses:</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Transaction rebates</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Brokerage, clearance and exchange fees</w:t>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Revenues less transaction-based expenses</w:t>
                            </w:r>
                          </w:p>
                        </w:tc>
                        <w:tc>
                          <w:tcPr>
                            <w:tcW w:w="9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Operating Expenses:</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Compensation and benefits</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Professional and contract services</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Technology and communication infrastructure</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Occupancy</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General, administrative and other</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Marketing and advertising</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Depreciation and amortization</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Regulatory</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Merger and strategic initiatives</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Restructuring charges</w:t>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728" w:type="dxa"/>
                            <w:tcBorders/>
                            <w:vAlign w:val="center"/>
                          </w:tcPr>
                          <w:p>
                            <w:pPr>
                              <w:pStyle w:val="TableContents"/>
                              <w:bidi w:val="0"/>
                              <w:spacing w:lineRule="atLeast" w:line="146"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xml:space="preserve">  </w:t>
                            </w:r>
                          </w:p>
                        </w:tc>
                        <w:tc>
                          <w:tcPr>
                            <w:tcW w:w="1170"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Operating income</w:t>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Interest income</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Interest expense</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Net gain (loss) on divestitures</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Other income (loss)</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Net income from unconsolidated investees</w:t>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Income before income taxes</w:t>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Income tax provision</w:t>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Net income</w:t>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Net loss attributable to noncontrolling interests</w:t>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Net income attributable to Nasdaq</w:t>
                            </w:r>
                          </w:p>
                        </w:tc>
                        <w:tc>
                          <w:tcPr>
                            <w:tcW w:w="98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before="0" w:after="283"/>
                              <w:jc w:val="left"/>
                              <w:rPr>
                                <w:sz w:val="4"/>
                                <w:szCs w:val="4"/>
                              </w:rPr>
                            </w:pPr>
                            <w:r>
                              <w:rPr>
                                <w:sz w:val="4"/>
                                <w:szCs w:val="4"/>
                              </w:rPr>
                            </w:r>
                          </w:p>
                        </w:tc>
                        <w:tc>
                          <w:tcPr>
                            <w:tcW w:w="985"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Per share information:</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Basic earnings per share</w:t>
                            </w:r>
                          </w:p>
                        </w:tc>
                        <w:tc>
                          <w:tcPr>
                            <w:tcW w:w="985"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Diluted earnings per share</w:t>
                            </w:r>
                          </w:p>
                        </w:tc>
                        <w:tc>
                          <w:tcPr>
                            <w:tcW w:w="985"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Cash dividends declared per common share</w:t>
                            </w:r>
                          </w:p>
                        </w:tc>
                        <w:tc>
                          <w:tcPr>
                            <w:tcW w:w="985"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top w:val="doub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before="0" w:after="283"/>
                              <w:jc w:val="left"/>
                              <w:rPr>
                                <w:sz w:val="4"/>
                                <w:szCs w:val="4"/>
                              </w:rPr>
                            </w:pPr>
                            <w:r>
                              <w:rPr>
                                <w:sz w:val="4"/>
                                <w:szCs w:val="4"/>
                              </w:rPr>
                            </w:r>
                          </w:p>
                        </w:tc>
                        <w:tc>
                          <w:tcPr>
                            <w:tcW w:w="985"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Weighted-average common shares outstanding</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for earnings per share:</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Basic</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2898" w:type="dxa"/>
                            <w:gridSpan w:val="2"/>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Diluted</w:t>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096000" cy="152400"/>
                <wp:effectExtent l="0" t="0" r="0" b="0"/>
                <wp:wrapNone/>
                <wp:docPr id="15" name="Frame48"/>
                <a:graphic xmlns:a="http://schemas.openxmlformats.org/drawingml/2006/main">
                  <a:graphicData uri="http://schemas.microsoft.com/office/word/2010/wordprocessingShape">
                    <wps:wsp>
                      <wps:cNvSpPr txBox="1"/>
                      <wps:spPr>
                        <a:xfrm>
                          <a:off x="0" y="0"/>
                          <a:ext cx="6096000" cy="152400"/>
                        </a:xfrm>
                        <a:prstGeom prst="rect"/>
                        <a:solidFill>
                          <a:srgbClr val="FFFFFF"/>
                        </a:solidFill>
                      </wps:spPr>
                      <wps:txbx>
                        <w:txbxContent>
                          <w:p>
                            <w:pPr>
                              <w:pStyle w:val="TextBody"/>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Nasdaq, Inc.</w:t>
                            </w:r>
                          </w:p>
                        </w:txbxContent>
                      </wps:txbx>
                      <wps:bodyPr anchor="t" lIns="0" tIns="0" rIns="0" bIns="0">
                        <a:noAutofit/>
                      </wps:bodyPr>
                    </wps:wsp>
                  </a:graphicData>
                </a:graphic>
              </wp:anchor>
            </w:drawing>
          </mc:Choice>
          <mc:Fallback>
            <w:pict>
              <v:rect style="position:absolute;rotation:-0;width:480pt;height:1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Nasdaq, Inc.</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10</w:t>
      </w:r>
      <w:r>
        <mc:AlternateContent>
          <mc:Choice Requires="wps">
            <w:drawing>
              <wp:anchor behindDoc="0" distT="0" distB="0" distL="0" distR="0" simplePos="0" locked="0" layoutInCell="1" allowOverlap="1" relativeHeight="200">
                <wp:simplePos x="0" y="0"/>
                <wp:positionH relativeFrom="page">
                  <wp:posOffset>795655</wp:posOffset>
                </wp:positionH>
                <wp:positionV relativeFrom="line">
                  <wp:posOffset>635</wp:posOffset>
                </wp:positionV>
                <wp:extent cx="6124575" cy="7679690"/>
                <wp:effectExtent l="0" t="0" r="0" b="0"/>
                <wp:wrapNone/>
                <wp:docPr id="16" name="Frame197"/>
                <a:graphic xmlns:a="http://schemas.openxmlformats.org/drawingml/2006/main">
                  <a:graphicData uri="http://schemas.microsoft.com/office/word/2010/wordprocessingShape">
                    <wps:wsp>
                      <wps:cNvSpPr txBox="1"/>
                      <wps:spPr>
                        <a:xfrm>
                          <a:off x="0" y="0"/>
                          <a:ext cx="6124575" cy="7679690"/>
                        </a:xfrm>
                        <a:prstGeom prst="rect"/>
                        <a:solidFill>
                          <a:srgbClr val="FFFFFF"/>
                        </a:solidFill>
                      </wps:spPr>
                      <wps:txbx>
                        <w:txbxContent>
                          <w:tbl>
                            <w:tblPr>
                              <w:tblW w:w="9791" w:type="dxa"/>
                              <w:jc w:val="left"/>
                              <w:tblInd w:w="0" w:type="dxa"/>
                              <w:tblLayout w:type="fixed"/>
                              <w:tblCellMar>
                                <w:top w:w="28" w:type="dxa"/>
                                <w:left w:w="28" w:type="dxa"/>
                                <w:bottom w:w="28" w:type="dxa"/>
                                <w:right w:w="28" w:type="dxa"/>
                              </w:tblCellMar>
                            </w:tblPr>
                            <w:tblGrid>
                              <w:gridCol w:w="7204"/>
                              <w:gridCol w:w="348"/>
                              <w:gridCol w:w="348"/>
                              <w:gridCol w:w="348"/>
                              <w:gridCol w:w="348"/>
                              <w:gridCol w:w="348"/>
                              <w:gridCol w:w="348"/>
                              <w:gridCol w:w="499"/>
                            </w:tblGrid>
                            <w:tr>
                              <w:trPr/>
                              <w:tc>
                                <w:tcPr>
                                  <w:tcW w:w="720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9791" w:type="dxa"/>
                                  <w:gridSpan w:val="8"/>
                                  <w:tcBorders/>
                                  <w:vAlign w:val="center"/>
                                </w:tcPr>
                                <w:p>
                                  <w:pPr>
                                    <w:pStyle w:val="TableContents"/>
                                    <w:bidi w:val="0"/>
                                    <w:spacing w:before="0" w:after="283"/>
                                    <w:jc w:val="left"/>
                                    <w:rPr>
                                      <w:sz w:val="4"/>
                                      <w:szCs w:val="4"/>
                                    </w:rPr>
                                  </w:pPr>
                                  <w:r>
                                    <w:rPr>
                                      <w:sz w:val="4"/>
                                      <w:szCs w:val="4"/>
                                    </w:rPr>
                                  </w:r>
                                </w:p>
                              </w:tc>
                            </w:tr>
                            <w:tr>
                              <w:trPr/>
                              <w:tc>
                                <w:tcPr>
                                  <w:tcW w:w="9791" w:type="dxa"/>
                                  <w:gridSpan w:val="8"/>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Revenue Detail</w:t>
                                  </w:r>
                                </w:p>
                              </w:tc>
                            </w:tr>
                            <w:tr>
                              <w:trPr/>
                              <w:tc>
                                <w:tcPr>
                                  <w:tcW w:w="9791" w:type="dxa"/>
                                  <w:gridSpan w:val="8"/>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(in millions)</w:t>
                                  </w:r>
                                </w:p>
                              </w:tc>
                            </w:tr>
                            <w:tr>
                              <w:trPr/>
                              <w:tc>
                                <w:tcPr>
                                  <w:tcW w:w="9791" w:type="dxa"/>
                                  <w:gridSpan w:val="8"/>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(unaudited)</w:t>
                                  </w:r>
                                </w:p>
                              </w:tc>
                            </w:tr>
                            <w:tr>
                              <w:trPr/>
                              <w:tc>
                                <w:tcPr>
                                  <w:tcW w:w="720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before="0" w:after="283"/>
                                    <w:jc w:val="left"/>
                                    <w:rPr>
                                      <w:sz w:val="4"/>
                                      <w:szCs w:val="4"/>
                                    </w:rPr>
                                  </w:pPr>
                                  <w:r>
                                    <w:rPr>
                                      <w:sz w:val="4"/>
                                      <w:szCs w:val="4"/>
                                    </w:rPr>
                                  </w:r>
                                </w:p>
                              </w:tc>
                              <w:tc>
                                <w:tcPr>
                                  <w:tcW w:w="10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CAPITAL ACCESS PLATFORMS</w:t>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Data and Listing Services</w:t>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Index</w:t>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Workflow and Insights</w:t>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Total Capital Access Platforms revenues</w:t>
                                  </w:r>
                                </w:p>
                              </w:tc>
                              <w:tc>
                                <w:tcPr>
                                  <w:tcW w:w="3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FINANCIAL TECHNOLOGY</w:t>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Financial Crime Management Technology</w:t>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Regulatory Technology</w:t>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Capital Markets Technology</w:t>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Total Financial Technology revenues</w:t>
                                  </w:r>
                                </w:p>
                              </w:tc>
                              <w:tc>
                                <w:tcPr>
                                  <w:tcW w:w="3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MARKET SERVICES</w:t>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Market Services</w:t>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Transaction-based expenses:</w:t>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Transaction rebates</w:t>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Brokerage, clearance and exchange fees</w:t>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Total Market Services revenues, net</w:t>
                                  </w:r>
                                </w:p>
                              </w:tc>
                              <w:tc>
                                <w:tcPr>
                                  <w:tcW w:w="3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OTHER REVENUES</w:t>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before="0" w:after="283"/>
                                    <w:jc w:val="left"/>
                                    <w:rPr>
                                      <w:sz w:val="4"/>
                                      <w:szCs w:val="4"/>
                                    </w:rPr>
                                  </w:pPr>
                                  <w:r>
                                    <w:rPr>
                                      <w:sz w:val="4"/>
                                      <w:szCs w:val="4"/>
                                    </w:rPr>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REVENUES LESS TRANSACTION-BASED EXPENSES</w:t>
                                  </w:r>
                                </w:p>
                              </w:tc>
                              <w:tc>
                                <w:tcPr>
                                  <w:tcW w:w="34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82.25pt;height:604.7pt;mso-wrap-distance-left:0pt;mso-wrap-distance-right:0pt;mso-wrap-distance-top:0pt;mso-wrap-distance-bottom:0pt;margin-top:0pt;mso-position-vertical:top;mso-position-vertical-relative:text;margin-left:62.65pt;mso-position-horizontal-relative:page">
                <v:textbox>
                  <w:txbxContent>
                    <w:tbl>
                      <w:tblPr>
                        <w:tblW w:w="9791" w:type="dxa"/>
                        <w:jc w:val="left"/>
                        <w:tblInd w:w="0" w:type="dxa"/>
                        <w:tblLayout w:type="fixed"/>
                        <w:tblCellMar>
                          <w:top w:w="28" w:type="dxa"/>
                          <w:left w:w="28" w:type="dxa"/>
                          <w:bottom w:w="28" w:type="dxa"/>
                          <w:right w:w="28" w:type="dxa"/>
                        </w:tblCellMar>
                      </w:tblPr>
                      <w:tblGrid>
                        <w:gridCol w:w="7204"/>
                        <w:gridCol w:w="348"/>
                        <w:gridCol w:w="348"/>
                        <w:gridCol w:w="348"/>
                        <w:gridCol w:w="348"/>
                        <w:gridCol w:w="348"/>
                        <w:gridCol w:w="348"/>
                        <w:gridCol w:w="499"/>
                      </w:tblGrid>
                      <w:tr>
                        <w:trPr/>
                        <w:tc>
                          <w:tcPr>
                            <w:tcW w:w="720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9791" w:type="dxa"/>
                            <w:gridSpan w:val="8"/>
                            <w:tcBorders/>
                            <w:vAlign w:val="center"/>
                          </w:tcPr>
                          <w:p>
                            <w:pPr>
                              <w:pStyle w:val="TableContents"/>
                              <w:bidi w:val="0"/>
                              <w:spacing w:before="0" w:after="283"/>
                              <w:jc w:val="left"/>
                              <w:rPr>
                                <w:sz w:val="4"/>
                                <w:szCs w:val="4"/>
                              </w:rPr>
                            </w:pPr>
                            <w:r>
                              <w:rPr>
                                <w:sz w:val="4"/>
                                <w:szCs w:val="4"/>
                              </w:rPr>
                            </w:r>
                          </w:p>
                        </w:tc>
                      </w:tr>
                      <w:tr>
                        <w:trPr/>
                        <w:tc>
                          <w:tcPr>
                            <w:tcW w:w="9791" w:type="dxa"/>
                            <w:gridSpan w:val="8"/>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Revenue Detail</w:t>
                            </w:r>
                          </w:p>
                        </w:tc>
                      </w:tr>
                      <w:tr>
                        <w:trPr/>
                        <w:tc>
                          <w:tcPr>
                            <w:tcW w:w="9791" w:type="dxa"/>
                            <w:gridSpan w:val="8"/>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(in millions)</w:t>
                            </w:r>
                          </w:p>
                        </w:tc>
                      </w:tr>
                      <w:tr>
                        <w:trPr/>
                        <w:tc>
                          <w:tcPr>
                            <w:tcW w:w="9791" w:type="dxa"/>
                            <w:gridSpan w:val="8"/>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(unaudited)</w:t>
                            </w:r>
                          </w:p>
                        </w:tc>
                      </w:tr>
                      <w:tr>
                        <w:trPr/>
                        <w:tc>
                          <w:tcPr>
                            <w:tcW w:w="720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before="0" w:after="283"/>
                              <w:jc w:val="left"/>
                              <w:rPr>
                                <w:sz w:val="4"/>
                                <w:szCs w:val="4"/>
                              </w:rPr>
                            </w:pPr>
                            <w:r>
                              <w:rPr>
                                <w:sz w:val="4"/>
                                <w:szCs w:val="4"/>
                              </w:rPr>
                            </w:r>
                          </w:p>
                        </w:tc>
                        <w:tc>
                          <w:tcPr>
                            <w:tcW w:w="10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CAPITAL ACCESS PLATFORMS</w:t>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Data and Listing Services</w:t>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Index</w:t>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Workflow and Insights</w:t>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Total Capital Access Platforms revenues</w:t>
                            </w:r>
                          </w:p>
                        </w:tc>
                        <w:tc>
                          <w:tcPr>
                            <w:tcW w:w="3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FINANCIAL TECHNOLOGY</w:t>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Financial Crime Management Technology</w:t>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Regulatory Technology</w:t>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Capital Markets Technology</w:t>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Total Financial Technology revenues</w:t>
                            </w:r>
                          </w:p>
                        </w:tc>
                        <w:tc>
                          <w:tcPr>
                            <w:tcW w:w="3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MARKET SERVICES</w:t>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Market Services</w:t>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Transaction-based expenses:</w:t>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Transaction rebates</w:t>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Brokerage, clearance and exchange fees</w:t>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Total Market Services revenues, net</w:t>
                            </w:r>
                          </w:p>
                        </w:tc>
                        <w:tc>
                          <w:tcPr>
                            <w:tcW w:w="3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OTHER REVENUES</w:t>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before="0" w:after="283"/>
                              <w:jc w:val="left"/>
                              <w:rPr>
                                <w:sz w:val="4"/>
                                <w:szCs w:val="4"/>
                              </w:rPr>
                            </w:pPr>
                            <w:r>
                              <w:rPr>
                                <w:sz w:val="4"/>
                                <w:szCs w:val="4"/>
                              </w:rPr>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204" w:type="dxa"/>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REVENUES LESS TRANSACTION-BASED EXPENSES</w:t>
                            </w:r>
                          </w:p>
                        </w:tc>
                        <w:tc>
                          <w:tcPr>
                            <w:tcW w:w="34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124575" cy="146050"/>
                <wp:effectExtent l="0" t="0" r="0" b="0"/>
                <wp:wrapNone/>
                <wp:docPr id="17" name="Frame198"/>
                <a:graphic xmlns:a="http://schemas.openxmlformats.org/drawingml/2006/main">
                  <a:graphicData uri="http://schemas.microsoft.com/office/word/2010/wordprocessingShape">
                    <wps:wsp>
                      <wps:cNvSpPr txBox="1"/>
                      <wps:spPr>
                        <a:xfrm>
                          <a:off x="0" y="0"/>
                          <a:ext cx="6124575" cy="146050"/>
                        </a:xfrm>
                        <a:prstGeom prst="rect"/>
                        <a:solidFill>
                          <a:srgbClr val="FFFFFF"/>
                        </a:solidFill>
                      </wps:spPr>
                      <wps:txbx>
                        <w:txbxContent>
                          <w:p>
                            <w:pPr>
                              <w:pStyle w:val="TextBody"/>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Nasdaq, Inc.</w:t>
                            </w:r>
                          </w:p>
                        </w:txbxContent>
                      </wps:txbx>
                      <wps:bodyPr anchor="t" lIns="0" tIns="0" rIns="0" bIns="0">
                        <a:noAutofit/>
                      </wps:bodyPr>
                    </wps:wsp>
                  </a:graphicData>
                </a:graphic>
              </wp:anchor>
            </w:drawing>
          </mc:Choice>
          <mc:Fallback>
            <w:pict>
              <v:rect style="position:absolute;rotation:-0;width:482.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Nasdaq, Inc.</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11</w:t>
      </w:r>
      <w:r>
        <mc:AlternateContent>
          <mc:Choice Requires="wps">
            <w:drawing>
              <wp:anchor behindDoc="0" distT="0" distB="0" distL="0" distR="0" simplePos="0" locked="0" layoutInCell="1" allowOverlap="1" relativeHeight="264">
                <wp:simplePos x="0" y="0"/>
                <wp:positionH relativeFrom="page">
                  <wp:posOffset>800100</wp:posOffset>
                </wp:positionH>
                <wp:positionV relativeFrom="line">
                  <wp:posOffset>635</wp:posOffset>
                </wp:positionV>
                <wp:extent cx="5943600" cy="9972040"/>
                <wp:effectExtent l="0" t="0" r="0" b="0"/>
                <wp:wrapNone/>
                <wp:docPr id="18" name="Frame261"/>
                <a:graphic xmlns:a="http://schemas.openxmlformats.org/drawingml/2006/main">
                  <a:graphicData uri="http://schemas.microsoft.com/office/word/2010/wordprocessingShape">
                    <wps:wsp>
                      <wps:cNvSpPr txBox="1"/>
                      <wps:spPr>
                        <a:xfrm>
                          <a:off x="0" y="0"/>
                          <a:ext cx="5943600" cy="9972040"/>
                        </a:xfrm>
                        <a:prstGeom prst="rect"/>
                        <a:solidFill>
                          <a:srgbClr val="FFFFFF"/>
                        </a:solidFill>
                      </wps:spPr>
                      <wps:txbx>
                        <w:txbxContent>
                          <w:tbl>
                            <w:tblPr>
                              <w:tblW w:w="9506" w:type="dxa"/>
                              <w:jc w:val="left"/>
                              <w:tblInd w:w="0" w:type="dxa"/>
                              <w:tblLayout w:type="fixed"/>
                              <w:tblCellMar>
                                <w:top w:w="28" w:type="dxa"/>
                                <w:left w:w="28" w:type="dxa"/>
                                <w:bottom w:w="28" w:type="dxa"/>
                                <w:right w:w="28" w:type="dxa"/>
                              </w:tblCellMar>
                            </w:tblPr>
                            <w:tblGrid>
                              <w:gridCol w:w="7127"/>
                              <w:gridCol w:w="539"/>
                              <w:gridCol w:w="539"/>
                              <w:gridCol w:w="539"/>
                              <w:gridCol w:w="762"/>
                            </w:tblGrid>
                            <w:tr>
                              <w:trPr/>
                              <w:tc>
                                <w:tcPr>
                                  <w:tcW w:w="712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9506" w:type="dxa"/>
                                  <w:gridSpan w:val="5"/>
                                  <w:tcBorders/>
                                  <w:vAlign w:val="center"/>
                                </w:tcPr>
                                <w:p>
                                  <w:pPr>
                                    <w:pStyle w:val="TableContents"/>
                                    <w:bidi w:val="0"/>
                                    <w:spacing w:before="0" w:after="283"/>
                                    <w:jc w:val="left"/>
                                    <w:rPr>
                                      <w:sz w:val="4"/>
                                      <w:szCs w:val="4"/>
                                    </w:rPr>
                                  </w:pPr>
                                  <w:r>
                                    <w:rPr>
                                      <w:sz w:val="4"/>
                                      <w:szCs w:val="4"/>
                                    </w:rPr>
                                  </w:r>
                                </w:p>
                              </w:tc>
                            </w:tr>
                            <w:tr>
                              <w:trPr/>
                              <w:tc>
                                <w:tcPr>
                                  <w:tcW w:w="9506" w:type="dxa"/>
                                  <w:gridSpan w:val="5"/>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Condensed Consolidated Balance Sheets</w:t>
                                  </w:r>
                                </w:p>
                              </w:tc>
                            </w:tr>
                            <w:tr>
                              <w:trPr/>
                              <w:tc>
                                <w:tcPr>
                                  <w:tcW w:w="9506" w:type="dxa"/>
                                  <w:gridSpan w:val="5"/>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(in millions)</w:t>
                                  </w:r>
                                </w:p>
                              </w:tc>
                            </w:tr>
                            <w:tr>
                              <w:trPr/>
                              <w:tc>
                                <w:tcPr>
                                  <w:tcW w:w="712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Assets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Current assets: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Cash and cash equivalents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Restricted cash and cash equivalents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Default funds and margin deposits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Short-term investments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Receivables, net</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Other current assets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Total current assets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Property and equipment, net</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Goodwill</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Intangible assets, net</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Operating lease assets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Other non-current assets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Total assets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Liabilities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Current liabilities: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Accounts payable and accrued expenses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Section 31 fees payable to SEC</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Accrued personnel costs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Deferred revenue</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Other current liabilities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Default funds and margin deposits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Short-term debt</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Total current liabilities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Long-term debt</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Deferred tax liabilities, net</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Operating lease liabilities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Other non-current liabilities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Total liabilities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Commitments and contingencies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Equity</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Nasdaq stockholders' equity:</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Common stock</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Additional paid-in capital</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Common stock in treasury, at cost</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Accumulated other comprehensive loss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Retained earnings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Total Nasdaq stockholders' equity</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Noncontrolling interests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Total equity</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Total liabilities and equity</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785.2pt;mso-wrap-distance-left:0pt;mso-wrap-distance-right:0pt;mso-wrap-distance-top:0pt;mso-wrap-distance-bottom:0pt;margin-top:0pt;mso-position-vertical:top;mso-position-vertical-relative:text;margin-left:63pt;mso-position-horizontal-relative:page">
                <v:textbox>
                  <w:txbxContent>
                    <w:tbl>
                      <w:tblPr>
                        <w:tblW w:w="9506" w:type="dxa"/>
                        <w:jc w:val="left"/>
                        <w:tblInd w:w="0" w:type="dxa"/>
                        <w:tblLayout w:type="fixed"/>
                        <w:tblCellMar>
                          <w:top w:w="28" w:type="dxa"/>
                          <w:left w:w="28" w:type="dxa"/>
                          <w:bottom w:w="28" w:type="dxa"/>
                          <w:right w:w="28" w:type="dxa"/>
                        </w:tblCellMar>
                      </w:tblPr>
                      <w:tblGrid>
                        <w:gridCol w:w="7127"/>
                        <w:gridCol w:w="539"/>
                        <w:gridCol w:w="539"/>
                        <w:gridCol w:w="539"/>
                        <w:gridCol w:w="762"/>
                      </w:tblGrid>
                      <w:tr>
                        <w:trPr/>
                        <w:tc>
                          <w:tcPr>
                            <w:tcW w:w="712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9506" w:type="dxa"/>
                            <w:gridSpan w:val="5"/>
                            <w:tcBorders/>
                            <w:vAlign w:val="center"/>
                          </w:tcPr>
                          <w:p>
                            <w:pPr>
                              <w:pStyle w:val="TableContents"/>
                              <w:bidi w:val="0"/>
                              <w:spacing w:before="0" w:after="283"/>
                              <w:jc w:val="left"/>
                              <w:rPr>
                                <w:sz w:val="4"/>
                                <w:szCs w:val="4"/>
                              </w:rPr>
                            </w:pPr>
                            <w:r>
                              <w:rPr>
                                <w:sz w:val="4"/>
                                <w:szCs w:val="4"/>
                              </w:rPr>
                            </w:r>
                          </w:p>
                        </w:tc>
                      </w:tr>
                      <w:tr>
                        <w:trPr/>
                        <w:tc>
                          <w:tcPr>
                            <w:tcW w:w="9506" w:type="dxa"/>
                            <w:gridSpan w:val="5"/>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Condensed Consolidated Balance Sheets</w:t>
                            </w:r>
                          </w:p>
                        </w:tc>
                      </w:tr>
                      <w:tr>
                        <w:trPr/>
                        <w:tc>
                          <w:tcPr>
                            <w:tcW w:w="9506" w:type="dxa"/>
                            <w:gridSpan w:val="5"/>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(in millions)</w:t>
                            </w:r>
                          </w:p>
                        </w:tc>
                      </w:tr>
                      <w:tr>
                        <w:trPr/>
                        <w:tc>
                          <w:tcPr>
                            <w:tcW w:w="712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Assets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Current assets: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Cash and cash equivalents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Restricted cash and cash equivalents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Default funds and margin deposits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Short-term investments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Receivables, net</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Other current assets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Total current assets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Property and equipment, net</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Goodwill</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Intangible assets, net</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Operating lease assets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Other non-current assets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Total assets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Liabilities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Current liabilities: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Accounts payable and accrued expenses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Section 31 fees payable to SEC</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Accrued personnel costs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Deferred revenue</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Other current liabilities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Default funds and margin deposits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Short-term debt</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Total current liabilities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Long-term debt</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Deferred tax liabilities, net</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Operating lease liabilities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Other non-current liabilities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Total liabilities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Commitments and contingencies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Equity</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Nasdaq stockholders' equity:</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Common stock</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Additional paid-in capital</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Common stock in treasury, at cost</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Accumulated other comprehensive loss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Retained earnings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Total Nasdaq stockholders' equity</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Noncontrolling interests</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Total equity</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Total liabilities and equity</w:t>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2"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5943600" cy="146050"/>
                <wp:effectExtent l="0" t="0" r="0" b="0"/>
                <wp:wrapNone/>
                <wp:docPr id="19" name="Frame262"/>
                <a:graphic xmlns:a="http://schemas.openxmlformats.org/drawingml/2006/main">
                  <a:graphicData uri="http://schemas.microsoft.com/office/word/2010/wordprocessingShape">
                    <wps:wsp>
                      <wps:cNvSpPr txBox="1"/>
                      <wps:spPr>
                        <a:xfrm>
                          <a:off x="0" y="0"/>
                          <a:ext cx="5943600" cy="146050"/>
                        </a:xfrm>
                        <a:prstGeom prst="rect"/>
                        <a:solidFill>
                          <a:srgbClr val="FFFFFF"/>
                        </a:solidFill>
                      </wps:spPr>
                      <wps:txbx>
                        <w:txbxContent>
                          <w:p>
                            <w:pPr>
                              <w:pStyle w:val="TextBody"/>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Nasdaq, Inc.</w:t>
                            </w:r>
                          </w:p>
                        </w:txbxContent>
                      </wps:txbx>
                      <wps:bodyPr anchor="t" lIns="0" tIns="0" rIns="0" bIns="0">
                        <a:noAutofit/>
                      </wps:bodyPr>
                    </wps:wsp>
                  </a:graphicData>
                </a:graphic>
              </wp:anchor>
            </w:drawing>
          </mc:Choice>
          <mc:Fallback>
            <w:pict>
              <v:rect style="position:absolute;rotation:-0;width:468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Nasdaq, Inc.</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12</w:t>
      </w:r>
      <w:r>
        <mc:AlternateContent>
          <mc:Choice Requires="wps">
            <w:drawing>
              <wp:anchor behindDoc="0" distT="0" distB="0" distL="0" distR="0" simplePos="0" locked="0" layoutInCell="1" allowOverlap="1" relativeHeight="341">
                <wp:simplePos x="0" y="0"/>
                <wp:positionH relativeFrom="page">
                  <wp:posOffset>800100</wp:posOffset>
                </wp:positionH>
                <wp:positionV relativeFrom="line">
                  <wp:posOffset>635</wp:posOffset>
                </wp:positionV>
                <wp:extent cx="6057900" cy="8352790"/>
                <wp:effectExtent l="0" t="0" r="0" b="0"/>
                <wp:wrapNone/>
                <wp:docPr id="20" name="Frame338"/>
                <a:graphic xmlns:a="http://schemas.openxmlformats.org/drawingml/2006/main">
                  <a:graphicData uri="http://schemas.microsoft.com/office/word/2010/wordprocessingShape">
                    <wps:wsp>
                      <wps:cNvSpPr txBox="1"/>
                      <wps:spPr>
                        <a:xfrm>
                          <a:off x="0" y="0"/>
                          <a:ext cx="6057900" cy="8352790"/>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1320"/>
                              <w:gridCol w:w="1160"/>
                              <w:gridCol w:w="918"/>
                              <w:gridCol w:w="918"/>
                              <w:gridCol w:w="918"/>
                              <w:gridCol w:w="918"/>
                              <w:gridCol w:w="918"/>
                              <w:gridCol w:w="918"/>
                              <w:gridCol w:w="918"/>
                              <w:gridCol w:w="1299"/>
                            </w:tblGrid>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0205" w:type="dxa"/>
                                  <w:gridSpan w:val="10"/>
                                  <w:tcBorders/>
                                  <w:vAlign w:val="center"/>
                                </w:tcPr>
                                <w:p>
                                  <w:pPr>
                                    <w:pStyle w:val="TableContents"/>
                                    <w:bidi w:val="0"/>
                                    <w:spacing w:before="0" w:after="283"/>
                                    <w:jc w:val="left"/>
                                    <w:rPr>
                                      <w:sz w:val="4"/>
                                      <w:szCs w:val="4"/>
                                    </w:rPr>
                                  </w:pPr>
                                  <w:r>
                                    <w:rPr>
                                      <w:sz w:val="4"/>
                                      <w:szCs w:val="4"/>
                                    </w:rPr>
                                  </w:r>
                                </w:p>
                              </w:tc>
                            </w:tr>
                            <w:tr>
                              <w:trPr/>
                              <w:tc>
                                <w:tcPr>
                                  <w:tcW w:w="10205" w:type="dxa"/>
                                  <w:gridSpan w:val="10"/>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Reconciliation of U.S. GAAP to Non-GAAP Net Income Attributable to Nasdaq and Diluted Earnings Per Share</w:t>
                                  </w:r>
                                </w:p>
                              </w:tc>
                            </w:tr>
                            <w:tr>
                              <w:trPr/>
                              <w:tc>
                                <w:tcPr>
                                  <w:tcW w:w="10205" w:type="dxa"/>
                                  <w:gridSpan w:val="10"/>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(in millions, except per share amounts)</w:t>
                                  </w:r>
                                </w:p>
                              </w:tc>
                            </w:tr>
                            <w:tr>
                              <w:trPr/>
                              <w:tc>
                                <w:tcPr>
                                  <w:tcW w:w="10205" w:type="dxa"/>
                                  <w:gridSpan w:val="10"/>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(unaudited)</w:t>
                                  </w:r>
                                </w:p>
                              </w:tc>
                            </w:tr>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7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1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U.S. GAAP net income attributable to Nasdaq</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Non-GAAP adjustments:</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8"/>
                                    </w:rPr>
                                    <w:t xml:space="preserve">Amortization expense of acquired intangible assets </w:t>
                                  </w:r>
                                  <w:r>
                                    <w:rPr>
                                      <w:rFonts w:ascii="Arial;sans-serif" w:hAnsi="Arial;sans-serif"/>
                                      <w:b w:val="false"/>
                                      <w:i w:val="false"/>
                                      <w:caps w:val="false"/>
                                      <w:smallCaps w:val="false"/>
                                      <w:sz w:val="12"/>
                                    </w:rPr>
                                    <w:t>1</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8"/>
                                    </w:rPr>
                                    <w:t xml:space="preserve">Merger and strategic initiatives expense </w:t>
                                  </w:r>
                                  <w:r>
                                    <w:rPr>
                                      <w:rFonts w:ascii="Arial;sans-serif" w:hAnsi="Arial;sans-serif"/>
                                      <w:b w:val="false"/>
                                      <w:i w:val="false"/>
                                      <w:caps w:val="false"/>
                                      <w:smallCaps w:val="false"/>
                                      <w:sz w:val="12"/>
                                    </w:rPr>
                                    <w:t>2</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8"/>
                                    </w:rPr>
                                    <w:t xml:space="preserve">Restructuring charges </w:t>
                                  </w:r>
                                  <w:r>
                                    <w:rPr>
                                      <w:rFonts w:ascii="Arial;sans-serif" w:hAnsi="Arial;sans-serif"/>
                                      <w:b w:val="false"/>
                                      <w:i w:val="false"/>
                                      <w:caps w:val="false"/>
                                      <w:smallCaps w:val="false"/>
                                      <w:sz w:val="12"/>
                                    </w:rPr>
                                    <w:t>3</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8"/>
                                    </w:rPr>
                                    <w:t xml:space="preserve">Gain from extinguishment of debt </w:t>
                                  </w:r>
                                  <w:r>
                                    <w:rPr>
                                      <w:rFonts w:ascii="Arial;sans-serif" w:hAnsi="Arial;sans-serif"/>
                                      <w:b w:val="false"/>
                                      <w:i w:val="false"/>
                                      <w:caps w:val="false"/>
                                      <w:smallCaps w:val="false"/>
                                      <w:sz w:val="12"/>
                                    </w:rPr>
                                    <w:t>4</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8"/>
                                    </w:rPr>
                                    <w:t xml:space="preserve">Legal and regulatory matters </w:t>
                                  </w:r>
                                  <w:r>
                                    <w:rPr>
                                      <w:rFonts w:ascii="Arial;sans-serif" w:hAnsi="Arial;sans-serif"/>
                                      <w:b w:val="false"/>
                                      <w:i w:val="false"/>
                                      <w:caps w:val="false"/>
                                      <w:smallCaps w:val="false"/>
                                      <w:sz w:val="12"/>
                                    </w:rPr>
                                    <w:t>5</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8"/>
                                    </w:rPr>
                                    <w:t xml:space="preserve">Net (gain) loss on divestitures </w:t>
                                  </w:r>
                                  <w:r>
                                    <w:rPr>
                                      <w:rFonts w:ascii="Arial;sans-serif" w:hAnsi="Arial;sans-serif"/>
                                      <w:b w:val="false"/>
                                      <w:i w:val="false"/>
                                      <w:caps w:val="false"/>
                                      <w:smallCaps w:val="false"/>
                                      <w:sz w:val="12"/>
                                    </w:rPr>
                                    <w:t>6</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8"/>
                                    </w:rPr>
                                    <w:t xml:space="preserve">Net income from unconsolidated investees </w:t>
                                  </w:r>
                                  <w:r>
                                    <w:rPr>
                                      <w:rFonts w:ascii="Arial;sans-serif" w:hAnsi="Arial;sans-serif"/>
                                      <w:b w:val="false"/>
                                      <w:i w:val="false"/>
                                      <w:caps w:val="false"/>
                                      <w:smallCaps w:val="false"/>
                                      <w:sz w:val="12"/>
                                    </w:rPr>
                                    <w:t>7</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8"/>
                                    </w:rPr>
                                    <w:t xml:space="preserve">Other (income) loss </w:t>
                                  </w:r>
                                  <w:r>
                                    <w:rPr>
                                      <w:rFonts w:ascii="Arial;sans-serif" w:hAnsi="Arial;sans-serif"/>
                                      <w:b w:val="false"/>
                                      <w:i w:val="false"/>
                                      <w:caps w:val="false"/>
                                      <w:smallCaps w:val="false"/>
                                      <w:sz w:val="12"/>
                                    </w:rPr>
                                    <w:t>8</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non-GAAP adjustments</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8"/>
                                    </w:rPr>
                                    <w:t xml:space="preserve">Non-GAAP adjustment to the income tax provision </w:t>
                                  </w:r>
                                  <w:r>
                                    <w:rPr>
                                      <w:rFonts w:ascii="Arial;sans-serif" w:hAnsi="Arial;sans-serif"/>
                                      <w:b w:val="false"/>
                                      <w:i w:val="false"/>
                                      <w:caps w:val="false"/>
                                      <w:smallCaps w:val="false"/>
                                      <w:sz w:val="12"/>
                                    </w:rPr>
                                    <w:t>9</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8"/>
                                    </w:rPr>
                                    <w:t xml:space="preserve">Other tax adjustments </w:t>
                                  </w:r>
                                  <w:r>
                                    <w:rPr>
                                      <w:rFonts w:ascii="Arial;sans-serif" w:hAnsi="Arial;sans-serif"/>
                                      <w:b w:val="false"/>
                                      <w:i w:val="false"/>
                                      <w:caps w:val="false"/>
                                      <w:smallCaps w:val="false"/>
                                      <w:sz w:val="12"/>
                                    </w:rPr>
                                    <w:t>10</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non-GAAP adjustments, net of tax</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Non-GAAP net income attributable to Nasdaq</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U.S. GAAP diluted earnings per share</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impact from NonGAAP adjustments above</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Non-GAAP diluted earnings per share</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 xml:space="preserve">Weighted-average diluted common shares outstanding for </w:t>
                                  </w:r>
                                </w:p>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earnings per share:</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77pt;height:657.7pt;mso-wrap-distance-left:0pt;mso-wrap-distance-right:0pt;mso-wrap-distance-top:0pt;mso-wrap-distance-bottom:0pt;margin-top:0pt;mso-position-vertical:top;mso-position-vertical-relative:text;margin-left:63pt;mso-position-horizontal-relative:page">
                <v:textbox>
                  <w:txbxContent>
                    <w:tbl>
                      <w:tblPr>
                        <w:tblW w:w="10205" w:type="dxa"/>
                        <w:jc w:val="left"/>
                        <w:tblInd w:w="0" w:type="dxa"/>
                        <w:tblLayout w:type="fixed"/>
                        <w:tblCellMar>
                          <w:top w:w="28" w:type="dxa"/>
                          <w:left w:w="28" w:type="dxa"/>
                          <w:bottom w:w="28" w:type="dxa"/>
                          <w:right w:w="28" w:type="dxa"/>
                        </w:tblCellMar>
                      </w:tblPr>
                      <w:tblGrid>
                        <w:gridCol w:w="1320"/>
                        <w:gridCol w:w="1160"/>
                        <w:gridCol w:w="918"/>
                        <w:gridCol w:w="918"/>
                        <w:gridCol w:w="918"/>
                        <w:gridCol w:w="918"/>
                        <w:gridCol w:w="918"/>
                        <w:gridCol w:w="918"/>
                        <w:gridCol w:w="918"/>
                        <w:gridCol w:w="1299"/>
                      </w:tblGrid>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0205" w:type="dxa"/>
                            <w:gridSpan w:val="10"/>
                            <w:tcBorders/>
                            <w:vAlign w:val="center"/>
                          </w:tcPr>
                          <w:p>
                            <w:pPr>
                              <w:pStyle w:val="TableContents"/>
                              <w:bidi w:val="0"/>
                              <w:spacing w:before="0" w:after="283"/>
                              <w:jc w:val="left"/>
                              <w:rPr>
                                <w:sz w:val="4"/>
                                <w:szCs w:val="4"/>
                              </w:rPr>
                            </w:pPr>
                            <w:r>
                              <w:rPr>
                                <w:sz w:val="4"/>
                                <w:szCs w:val="4"/>
                              </w:rPr>
                            </w:r>
                          </w:p>
                        </w:tc>
                      </w:tr>
                      <w:tr>
                        <w:trPr/>
                        <w:tc>
                          <w:tcPr>
                            <w:tcW w:w="10205" w:type="dxa"/>
                            <w:gridSpan w:val="10"/>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Reconciliation of U.S. GAAP to Non-GAAP Net Income Attributable to Nasdaq and Diluted Earnings Per Share</w:t>
                            </w:r>
                          </w:p>
                        </w:tc>
                      </w:tr>
                      <w:tr>
                        <w:trPr/>
                        <w:tc>
                          <w:tcPr>
                            <w:tcW w:w="10205" w:type="dxa"/>
                            <w:gridSpan w:val="10"/>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(in millions, except per share amounts)</w:t>
                            </w:r>
                          </w:p>
                        </w:tc>
                      </w:tr>
                      <w:tr>
                        <w:trPr/>
                        <w:tc>
                          <w:tcPr>
                            <w:tcW w:w="10205" w:type="dxa"/>
                            <w:gridSpan w:val="10"/>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(unaudited)</w:t>
                            </w:r>
                          </w:p>
                        </w:tc>
                      </w:tr>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7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1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U.S. GAAP net income attributable to Nasdaq</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Non-GAAP adjustments:</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8"/>
                              </w:rPr>
                              <w:t xml:space="preserve">Amortization expense of acquired intangible assets </w:t>
                            </w:r>
                            <w:r>
                              <w:rPr>
                                <w:rFonts w:ascii="Arial;sans-serif" w:hAnsi="Arial;sans-serif"/>
                                <w:b w:val="false"/>
                                <w:i w:val="false"/>
                                <w:caps w:val="false"/>
                                <w:smallCaps w:val="false"/>
                                <w:sz w:val="12"/>
                              </w:rPr>
                              <w:t>1</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8"/>
                              </w:rPr>
                              <w:t xml:space="preserve">Merger and strategic initiatives expense </w:t>
                            </w:r>
                            <w:r>
                              <w:rPr>
                                <w:rFonts w:ascii="Arial;sans-serif" w:hAnsi="Arial;sans-serif"/>
                                <w:b w:val="false"/>
                                <w:i w:val="false"/>
                                <w:caps w:val="false"/>
                                <w:smallCaps w:val="false"/>
                                <w:sz w:val="12"/>
                              </w:rPr>
                              <w:t>2</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8"/>
                              </w:rPr>
                              <w:t xml:space="preserve">Restructuring charges </w:t>
                            </w:r>
                            <w:r>
                              <w:rPr>
                                <w:rFonts w:ascii="Arial;sans-serif" w:hAnsi="Arial;sans-serif"/>
                                <w:b w:val="false"/>
                                <w:i w:val="false"/>
                                <w:caps w:val="false"/>
                                <w:smallCaps w:val="false"/>
                                <w:sz w:val="12"/>
                              </w:rPr>
                              <w:t>3</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8"/>
                              </w:rPr>
                              <w:t xml:space="preserve">Gain from extinguishment of debt </w:t>
                            </w:r>
                            <w:r>
                              <w:rPr>
                                <w:rFonts w:ascii="Arial;sans-serif" w:hAnsi="Arial;sans-serif"/>
                                <w:b w:val="false"/>
                                <w:i w:val="false"/>
                                <w:caps w:val="false"/>
                                <w:smallCaps w:val="false"/>
                                <w:sz w:val="12"/>
                              </w:rPr>
                              <w:t>4</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8"/>
                              </w:rPr>
                              <w:t xml:space="preserve">Legal and regulatory matters </w:t>
                            </w:r>
                            <w:r>
                              <w:rPr>
                                <w:rFonts w:ascii="Arial;sans-serif" w:hAnsi="Arial;sans-serif"/>
                                <w:b w:val="false"/>
                                <w:i w:val="false"/>
                                <w:caps w:val="false"/>
                                <w:smallCaps w:val="false"/>
                                <w:sz w:val="12"/>
                              </w:rPr>
                              <w:t>5</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8"/>
                              </w:rPr>
                              <w:t xml:space="preserve">Net (gain) loss on divestitures </w:t>
                            </w:r>
                            <w:r>
                              <w:rPr>
                                <w:rFonts w:ascii="Arial;sans-serif" w:hAnsi="Arial;sans-serif"/>
                                <w:b w:val="false"/>
                                <w:i w:val="false"/>
                                <w:caps w:val="false"/>
                                <w:smallCaps w:val="false"/>
                                <w:sz w:val="12"/>
                              </w:rPr>
                              <w:t>6</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8"/>
                              </w:rPr>
                              <w:t xml:space="preserve">Net income from unconsolidated investees </w:t>
                            </w:r>
                            <w:r>
                              <w:rPr>
                                <w:rFonts w:ascii="Arial;sans-serif" w:hAnsi="Arial;sans-serif"/>
                                <w:b w:val="false"/>
                                <w:i w:val="false"/>
                                <w:caps w:val="false"/>
                                <w:smallCaps w:val="false"/>
                                <w:sz w:val="12"/>
                              </w:rPr>
                              <w:t>7</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8"/>
                              </w:rPr>
                              <w:t xml:space="preserve">Other (income) loss </w:t>
                            </w:r>
                            <w:r>
                              <w:rPr>
                                <w:rFonts w:ascii="Arial;sans-serif" w:hAnsi="Arial;sans-serif"/>
                                <w:b w:val="false"/>
                                <w:i w:val="false"/>
                                <w:caps w:val="false"/>
                                <w:smallCaps w:val="false"/>
                                <w:sz w:val="12"/>
                              </w:rPr>
                              <w:t>8</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non-GAAP adjustments</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8"/>
                              </w:rPr>
                              <w:t xml:space="preserve">Non-GAAP adjustment to the income tax provision </w:t>
                            </w:r>
                            <w:r>
                              <w:rPr>
                                <w:rFonts w:ascii="Arial;sans-serif" w:hAnsi="Arial;sans-serif"/>
                                <w:b w:val="false"/>
                                <w:i w:val="false"/>
                                <w:caps w:val="false"/>
                                <w:smallCaps w:val="false"/>
                                <w:sz w:val="12"/>
                              </w:rPr>
                              <w:t>9</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8"/>
                              </w:rPr>
                              <w:t xml:space="preserve">Other tax adjustments </w:t>
                            </w:r>
                            <w:r>
                              <w:rPr>
                                <w:rFonts w:ascii="Arial;sans-serif" w:hAnsi="Arial;sans-serif"/>
                                <w:b w:val="false"/>
                                <w:i w:val="false"/>
                                <w:caps w:val="false"/>
                                <w:smallCaps w:val="false"/>
                                <w:sz w:val="12"/>
                              </w:rPr>
                              <w:t>10</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non-GAAP adjustments, net of tax</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Non-GAAP net income attributable to Nasdaq</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U.S. GAAP diluted earnings per share</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impact from NonGAAP adjustments above</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Non-GAAP diluted earnings per share</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 xml:space="preserve">Weighted-average diluted common shares outstanding for </w:t>
                            </w:r>
                          </w:p>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earnings per share:</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057900" cy="131445"/>
                <wp:effectExtent l="0" t="0" r="0" b="0"/>
                <wp:wrapNone/>
                <wp:docPr id="21" name="Frame339"/>
                <a:graphic xmlns:a="http://schemas.openxmlformats.org/drawingml/2006/main">
                  <a:graphicData uri="http://schemas.microsoft.com/office/word/2010/wordprocessingShape">
                    <wps:wsp>
                      <wps:cNvSpPr txBox="1"/>
                      <wps:spPr>
                        <a:xfrm>
                          <a:off x="0" y="0"/>
                          <a:ext cx="6057900" cy="131445"/>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Nasdaq, Inc.</w:t>
                            </w:r>
                          </w:p>
                        </w:txbxContent>
                      </wps:txbx>
                      <wps:bodyPr anchor="t" lIns="0" tIns="0" rIns="0" bIns="0">
                        <a:noAutofit/>
                      </wps:bodyPr>
                    </wps:wsp>
                  </a:graphicData>
                </a:graphic>
              </wp:anchor>
            </w:drawing>
          </mc:Choice>
          <mc:Fallback>
            <w:pict>
              <v:rect style="position:absolute;rotation:-0;width:477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Nasdaq, Inc.</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13</w:t>
      </w:r>
      <w:r>
        <mc:AlternateContent>
          <mc:Choice Requires="wps">
            <w:drawing>
              <wp:anchor behindDoc="0" distT="0" distB="0" distL="0" distR="0" simplePos="0" locked="0" layoutInCell="1" allowOverlap="1" relativeHeight="421">
                <wp:simplePos x="0" y="0"/>
                <wp:positionH relativeFrom="page">
                  <wp:posOffset>800100</wp:posOffset>
                </wp:positionH>
                <wp:positionV relativeFrom="line">
                  <wp:posOffset>635</wp:posOffset>
                </wp:positionV>
                <wp:extent cx="6057900" cy="7529830"/>
                <wp:effectExtent l="0" t="0" r="0" b="0"/>
                <wp:wrapNone/>
                <wp:docPr id="22" name="Frame418"/>
                <a:graphic xmlns:a="http://schemas.openxmlformats.org/drawingml/2006/main">
                  <a:graphicData uri="http://schemas.microsoft.com/office/word/2010/wordprocessingShape">
                    <wps:wsp>
                      <wps:cNvSpPr txBox="1"/>
                      <wps:spPr>
                        <a:xfrm>
                          <a:off x="0" y="0"/>
                          <a:ext cx="6057900" cy="7529830"/>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1320"/>
                              <w:gridCol w:w="1160"/>
                              <w:gridCol w:w="918"/>
                              <w:gridCol w:w="918"/>
                              <w:gridCol w:w="918"/>
                              <w:gridCol w:w="918"/>
                              <w:gridCol w:w="918"/>
                              <w:gridCol w:w="918"/>
                              <w:gridCol w:w="918"/>
                              <w:gridCol w:w="1299"/>
                            </w:tblGrid>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0205" w:type="dxa"/>
                                  <w:gridSpan w:val="10"/>
                                  <w:tcBorders/>
                                  <w:vAlign w:val="center"/>
                                </w:tcPr>
                                <w:p>
                                  <w:pPr>
                                    <w:pStyle w:val="TableContents"/>
                                    <w:bidi w:val="0"/>
                                    <w:spacing w:before="0" w:after="283"/>
                                    <w:jc w:val="left"/>
                                    <w:rPr>
                                      <w:sz w:val="4"/>
                                      <w:szCs w:val="4"/>
                                    </w:rPr>
                                  </w:pPr>
                                  <w:r>
                                    <w:rPr>
                                      <w:sz w:val="4"/>
                                      <w:szCs w:val="4"/>
                                    </w:rPr>
                                  </w:r>
                                </w:p>
                              </w:tc>
                            </w:tr>
                            <w:tr>
                              <w:trPr/>
                              <w:tc>
                                <w:tcPr>
                                  <w:tcW w:w="10205" w:type="dxa"/>
                                  <w:gridSpan w:val="10"/>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Reconciliation of U.S. GAAP to Non-GAAP Operating Income and Operating Margin</w:t>
                                  </w:r>
                                </w:p>
                              </w:tc>
                            </w:tr>
                            <w:tr>
                              <w:trPr/>
                              <w:tc>
                                <w:tcPr>
                                  <w:tcW w:w="10205" w:type="dxa"/>
                                  <w:gridSpan w:val="10"/>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(in millions)</w:t>
                                  </w:r>
                                </w:p>
                              </w:tc>
                            </w:tr>
                            <w:tr>
                              <w:trPr/>
                              <w:tc>
                                <w:tcPr>
                                  <w:tcW w:w="10205" w:type="dxa"/>
                                  <w:gridSpan w:val="10"/>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(unaudited)</w:t>
                                  </w:r>
                                </w:p>
                              </w:tc>
                            </w:tr>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7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1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9"/>
                                      <w:u w:val="none"/>
                                      <w:effect w:val="none"/>
                                    </w:rPr>
                                  </w:pPr>
                                  <w:r>
                                    <w:rPr>
                                      <w:rFonts w:ascii="Arial;sans-serif" w:hAnsi="Arial;sans-serif"/>
                                      <w:b/>
                                      <w:i w:val="false"/>
                                      <w:caps w:val="false"/>
                                      <w:smallCaps w:val="false"/>
                                      <w:strike w:val="false"/>
                                      <w:dstrike w:val="false"/>
                                      <w:color w:val="000000"/>
                                      <w:sz w:val="19"/>
                                      <w:u w:val="none"/>
                                      <w:effect w:val="none"/>
                                    </w:rPr>
                                    <w:t>U.S. GAAP operating income</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9"/>
                                      <w:u w:val="none"/>
                                      <w:effect w:val="none"/>
                                    </w:rPr>
                                  </w:pPr>
                                  <w:r>
                                    <w:rPr>
                                      <w:rFonts w:ascii="Arial;sans-serif" w:hAnsi="Arial;sans-serif"/>
                                      <w:b w:val="false"/>
                                      <w:i w:val="false"/>
                                      <w:caps w:val="false"/>
                                      <w:smallCaps w:val="false"/>
                                      <w:strike w:val="false"/>
                                      <w:dstrike w:val="false"/>
                                      <w:color w:val="000000"/>
                                      <w:sz w:val="19"/>
                                      <w:u w:val="none"/>
                                      <w:effect w:val="none"/>
                                    </w:rPr>
                                    <w:t>Non-GAAP adjustments:</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9"/>
                                    </w:rPr>
                                    <w:t xml:space="preserve">Amortization expense of acquired intangible assets </w:t>
                                  </w:r>
                                  <w:r>
                                    <w:rPr>
                                      <w:rFonts w:ascii="Arial;sans-serif" w:hAnsi="Arial;sans-serif"/>
                                      <w:b w:val="false"/>
                                      <w:i w:val="false"/>
                                      <w:caps w:val="false"/>
                                      <w:smallCaps w:val="false"/>
                                      <w:sz w:val="12"/>
                                    </w:rPr>
                                    <w:t>1</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9"/>
                                    </w:rPr>
                                    <w:t xml:space="preserve">Merger and strategic initiatives expense </w:t>
                                  </w:r>
                                  <w:r>
                                    <w:rPr>
                                      <w:rFonts w:ascii="Arial;sans-serif" w:hAnsi="Arial;sans-serif"/>
                                      <w:b w:val="false"/>
                                      <w:i w:val="false"/>
                                      <w:caps w:val="false"/>
                                      <w:smallCaps w:val="false"/>
                                      <w:sz w:val="12"/>
                                    </w:rPr>
                                    <w:t>2</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9"/>
                                    </w:rPr>
                                    <w:t xml:space="preserve">Restructuring charges </w:t>
                                  </w:r>
                                  <w:r>
                                    <w:rPr>
                                      <w:rFonts w:ascii="Arial;sans-serif" w:hAnsi="Arial;sans-serif"/>
                                      <w:b w:val="false"/>
                                      <w:i w:val="false"/>
                                      <w:caps w:val="false"/>
                                      <w:smallCaps w:val="false"/>
                                      <w:sz w:val="12"/>
                                    </w:rPr>
                                    <w:t>3</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9"/>
                                    </w:rPr>
                                    <w:t xml:space="preserve">Gain from extinguishment of debt </w:t>
                                  </w:r>
                                  <w:r>
                                    <w:rPr>
                                      <w:rFonts w:ascii="Arial;sans-serif" w:hAnsi="Arial;sans-serif"/>
                                      <w:b w:val="false"/>
                                      <w:i w:val="false"/>
                                      <w:caps w:val="false"/>
                                      <w:smallCaps w:val="false"/>
                                      <w:sz w:val="12"/>
                                    </w:rPr>
                                    <w:t>4</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9"/>
                                    </w:rPr>
                                    <w:t xml:space="preserve">Legal and regulatory matters </w:t>
                                  </w:r>
                                  <w:r>
                                    <w:rPr>
                                      <w:rFonts w:ascii="Arial;sans-serif" w:hAnsi="Arial;sans-serif"/>
                                      <w:b w:val="false"/>
                                      <w:i w:val="false"/>
                                      <w:caps w:val="false"/>
                                      <w:smallCaps w:val="false"/>
                                      <w:sz w:val="12"/>
                                    </w:rPr>
                                    <w:t>5</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rFonts w:ascii="Arial;sans-serif" w:hAnsi="Arial;sans-serif"/>
                                      <w:b w:val="false"/>
                                      <w:i w:val="false"/>
                                      <w:caps w:val="false"/>
                                      <w:smallCaps w:val="false"/>
                                      <w:sz w:val="19"/>
                                    </w:rPr>
                                  </w:pPr>
                                  <w:r>
                                    <w:rPr>
                                      <w:rFonts w:ascii="Arial;sans-serif" w:hAnsi="Arial;sans-serif"/>
                                      <w:b w:val="false"/>
                                      <w:i w:val="false"/>
                                      <w:caps w:val="false"/>
                                      <w:smallCaps w:val="false"/>
                                      <w:sz w:val="19"/>
                                    </w:rPr>
                                    <w:t>Other loss</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9"/>
                                      <w:u w:val="none"/>
                                      <w:effect w:val="none"/>
                                    </w:rPr>
                                  </w:pPr>
                                  <w:r>
                                    <w:rPr>
                                      <w:rFonts w:ascii="Arial;sans-serif" w:hAnsi="Arial;sans-serif"/>
                                      <w:b w:val="false"/>
                                      <w:i w:val="false"/>
                                      <w:caps w:val="false"/>
                                      <w:smallCaps w:val="false"/>
                                      <w:strike w:val="false"/>
                                      <w:dstrike w:val="false"/>
                                      <w:color w:val="000000"/>
                                      <w:sz w:val="19"/>
                                      <w:u w:val="none"/>
                                      <w:effect w:val="none"/>
                                    </w:rPr>
                                    <w:t>Total non-GAAP adjustments</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9"/>
                                      <w:u w:val="none"/>
                                      <w:effect w:val="none"/>
                                    </w:rPr>
                                  </w:pPr>
                                  <w:r>
                                    <w:rPr>
                                      <w:rFonts w:ascii="Arial;sans-serif" w:hAnsi="Arial;sans-serif"/>
                                      <w:b/>
                                      <w:i w:val="false"/>
                                      <w:caps w:val="false"/>
                                      <w:smallCaps w:val="false"/>
                                      <w:strike w:val="false"/>
                                      <w:dstrike w:val="false"/>
                                      <w:color w:val="000000"/>
                                      <w:sz w:val="19"/>
                                      <w:u w:val="none"/>
                                      <w:effect w:val="none"/>
                                    </w:rPr>
                                    <w:t>Non-GAAP operating income</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9"/>
                                      <w:u w:val="none"/>
                                      <w:effect w:val="none"/>
                                    </w:rPr>
                                  </w:pPr>
                                  <w:r>
                                    <w:rPr>
                                      <w:rFonts w:ascii="Arial;sans-serif" w:hAnsi="Arial;sans-serif"/>
                                      <w:b/>
                                      <w:i w:val="false"/>
                                      <w:caps w:val="false"/>
                                      <w:smallCaps w:val="false"/>
                                      <w:strike w:val="false"/>
                                      <w:dstrike w:val="false"/>
                                      <w:color w:val="000000"/>
                                      <w:sz w:val="19"/>
                                      <w:u w:val="none"/>
                                      <w:effect w:val="none"/>
                                    </w:rPr>
                                    <w:t xml:space="preserve">Revenues less transaction-based expenses </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i w:val="false"/>
                                      <w:caps w:val="false"/>
                                      <w:smallCaps w:val="false"/>
                                      <w:sz w:val="19"/>
                                    </w:rPr>
                                    <w:t xml:space="preserve">U.S. GAAP operating margin </w:t>
                                  </w:r>
                                  <w:r>
                                    <w:rPr>
                                      <w:rFonts w:ascii="Arial;sans-serif" w:hAnsi="Arial;sans-serif"/>
                                      <w:b/>
                                      <w:i w:val="false"/>
                                      <w:caps w:val="false"/>
                                      <w:smallCaps w:val="false"/>
                                      <w:sz w:val="12"/>
                                    </w:rPr>
                                    <w:t>11</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i w:val="false"/>
                                      <w:caps w:val="false"/>
                                      <w:smallCaps w:val="false"/>
                                      <w:sz w:val="19"/>
                                    </w:rPr>
                                    <w:t xml:space="preserve">Non-GAAP operating margin </w:t>
                                  </w:r>
                                  <w:r>
                                    <w:rPr>
                                      <w:rFonts w:ascii="Arial;sans-serif" w:hAnsi="Arial;sans-serif"/>
                                      <w:b/>
                                      <w:i w:val="false"/>
                                      <w:caps w:val="false"/>
                                      <w:smallCaps w:val="false"/>
                                      <w:sz w:val="12"/>
                                    </w:rPr>
                                    <w:t>12</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0205" w:type="dxa"/>
                                  <w:gridSpan w:val="10"/>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 xml:space="preserve">Note: The percentages are calculated based on exact dollars, and therefore may not recalculate exactly </w:t>
                                  </w:r>
                                </w:p>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using rounded numbers as presented in US$ millions.</w:t>
                                  </w:r>
                                </w:p>
                              </w:tc>
                            </w:tr>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77pt;height:592.9pt;mso-wrap-distance-left:0pt;mso-wrap-distance-right:0pt;mso-wrap-distance-top:0pt;mso-wrap-distance-bottom:0pt;margin-top:0pt;mso-position-vertical:top;mso-position-vertical-relative:text;margin-left:63pt;mso-position-horizontal-relative:page">
                <v:textbox>
                  <w:txbxContent>
                    <w:tbl>
                      <w:tblPr>
                        <w:tblW w:w="10205" w:type="dxa"/>
                        <w:jc w:val="left"/>
                        <w:tblInd w:w="0" w:type="dxa"/>
                        <w:tblLayout w:type="fixed"/>
                        <w:tblCellMar>
                          <w:top w:w="28" w:type="dxa"/>
                          <w:left w:w="28" w:type="dxa"/>
                          <w:bottom w:w="28" w:type="dxa"/>
                          <w:right w:w="28" w:type="dxa"/>
                        </w:tblCellMar>
                      </w:tblPr>
                      <w:tblGrid>
                        <w:gridCol w:w="1320"/>
                        <w:gridCol w:w="1160"/>
                        <w:gridCol w:w="918"/>
                        <w:gridCol w:w="918"/>
                        <w:gridCol w:w="918"/>
                        <w:gridCol w:w="918"/>
                        <w:gridCol w:w="918"/>
                        <w:gridCol w:w="918"/>
                        <w:gridCol w:w="918"/>
                        <w:gridCol w:w="1299"/>
                      </w:tblGrid>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0205" w:type="dxa"/>
                            <w:gridSpan w:val="10"/>
                            <w:tcBorders/>
                            <w:vAlign w:val="center"/>
                          </w:tcPr>
                          <w:p>
                            <w:pPr>
                              <w:pStyle w:val="TableContents"/>
                              <w:bidi w:val="0"/>
                              <w:spacing w:before="0" w:after="283"/>
                              <w:jc w:val="left"/>
                              <w:rPr>
                                <w:sz w:val="4"/>
                                <w:szCs w:val="4"/>
                              </w:rPr>
                            </w:pPr>
                            <w:r>
                              <w:rPr>
                                <w:sz w:val="4"/>
                                <w:szCs w:val="4"/>
                              </w:rPr>
                            </w:r>
                          </w:p>
                        </w:tc>
                      </w:tr>
                      <w:tr>
                        <w:trPr/>
                        <w:tc>
                          <w:tcPr>
                            <w:tcW w:w="10205" w:type="dxa"/>
                            <w:gridSpan w:val="10"/>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Reconciliation of U.S. GAAP to Non-GAAP Operating Income and Operating Margin</w:t>
                            </w:r>
                          </w:p>
                        </w:tc>
                      </w:tr>
                      <w:tr>
                        <w:trPr/>
                        <w:tc>
                          <w:tcPr>
                            <w:tcW w:w="10205" w:type="dxa"/>
                            <w:gridSpan w:val="10"/>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(in millions)</w:t>
                            </w:r>
                          </w:p>
                        </w:tc>
                      </w:tr>
                      <w:tr>
                        <w:trPr/>
                        <w:tc>
                          <w:tcPr>
                            <w:tcW w:w="10205" w:type="dxa"/>
                            <w:gridSpan w:val="10"/>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(unaudited)</w:t>
                            </w:r>
                          </w:p>
                        </w:tc>
                      </w:tr>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135" w:type="dxa"/>
                            <w:gridSpan w:val="3"/>
                            <w:tcBorders/>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7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313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9"/>
                                <w:u w:val="none"/>
                                <w:effect w:val="none"/>
                              </w:rPr>
                            </w:pPr>
                            <w:r>
                              <w:rPr>
                                <w:rFonts w:ascii="Arial;sans-serif" w:hAnsi="Arial;sans-serif"/>
                                <w:b/>
                                <w:i w:val="false"/>
                                <w:caps w:val="false"/>
                                <w:smallCaps w:val="false"/>
                                <w:strike w:val="false"/>
                                <w:dstrike w:val="false"/>
                                <w:color w:val="000000"/>
                                <w:sz w:val="19"/>
                                <w:u w:val="none"/>
                                <w:effect w:val="none"/>
                              </w:rPr>
                              <w:t>U.S. GAAP operating income</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9"/>
                                <w:u w:val="none"/>
                                <w:effect w:val="none"/>
                              </w:rPr>
                            </w:pPr>
                            <w:r>
                              <w:rPr>
                                <w:rFonts w:ascii="Arial;sans-serif" w:hAnsi="Arial;sans-serif"/>
                                <w:b w:val="false"/>
                                <w:i w:val="false"/>
                                <w:caps w:val="false"/>
                                <w:smallCaps w:val="false"/>
                                <w:strike w:val="false"/>
                                <w:dstrike w:val="false"/>
                                <w:color w:val="000000"/>
                                <w:sz w:val="19"/>
                                <w:u w:val="none"/>
                                <w:effect w:val="none"/>
                              </w:rPr>
                              <w:t>Non-GAAP adjustments:</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9"/>
                              </w:rPr>
                              <w:t xml:space="preserve">Amortization expense of acquired intangible assets </w:t>
                            </w:r>
                            <w:r>
                              <w:rPr>
                                <w:rFonts w:ascii="Arial;sans-serif" w:hAnsi="Arial;sans-serif"/>
                                <w:b w:val="false"/>
                                <w:i w:val="false"/>
                                <w:caps w:val="false"/>
                                <w:smallCaps w:val="false"/>
                                <w:sz w:val="12"/>
                              </w:rPr>
                              <w:t>1</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9"/>
                              </w:rPr>
                              <w:t xml:space="preserve">Merger and strategic initiatives expense </w:t>
                            </w:r>
                            <w:r>
                              <w:rPr>
                                <w:rFonts w:ascii="Arial;sans-serif" w:hAnsi="Arial;sans-serif"/>
                                <w:b w:val="false"/>
                                <w:i w:val="false"/>
                                <w:caps w:val="false"/>
                                <w:smallCaps w:val="false"/>
                                <w:sz w:val="12"/>
                              </w:rPr>
                              <w:t>2</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9"/>
                              </w:rPr>
                              <w:t xml:space="preserve">Restructuring charges </w:t>
                            </w:r>
                            <w:r>
                              <w:rPr>
                                <w:rFonts w:ascii="Arial;sans-serif" w:hAnsi="Arial;sans-serif"/>
                                <w:b w:val="false"/>
                                <w:i w:val="false"/>
                                <w:caps w:val="false"/>
                                <w:smallCaps w:val="false"/>
                                <w:sz w:val="12"/>
                              </w:rPr>
                              <w:t>3</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9"/>
                              </w:rPr>
                              <w:t xml:space="preserve">Gain from extinguishment of debt </w:t>
                            </w:r>
                            <w:r>
                              <w:rPr>
                                <w:rFonts w:ascii="Arial;sans-serif" w:hAnsi="Arial;sans-serif"/>
                                <w:b w:val="false"/>
                                <w:i w:val="false"/>
                                <w:caps w:val="false"/>
                                <w:smallCaps w:val="false"/>
                                <w:sz w:val="12"/>
                              </w:rPr>
                              <w:t>4</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9"/>
                              </w:rPr>
                              <w:t xml:space="preserve">Legal and regulatory matters </w:t>
                            </w:r>
                            <w:r>
                              <w:rPr>
                                <w:rFonts w:ascii="Arial;sans-serif" w:hAnsi="Arial;sans-serif"/>
                                <w:b w:val="false"/>
                                <w:i w:val="false"/>
                                <w:caps w:val="false"/>
                                <w:smallCaps w:val="false"/>
                                <w:sz w:val="12"/>
                              </w:rPr>
                              <w:t>5</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rFonts w:ascii="Arial;sans-serif" w:hAnsi="Arial;sans-serif"/>
                                <w:b w:val="false"/>
                                <w:i w:val="false"/>
                                <w:caps w:val="false"/>
                                <w:smallCaps w:val="false"/>
                                <w:sz w:val="19"/>
                              </w:rPr>
                            </w:pPr>
                            <w:r>
                              <w:rPr>
                                <w:rFonts w:ascii="Arial;sans-serif" w:hAnsi="Arial;sans-serif"/>
                                <w:b w:val="false"/>
                                <w:i w:val="false"/>
                                <w:caps w:val="false"/>
                                <w:smallCaps w:val="false"/>
                                <w:sz w:val="19"/>
                              </w:rPr>
                              <w:t>Other loss</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9"/>
                                <w:u w:val="none"/>
                                <w:effect w:val="none"/>
                              </w:rPr>
                            </w:pPr>
                            <w:r>
                              <w:rPr>
                                <w:rFonts w:ascii="Arial;sans-serif" w:hAnsi="Arial;sans-serif"/>
                                <w:b w:val="false"/>
                                <w:i w:val="false"/>
                                <w:caps w:val="false"/>
                                <w:smallCaps w:val="false"/>
                                <w:strike w:val="false"/>
                                <w:dstrike w:val="false"/>
                                <w:color w:val="000000"/>
                                <w:sz w:val="19"/>
                                <w:u w:val="none"/>
                                <w:effect w:val="none"/>
                              </w:rPr>
                              <w:t>Total non-GAAP adjustments</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9"/>
                                <w:u w:val="none"/>
                                <w:effect w:val="none"/>
                              </w:rPr>
                            </w:pPr>
                            <w:r>
                              <w:rPr>
                                <w:rFonts w:ascii="Arial;sans-serif" w:hAnsi="Arial;sans-serif"/>
                                <w:b/>
                                <w:i w:val="false"/>
                                <w:caps w:val="false"/>
                                <w:smallCaps w:val="false"/>
                                <w:strike w:val="false"/>
                                <w:dstrike w:val="false"/>
                                <w:color w:val="000000"/>
                                <w:sz w:val="19"/>
                                <w:u w:val="none"/>
                                <w:effect w:val="none"/>
                              </w:rPr>
                              <w:t>Non-GAAP operating income</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9"/>
                                <w:u w:val="none"/>
                                <w:effect w:val="none"/>
                              </w:rPr>
                            </w:pPr>
                            <w:r>
                              <w:rPr>
                                <w:rFonts w:ascii="Arial;sans-serif" w:hAnsi="Arial;sans-serif"/>
                                <w:b/>
                                <w:i w:val="false"/>
                                <w:caps w:val="false"/>
                                <w:smallCaps w:val="false"/>
                                <w:strike w:val="false"/>
                                <w:dstrike w:val="false"/>
                                <w:color w:val="000000"/>
                                <w:sz w:val="19"/>
                                <w:u w:val="none"/>
                                <w:effect w:val="none"/>
                              </w:rPr>
                              <w:t xml:space="preserve">Revenues less transaction-based expenses </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i w:val="false"/>
                                <w:caps w:val="false"/>
                                <w:smallCaps w:val="false"/>
                                <w:sz w:val="19"/>
                              </w:rPr>
                              <w:t xml:space="preserve">U.S. GAAP operating margin </w:t>
                            </w:r>
                            <w:r>
                              <w:rPr>
                                <w:rFonts w:ascii="Arial;sans-serif" w:hAnsi="Arial;sans-serif"/>
                                <w:b/>
                                <w:i w:val="false"/>
                                <w:caps w:val="false"/>
                                <w:smallCaps w:val="false"/>
                                <w:sz w:val="12"/>
                              </w:rPr>
                              <w:t>11</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2480" w:type="dxa"/>
                            <w:gridSpan w:val="2"/>
                            <w:tcBorders/>
                            <w:vAlign w:val="center"/>
                          </w:tcPr>
                          <w:p>
                            <w:pPr>
                              <w:pStyle w:val="TableContents"/>
                              <w:bidi w:val="0"/>
                              <w:spacing w:lineRule="atLeast" w:line="142" w:before="0" w:after="0"/>
                              <w:jc w:val="left"/>
                              <w:rPr/>
                            </w:pPr>
                            <w:r>
                              <w:rPr>
                                <w:rFonts w:ascii="Arial;sans-serif" w:hAnsi="Arial;sans-serif"/>
                                <w:b/>
                                <w:i w:val="false"/>
                                <w:caps w:val="false"/>
                                <w:smallCaps w:val="false"/>
                                <w:sz w:val="19"/>
                              </w:rPr>
                              <w:t xml:space="preserve">Non-GAAP operating margin </w:t>
                            </w:r>
                            <w:r>
                              <w:rPr>
                                <w:rFonts w:ascii="Arial;sans-serif" w:hAnsi="Arial;sans-serif"/>
                                <w:b/>
                                <w:i w:val="false"/>
                                <w:caps w:val="false"/>
                                <w:smallCaps w:val="false"/>
                                <w:sz w:val="12"/>
                              </w:rPr>
                              <w:t>12</w:t>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r>
                        <w:trPr/>
                        <w:tc>
                          <w:tcPr>
                            <w:tcW w:w="10205" w:type="dxa"/>
                            <w:gridSpan w:val="10"/>
                            <w:tcBorders/>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 xml:space="preserve">Note: The percentages are calculated based on exact dollars, and therefore may not recalculate exactly </w:t>
                            </w:r>
                          </w:p>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using rounded numbers as presented in US$ millions.</w:t>
                            </w:r>
                          </w:p>
                        </w:tc>
                      </w:tr>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057900" cy="146050"/>
                <wp:effectExtent l="0" t="0" r="0" b="0"/>
                <wp:wrapNone/>
                <wp:docPr id="23" name="Frame419"/>
                <a:graphic xmlns:a="http://schemas.openxmlformats.org/drawingml/2006/main">
                  <a:graphicData uri="http://schemas.microsoft.com/office/word/2010/wordprocessingShape">
                    <wps:wsp>
                      <wps:cNvSpPr txBox="1"/>
                      <wps:spPr>
                        <a:xfrm>
                          <a:off x="0" y="0"/>
                          <a:ext cx="6057900" cy="146050"/>
                        </a:xfrm>
                        <a:prstGeom prst="rect"/>
                        <a:solidFill>
                          <a:srgbClr val="FFFFFF"/>
                        </a:solidFill>
                      </wps:spPr>
                      <wps:txbx>
                        <w:txbxContent>
                          <w:p>
                            <w:pPr>
                              <w:pStyle w:val="TextBody"/>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Nasdaq, Inc.</w:t>
                            </w:r>
                          </w:p>
                        </w:txbxContent>
                      </wps:txbx>
                      <wps:bodyPr anchor="t" lIns="0" tIns="0" rIns="0" bIns="0">
                        <a:noAutofit/>
                      </wps:bodyPr>
                    </wps:wsp>
                  </a:graphicData>
                </a:graphic>
              </wp:anchor>
            </w:drawing>
          </mc:Choice>
          <mc:Fallback>
            <w:pict>
              <v:rect style="position:absolute;rotation:-0;width:477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Nasdaq, Inc.</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14</w:t>
      </w:r>
      <w:r>
        <mc:AlternateContent>
          <mc:Choice Requires="wps">
            <w:drawing>
              <wp:anchor behindDoc="0" distT="0" distB="0" distL="0" distR="0" simplePos="0" locked="0" layoutInCell="1" allowOverlap="1" relativeHeight="477">
                <wp:simplePos x="0" y="0"/>
                <wp:positionH relativeFrom="page">
                  <wp:posOffset>800100</wp:posOffset>
                </wp:positionH>
                <wp:positionV relativeFrom="line">
                  <wp:posOffset>635</wp:posOffset>
                </wp:positionV>
                <wp:extent cx="5943600" cy="5237480"/>
                <wp:effectExtent l="0" t="0" r="0" b="0"/>
                <wp:wrapNone/>
                <wp:docPr id="24" name="Frame474"/>
                <a:graphic xmlns:a="http://schemas.openxmlformats.org/drawingml/2006/main">
                  <a:graphicData uri="http://schemas.microsoft.com/office/word/2010/wordprocessingShape">
                    <wps:wsp>
                      <wps:cNvSpPr txBox="1"/>
                      <wps:spPr>
                        <a:xfrm>
                          <a:off x="0" y="0"/>
                          <a:ext cx="5943600" cy="5237480"/>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1395"/>
                              <w:gridCol w:w="1228"/>
                              <w:gridCol w:w="901"/>
                              <w:gridCol w:w="901"/>
                              <w:gridCol w:w="901"/>
                              <w:gridCol w:w="901"/>
                              <w:gridCol w:w="901"/>
                              <w:gridCol w:w="901"/>
                              <w:gridCol w:w="901"/>
                              <w:gridCol w:w="1275"/>
                            </w:tblGrid>
                            <w:tr>
                              <w:trPr/>
                              <w:tc>
                                <w:tcPr>
                                  <w:tcW w:w="139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10205" w:type="dxa"/>
                                  <w:gridSpan w:val="10"/>
                                  <w:tcBorders/>
                                  <w:vAlign w:val="center"/>
                                </w:tcPr>
                                <w:p>
                                  <w:pPr>
                                    <w:pStyle w:val="TableContents"/>
                                    <w:bidi w:val="0"/>
                                    <w:spacing w:before="0" w:after="283"/>
                                    <w:jc w:val="left"/>
                                    <w:rPr>
                                      <w:sz w:val="4"/>
                                      <w:szCs w:val="4"/>
                                    </w:rPr>
                                  </w:pPr>
                                  <w:r>
                                    <w:rPr>
                                      <w:sz w:val="4"/>
                                      <w:szCs w:val="4"/>
                                    </w:rPr>
                                  </w:r>
                                </w:p>
                              </w:tc>
                            </w:tr>
                            <w:tr>
                              <w:trPr/>
                              <w:tc>
                                <w:tcPr>
                                  <w:tcW w:w="10205" w:type="dxa"/>
                                  <w:gridSpan w:val="10"/>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Reconciliation of U.S. GAAP to Non-GAAP Operating Expenses</w:t>
                                  </w:r>
                                </w:p>
                              </w:tc>
                            </w:tr>
                            <w:tr>
                              <w:trPr/>
                              <w:tc>
                                <w:tcPr>
                                  <w:tcW w:w="10205" w:type="dxa"/>
                                  <w:gridSpan w:val="10"/>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(in millions)</w:t>
                                  </w:r>
                                </w:p>
                              </w:tc>
                            </w:tr>
                            <w:tr>
                              <w:trPr/>
                              <w:tc>
                                <w:tcPr>
                                  <w:tcW w:w="10205" w:type="dxa"/>
                                  <w:gridSpan w:val="10"/>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(unaudited)</w:t>
                                  </w:r>
                                </w:p>
                              </w:tc>
                            </w:tr>
                            <w:tr>
                              <w:trPr/>
                              <w:tc>
                                <w:tcPr>
                                  <w:tcW w:w="139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077" w:type="dxa"/>
                                  <w:gridSpan w:val="3"/>
                                  <w:tcBorders/>
                                  <w:vAlign w:val="center"/>
                                </w:tcPr>
                                <w:p>
                                  <w:pPr>
                                    <w:pStyle w:val="TableContents"/>
                                    <w:bidi w:val="0"/>
                                    <w:spacing w:before="0" w:after="283"/>
                                    <w:jc w:val="left"/>
                                    <w:rPr>
                                      <w:sz w:val="4"/>
                                      <w:szCs w:val="4"/>
                                    </w:rPr>
                                  </w:pPr>
                                  <w:r>
                                    <w:rPr>
                                      <w:sz w:val="4"/>
                                      <w:szCs w:val="4"/>
                                    </w:rPr>
                                  </w:r>
                                </w:p>
                              </w:tc>
                            </w:tr>
                            <w:tr>
                              <w:trPr/>
                              <w:tc>
                                <w:tcPr>
                                  <w:tcW w:w="139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0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2"/>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U.S. GAAP operating expenses</w:t>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2623" w:type="dxa"/>
                                  <w:gridSpan w:val="2"/>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Non-GAAP adjustments:</w:t>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2623"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8"/>
                                    </w:rPr>
                                    <w:t>Amortization expense of acquired intangible assets</w:t>
                                  </w:r>
                                  <w:r>
                                    <w:rPr>
                                      <w:caps w:val="false"/>
                                      <w:smallCaps w:val="false"/>
                                    </w:rPr>
                                    <w:t xml:space="preserve"> </w:t>
                                  </w:r>
                                  <w:r>
                                    <w:rPr>
                                      <w:rFonts w:ascii="Arial;sans-serif" w:hAnsi="Arial;sans-serif"/>
                                      <w:b w:val="false"/>
                                      <w:i w:val="false"/>
                                      <w:caps w:val="false"/>
                                      <w:smallCaps w:val="false"/>
                                      <w:sz w:val="12"/>
                                    </w:rPr>
                                    <w:t>1</w:t>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2623"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8"/>
                                    </w:rPr>
                                    <w:t xml:space="preserve">Merger and strategic initiatives expense </w:t>
                                  </w:r>
                                  <w:r>
                                    <w:rPr>
                                      <w:rFonts w:ascii="Arial;sans-serif" w:hAnsi="Arial;sans-serif"/>
                                      <w:b w:val="false"/>
                                      <w:i w:val="false"/>
                                      <w:caps w:val="false"/>
                                      <w:smallCaps w:val="false"/>
                                      <w:sz w:val="12"/>
                                    </w:rPr>
                                    <w:t>2</w:t>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2623"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8"/>
                                    </w:rPr>
                                    <w:t xml:space="preserve">Restructuring charges </w:t>
                                  </w:r>
                                  <w:r>
                                    <w:rPr>
                                      <w:rFonts w:ascii="Arial;sans-serif" w:hAnsi="Arial;sans-serif"/>
                                      <w:b w:val="false"/>
                                      <w:i w:val="false"/>
                                      <w:caps w:val="false"/>
                                      <w:smallCaps w:val="false"/>
                                      <w:sz w:val="12"/>
                                    </w:rPr>
                                    <w:t>3</w:t>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2623"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8"/>
                                    </w:rPr>
                                    <w:t xml:space="preserve">Gain on extinguishment of debt </w:t>
                                  </w:r>
                                  <w:r>
                                    <w:rPr>
                                      <w:rFonts w:ascii="Arial;sans-serif" w:hAnsi="Arial;sans-serif"/>
                                      <w:b w:val="false"/>
                                      <w:i w:val="false"/>
                                      <w:caps w:val="false"/>
                                      <w:smallCaps w:val="false"/>
                                      <w:sz w:val="12"/>
                                    </w:rPr>
                                    <w:t>4</w:t>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2623"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8"/>
                                    </w:rPr>
                                    <w:t xml:space="preserve">Legal and regulatory matters </w:t>
                                  </w:r>
                                  <w:r>
                                    <w:rPr>
                                      <w:rFonts w:ascii="Arial;sans-serif" w:hAnsi="Arial;sans-serif"/>
                                      <w:b w:val="false"/>
                                      <w:i w:val="false"/>
                                      <w:caps w:val="false"/>
                                      <w:smallCaps w:val="false"/>
                                      <w:sz w:val="12"/>
                                    </w:rPr>
                                    <w:t>5</w:t>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2623" w:type="dxa"/>
                                  <w:gridSpan w:val="2"/>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loss</w:t>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2"/>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non-GAAP adjustments</w:t>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2"/>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Non-GAAP operating expenses</w:t>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5"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68pt;height:412.4pt;mso-wrap-distance-left:0pt;mso-wrap-distance-right:0pt;mso-wrap-distance-top:0pt;mso-wrap-distance-bottom:0pt;margin-top:0pt;mso-position-vertical:top;mso-position-vertical-relative:text;margin-left:63pt;mso-position-horizontal-relative:page">
                <v:textbox>
                  <w:txbxContent>
                    <w:tbl>
                      <w:tblPr>
                        <w:tblW w:w="10205" w:type="dxa"/>
                        <w:jc w:val="left"/>
                        <w:tblInd w:w="0" w:type="dxa"/>
                        <w:tblLayout w:type="fixed"/>
                        <w:tblCellMar>
                          <w:top w:w="28" w:type="dxa"/>
                          <w:left w:w="28" w:type="dxa"/>
                          <w:bottom w:w="28" w:type="dxa"/>
                          <w:right w:w="28" w:type="dxa"/>
                        </w:tblCellMar>
                      </w:tblPr>
                      <w:tblGrid>
                        <w:gridCol w:w="1395"/>
                        <w:gridCol w:w="1228"/>
                        <w:gridCol w:w="901"/>
                        <w:gridCol w:w="901"/>
                        <w:gridCol w:w="901"/>
                        <w:gridCol w:w="901"/>
                        <w:gridCol w:w="901"/>
                        <w:gridCol w:w="901"/>
                        <w:gridCol w:w="901"/>
                        <w:gridCol w:w="1275"/>
                      </w:tblGrid>
                      <w:tr>
                        <w:trPr/>
                        <w:tc>
                          <w:tcPr>
                            <w:tcW w:w="139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10205" w:type="dxa"/>
                            <w:gridSpan w:val="10"/>
                            <w:tcBorders/>
                            <w:vAlign w:val="center"/>
                          </w:tcPr>
                          <w:p>
                            <w:pPr>
                              <w:pStyle w:val="TableContents"/>
                              <w:bidi w:val="0"/>
                              <w:spacing w:before="0" w:after="283"/>
                              <w:jc w:val="left"/>
                              <w:rPr>
                                <w:sz w:val="4"/>
                                <w:szCs w:val="4"/>
                              </w:rPr>
                            </w:pPr>
                            <w:r>
                              <w:rPr>
                                <w:sz w:val="4"/>
                                <w:szCs w:val="4"/>
                              </w:rPr>
                            </w:r>
                          </w:p>
                        </w:tc>
                      </w:tr>
                      <w:tr>
                        <w:trPr/>
                        <w:tc>
                          <w:tcPr>
                            <w:tcW w:w="10205" w:type="dxa"/>
                            <w:gridSpan w:val="10"/>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Reconciliation of U.S. GAAP to Non-GAAP Operating Expenses</w:t>
                            </w:r>
                          </w:p>
                        </w:tc>
                      </w:tr>
                      <w:tr>
                        <w:trPr/>
                        <w:tc>
                          <w:tcPr>
                            <w:tcW w:w="10205" w:type="dxa"/>
                            <w:gridSpan w:val="10"/>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(in millions)</w:t>
                            </w:r>
                          </w:p>
                        </w:tc>
                      </w:tr>
                      <w:tr>
                        <w:trPr/>
                        <w:tc>
                          <w:tcPr>
                            <w:tcW w:w="10205" w:type="dxa"/>
                            <w:gridSpan w:val="10"/>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(unaudited)</w:t>
                            </w:r>
                          </w:p>
                        </w:tc>
                      </w:tr>
                      <w:tr>
                        <w:trPr/>
                        <w:tc>
                          <w:tcPr>
                            <w:tcW w:w="139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077" w:type="dxa"/>
                            <w:gridSpan w:val="3"/>
                            <w:tcBorders/>
                            <w:vAlign w:val="center"/>
                          </w:tcPr>
                          <w:p>
                            <w:pPr>
                              <w:pStyle w:val="TableContents"/>
                              <w:bidi w:val="0"/>
                              <w:spacing w:before="0" w:after="283"/>
                              <w:jc w:val="left"/>
                              <w:rPr>
                                <w:sz w:val="4"/>
                                <w:szCs w:val="4"/>
                              </w:rPr>
                            </w:pPr>
                            <w:r>
                              <w:rPr>
                                <w:sz w:val="4"/>
                                <w:szCs w:val="4"/>
                              </w:rPr>
                            </w:r>
                          </w:p>
                        </w:tc>
                      </w:tr>
                      <w:tr>
                        <w:trPr/>
                        <w:tc>
                          <w:tcPr>
                            <w:tcW w:w="139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0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307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2"/>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U.S. GAAP operating expenses</w:t>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2623" w:type="dxa"/>
                            <w:gridSpan w:val="2"/>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Non-GAAP adjustments:</w:t>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2623"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8"/>
                              </w:rPr>
                              <w:t>Amortization expense of acquired intangible assets</w:t>
                            </w:r>
                            <w:r>
                              <w:rPr>
                                <w:caps w:val="false"/>
                                <w:smallCaps w:val="false"/>
                              </w:rPr>
                              <w:t xml:space="preserve"> </w:t>
                            </w:r>
                            <w:r>
                              <w:rPr>
                                <w:rFonts w:ascii="Arial;sans-serif" w:hAnsi="Arial;sans-serif"/>
                                <w:b w:val="false"/>
                                <w:i w:val="false"/>
                                <w:caps w:val="false"/>
                                <w:smallCaps w:val="false"/>
                                <w:sz w:val="12"/>
                              </w:rPr>
                              <w:t>1</w:t>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2623"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8"/>
                              </w:rPr>
                              <w:t xml:space="preserve">Merger and strategic initiatives expense </w:t>
                            </w:r>
                            <w:r>
                              <w:rPr>
                                <w:rFonts w:ascii="Arial;sans-serif" w:hAnsi="Arial;sans-serif"/>
                                <w:b w:val="false"/>
                                <w:i w:val="false"/>
                                <w:caps w:val="false"/>
                                <w:smallCaps w:val="false"/>
                                <w:sz w:val="12"/>
                              </w:rPr>
                              <w:t>2</w:t>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2623"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8"/>
                              </w:rPr>
                              <w:t xml:space="preserve">Restructuring charges </w:t>
                            </w:r>
                            <w:r>
                              <w:rPr>
                                <w:rFonts w:ascii="Arial;sans-serif" w:hAnsi="Arial;sans-serif"/>
                                <w:b w:val="false"/>
                                <w:i w:val="false"/>
                                <w:caps w:val="false"/>
                                <w:smallCaps w:val="false"/>
                                <w:sz w:val="12"/>
                              </w:rPr>
                              <w:t>3</w:t>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2623"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8"/>
                              </w:rPr>
                              <w:t xml:space="preserve">Gain on extinguishment of debt </w:t>
                            </w:r>
                            <w:r>
                              <w:rPr>
                                <w:rFonts w:ascii="Arial;sans-serif" w:hAnsi="Arial;sans-serif"/>
                                <w:b w:val="false"/>
                                <w:i w:val="false"/>
                                <w:caps w:val="false"/>
                                <w:smallCaps w:val="false"/>
                                <w:sz w:val="12"/>
                              </w:rPr>
                              <w:t>4</w:t>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2623" w:type="dxa"/>
                            <w:gridSpan w:val="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8"/>
                              </w:rPr>
                              <w:t xml:space="preserve">Legal and regulatory matters </w:t>
                            </w:r>
                            <w:r>
                              <w:rPr>
                                <w:rFonts w:ascii="Arial;sans-serif" w:hAnsi="Arial;sans-serif"/>
                                <w:b w:val="false"/>
                                <w:i w:val="false"/>
                                <w:caps w:val="false"/>
                                <w:smallCaps w:val="false"/>
                                <w:sz w:val="12"/>
                              </w:rPr>
                              <w:t>5</w:t>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2623" w:type="dxa"/>
                            <w:gridSpan w:val="2"/>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Other loss</w:t>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2"/>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Total non-GAAP adjustments</w:t>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623" w:type="dxa"/>
                            <w:gridSpan w:val="2"/>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Non-GAAP operating expenses</w:t>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5"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275"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5943600" cy="146050"/>
                <wp:effectExtent l="0" t="0" r="0" b="0"/>
                <wp:wrapNone/>
                <wp:docPr id="25" name="Frame475"/>
                <a:graphic xmlns:a="http://schemas.openxmlformats.org/drawingml/2006/main">
                  <a:graphicData uri="http://schemas.microsoft.com/office/word/2010/wordprocessingShape">
                    <wps:wsp>
                      <wps:cNvSpPr txBox="1"/>
                      <wps:spPr>
                        <a:xfrm>
                          <a:off x="0" y="0"/>
                          <a:ext cx="5943600" cy="146050"/>
                        </a:xfrm>
                        <a:prstGeom prst="rect"/>
                        <a:solidFill>
                          <a:srgbClr val="FFFFFF"/>
                        </a:solidFill>
                      </wps:spPr>
                      <wps:txbx>
                        <w:txbxContent>
                          <w:p>
                            <w:pPr>
                              <w:pStyle w:val="TextBody"/>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Nasdaq, Inc.</w:t>
                            </w:r>
                          </w:p>
                        </w:txbxContent>
                      </wps:txbx>
                      <wps:bodyPr anchor="t" lIns="0" tIns="0" rIns="0" bIns="0">
                        <a:noAutofit/>
                      </wps:bodyPr>
                    </wps:wsp>
                  </a:graphicData>
                </a:graphic>
              </wp:anchor>
            </w:drawing>
          </mc:Choice>
          <mc:Fallback>
            <w:pict>
              <v:rect style="position:absolute;rotation:-0;width:468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Nasdaq, Inc.</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15</w:t>
      </w:r>
      <w:r>
        <mc:AlternateContent>
          <mc:Choice Requires="wps">
            <w:drawing>
              <wp:anchor behindDoc="0" distT="0" distB="0" distL="0" distR="0" simplePos="0" locked="0" layoutInCell="1" allowOverlap="1" relativeHeight="521">
                <wp:simplePos x="0" y="0"/>
                <wp:positionH relativeFrom="page">
                  <wp:posOffset>800100</wp:posOffset>
                </wp:positionH>
                <wp:positionV relativeFrom="line">
                  <wp:posOffset>635</wp:posOffset>
                </wp:positionV>
                <wp:extent cx="6029325" cy="4205605"/>
                <wp:effectExtent l="0" t="0" r="0" b="0"/>
                <wp:wrapNone/>
                <wp:docPr id="26" name="Frame518"/>
                <a:graphic xmlns:a="http://schemas.openxmlformats.org/drawingml/2006/main">
                  <a:graphicData uri="http://schemas.microsoft.com/office/word/2010/wordprocessingShape">
                    <wps:wsp>
                      <wps:cNvSpPr txBox="1"/>
                      <wps:spPr>
                        <a:xfrm>
                          <a:off x="0" y="0"/>
                          <a:ext cx="6029325" cy="4205605"/>
                        </a:xfrm>
                        <a:prstGeom prst="rect"/>
                        <a:solidFill>
                          <a:srgbClr val="FFFFFF"/>
                        </a:solidFill>
                      </wps:spPr>
                      <wps:txbx>
                        <w:txbxContent>
                          <w:tbl>
                            <w:tblPr>
                              <w:tblW w:w="9641" w:type="dxa"/>
                              <w:jc w:val="left"/>
                              <w:tblInd w:w="0" w:type="dxa"/>
                              <w:tblLayout w:type="fixed"/>
                              <w:tblCellMar>
                                <w:top w:w="28" w:type="dxa"/>
                                <w:left w:w="28" w:type="dxa"/>
                                <w:bottom w:w="28" w:type="dxa"/>
                                <w:right w:w="28" w:type="dxa"/>
                              </w:tblCellMar>
                            </w:tblPr>
                            <w:tblGrid>
                              <w:gridCol w:w="1464"/>
                              <w:gridCol w:w="530"/>
                              <w:gridCol w:w="530"/>
                              <w:gridCol w:w="530"/>
                              <w:gridCol w:w="530"/>
                              <w:gridCol w:w="530"/>
                              <w:gridCol w:w="530"/>
                              <w:gridCol w:w="530"/>
                              <w:gridCol w:w="530"/>
                              <w:gridCol w:w="530"/>
                              <w:gridCol w:w="530"/>
                              <w:gridCol w:w="530"/>
                              <w:gridCol w:w="530"/>
                              <w:gridCol w:w="530"/>
                              <w:gridCol w:w="530"/>
                              <w:gridCol w:w="757"/>
                            </w:tblGrid>
                            <w:tr>
                              <w:trPr/>
                              <w:tc>
                                <w:tcPr>
                                  <w:tcW w:w="146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r>
                            <w:tr>
                              <w:trPr/>
                              <w:tc>
                                <w:tcPr>
                                  <w:tcW w:w="9641" w:type="dxa"/>
                                  <w:gridSpan w:val="16"/>
                                  <w:tcBorders/>
                                  <w:vAlign w:val="center"/>
                                </w:tcPr>
                                <w:p>
                                  <w:pPr>
                                    <w:pStyle w:val="TableContents"/>
                                    <w:bidi w:val="0"/>
                                    <w:spacing w:before="0" w:after="283"/>
                                    <w:jc w:val="left"/>
                                    <w:rPr>
                                      <w:sz w:val="4"/>
                                      <w:szCs w:val="4"/>
                                    </w:rPr>
                                  </w:pPr>
                                  <w:r>
                                    <w:rPr>
                                      <w:sz w:val="4"/>
                                      <w:szCs w:val="4"/>
                                    </w:rPr>
                                  </w:r>
                                </w:p>
                              </w:tc>
                            </w:tr>
                            <w:tr>
                              <w:trPr/>
                              <w:tc>
                                <w:tcPr>
                                  <w:tcW w:w="9641" w:type="dxa"/>
                                  <w:gridSpan w:val="16"/>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Footnotes to Press Release</w:t>
                                  </w:r>
                                </w:p>
                              </w:tc>
                            </w:tr>
                            <w:tr>
                              <w:trPr/>
                              <w:tc>
                                <w:tcPr>
                                  <w:tcW w:w="9641" w:type="dxa"/>
                                  <w:gridSpan w:val="16"/>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Financial Tables</w:t>
                                  </w:r>
                                </w:p>
                              </w:tc>
                            </w:tr>
                            <w:tr>
                              <w:trPr/>
                              <w:tc>
                                <w:tcPr>
                                  <w:tcW w:w="9641" w:type="dxa"/>
                                  <w:gridSpan w:val="16"/>
                                  <w:tcBorders/>
                                  <w:vAlign w:val="center"/>
                                </w:tcPr>
                                <w:p>
                                  <w:pPr>
                                    <w:pStyle w:val="TableContents"/>
                                    <w:bidi w:val="0"/>
                                    <w:spacing w:before="0" w:after="283"/>
                                    <w:jc w:val="left"/>
                                    <w:rPr>
                                      <w:sz w:val="4"/>
                                      <w:szCs w:val="4"/>
                                    </w:rPr>
                                  </w:pPr>
                                  <w:r>
                                    <w:rPr>
                                      <w:sz w:val="4"/>
                                      <w:szCs w:val="4"/>
                                    </w:rPr>
                                  </w:r>
                                </w:p>
                              </w:tc>
                            </w:tr>
                            <w:tr>
                              <w:trPr/>
                              <w:tc>
                                <w:tcPr>
                                  <w:tcW w:w="146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w:t>
                                  </w:r>
                                </w:p>
                              </w:tc>
                              <w:tc>
                                <w:tcPr>
                                  <w:tcW w:w="8177" w:type="dxa"/>
                                  <w:gridSpan w:val="15"/>
                                  <w:tcBorders/>
                                  <w:vAlign w:val="center"/>
                                </w:tcPr>
                                <w:p>
                                  <w:pPr>
                                    <w:pStyle w:val="TableContents"/>
                                    <w:bidi w:val="0"/>
                                    <w:spacing w:before="0" w:after="283"/>
                                    <w:jc w:val="left"/>
                                    <w:rPr>
                                      <w:sz w:val="4"/>
                                      <w:szCs w:val="4"/>
                                    </w:rPr>
                                  </w:pPr>
                                  <w:r>
                                    <w:rPr>
                                      <w:sz w:val="4"/>
                                      <w:szCs w:val="4"/>
                                    </w:rPr>
                                  </w:r>
                                </w:p>
                              </w:tc>
                            </w:tr>
                            <w:tr>
                              <w:trPr/>
                              <w:tc>
                                <w:tcPr>
                                  <w:tcW w:w="146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w:t>
                                  </w:r>
                                </w:p>
                              </w:tc>
                              <w:tc>
                                <w:tcPr>
                                  <w:tcW w:w="8177" w:type="dxa"/>
                                  <w:gridSpan w:val="15"/>
                                  <w:tcBorders/>
                                  <w:vAlign w:val="center"/>
                                </w:tcPr>
                                <w:p>
                                  <w:pPr>
                                    <w:pStyle w:val="TableContents"/>
                                    <w:bidi w:val="0"/>
                                    <w:spacing w:before="0" w:after="283"/>
                                    <w:jc w:val="left"/>
                                    <w:rPr>
                                      <w:sz w:val="4"/>
                                      <w:szCs w:val="4"/>
                                    </w:rPr>
                                  </w:pPr>
                                  <w:r>
                                    <w:rPr>
                                      <w:sz w:val="4"/>
                                      <w:szCs w:val="4"/>
                                    </w:rPr>
                                  </w:r>
                                </w:p>
                              </w:tc>
                            </w:tr>
                            <w:tr>
                              <w:trPr/>
                              <w:tc>
                                <w:tcPr>
                                  <w:tcW w:w="146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w:t>
                                  </w:r>
                                </w:p>
                              </w:tc>
                              <w:tc>
                                <w:tcPr>
                                  <w:tcW w:w="8177" w:type="dxa"/>
                                  <w:gridSpan w:val="15"/>
                                  <w:tcBorders/>
                                  <w:vAlign w:val="center"/>
                                </w:tcPr>
                                <w:p>
                                  <w:pPr>
                                    <w:pStyle w:val="TableContents"/>
                                    <w:bidi w:val="0"/>
                                    <w:spacing w:before="0" w:after="283"/>
                                    <w:jc w:val="left"/>
                                    <w:rPr>
                                      <w:sz w:val="4"/>
                                      <w:szCs w:val="4"/>
                                    </w:rPr>
                                  </w:pPr>
                                  <w:r>
                                    <w:rPr>
                                      <w:sz w:val="4"/>
                                      <w:szCs w:val="4"/>
                                    </w:rPr>
                                  </w:r>
                                </w:p>
                              </w:tc>
                            </w:tr>
                            <w:tr>
                              <w:trPr/>
                              <w:tc>
                                <w:tcPr>
                                  <w:tcW w:w="146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w:t>
                                  </w:r>
                                </w:p>
                              </w:tc>
                              <w:tc>
                                <w:tcPr>
                                  <w:tcW w:w="8177" w:type="dxa"/>
                                  <w:gridSpan w:val="15"/>
                                  <w:tcBorders/>
                                  <w:vAlign w:val="center"/>
                                </w:tcPr>
                                <w:p>
                                  <w:pPr>
                                    <w:pStyle w:val="TableContents"/>
                                    <w:bidi w:val="0"/>
                                    <w:spacing w:before="0" w:after="283"/>
                                    <w:jc w:val="left"/>
                                    <w:rPr>
                                      <w:sz w:val="4"/>
                                      <w:szCs w:val="4"/>
                                    </w:rPr>
                                  </w:pPr>
                                  <w:r>
                                    <w:rPr>
                                      <w:sz w:val="4"/>
                                      <w:szCs w:val="4"/>
                                    </w:rPr>
                                  </w:r>
                                </w:p>
                              </w:tc>
                            </w:tr>
                            <w:tr>
                              <w:trPr/>
                              <w:tc>
                                <w:tcPr>
                                  <w:tcW w:w="146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w:t>
                                  </w:r>
                                </w:p>
                              </w:tc>
                              <w:tc>
                                <w:tcPr>
                                  <w:tcW w:w="8177" w:type="dxa"/>
                                  <w:gridSpan w:val="15"/>
                                  <w:tcBorders/>
                                  <w:vAlign w:val="center"/>
                                </w:tcPr>
                                <w:p>
                                  <w:pPr>
                                    <w:pStyle w:val="TableContents"/>
                                    <w:bidi w:val="0"/>
                                    <w:spacing w:before="0" w:after="283"/>
                                    <w:jc w:val="left"/>
                                    <w:rPr>
                                      <w:sz w:val="4"/>
                                      <w:szCs w:val="4"/>
                                    </w:rPr>
                                  </w:pPr>
                                  <w:r>
                                    <w:rPr>
                                      <w:sz w:val="4"/>
                                      <w:szCs w:val="4"/>
                                    </w:rPr>
                                  </w:r>
                                </w:p>
                              </w:tc>
                            </w:tr>
                            <w:tr>
                              <w:trPr/>
                              <w:tc>
                                <w:tcPr>
                                  <w:tcW w:w="146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w:t>
                                  </w:r>
                                </w:p>
                              </w:tc>
                              <w:tc>
                                <w:tcPr>
                                  <w:tcW w:w="8177" w:type="dxa"/>
                                  <w:gridSpan w:val="15"/>
                                  <w:tcBorders/>
                                  <w:vAlign w:val="center"/>
                                </w:tcPr>
                                <w:p>
                                  <w:pPr>
                                    <w:pStyle w:val="TableContents"/>
                                    <w:bidi w:val="0"/>
                                    <w:spacing w:before="0" w:after="283"/>
                                    <w:jc w:val="left"/>
                                    <w:rPr>
                                      <w:sz w:val="4"/>
                                      <w:szCs w:val="4"/>
                                    </w:rPr>
                                  </w:pPr>
                                  <w:r>
                                    <w:rPr>
                                      <w:sz w:val="4"/>
                                      <w:szCs w:val="4"/>
                                    </w:rPr>
                                  </w:r>
                                </w:p>
                              </w:tc>
                            </w:tr>
                            <w:tr>
                              <w:trPr/>
                              <w:tc>
                                <w:tcPr>
                                  <w:tcW w:w="146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w:t>
                                  </w:r>
                                </w:p>
                              </w:tc>
                              <w:tc>
                                <w:tcPr>
                                  <w:tcW w:w="8177" w:type="dxa"/>
                                  <w:gridSpan w:val="15"/>
                                  <w:tcBorders/>
                                  <w:vAlign w:val="center"/>
                                </w:tcPr>
                                <w:p>
                                  <w:pPr>
                                    <w:pStyle w:val="TableContents"/>
                                    <w:bidi w:val="0"/>
                                    <w:spacing w:before="0" w:after="283"/>
                                    <w:jc w:val="left"/>
                                    <w:rPr>
                                      <w:sz w:val="4"/>
                                      <w:szCs w:val="4"/>
                                    </w:rPr>
                                  </w:pPr>
                                  <w:r>
                                    <w:rPr>
                                      <w:sz w:val="4"/>
                                      <w:szCs w:val="4"/>
                                    </w:rPr>
                                  </w:r>
                                </w:p>
                              </w:tc>
                            </w:tr>
                            <w:tr>
                              <w:trPr/>
                              <w:tc>
                                <w:tcPr>
                                  <w:tcW w:w="146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w:t>
                                  </w:r>
                                </w:p>
                              </w:tc>
                              <w:tc>
                                <w:tcPr>
                                  <w:tcW w:w="8177" w:type="dxa"/>
                                  <w:gridSpan w:val="15"/>
                                  <w:tcBorders/>
                                  <w:vAlign w:val="center"/>
                                </w:tcPr>
                                <w:p>
                                  <w:pPr>
                                    <w:pStyle w:val="TableContents"/>
                                    <w:bidi w:val="0"/>
                                    <w:spacing w:before="0" w:after="283"/>
                                    <w:jc w:val="left"/>
                                    <w:rPr>
                                      <w:sz w:val="4"/>
                                      <w:szCs w:val="4"/>
                                    </w:rPr>
                                  </w:pPr>
                                  <w:r>
                                    <w:rPr>
                                      <w:sz w:val="4"/>
                                      <w:szCs w:val="4"/>
                                    </w:rPr>
                                  </w:r>
                                </w:p>
                              </w:tc>
                            </w:tr>
                            <w:tr>
                              <w:trPr/>
                              <w:tc>
                                <w:tcPr>
                                  <w:tcW w:w="146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9</w:t>
                                  </w:r>
                                </w:p>
                              </w:tc>
                              <w:tc>
                                <w:tcPr>
                                  <w:tcW w:w="8177" w:type="dxa"/>
                                  <w:gridSpan w:val="15"/>
                                  <w:tcBorders/>
                                  <w:vAlign w:val="center"/>
                                </w:tcPr>
                                <w:p>
                                  <w:pPr>
                                    <w:pStyle w:val="TableContents"/>
                                    <w:bidi w:val="0"/>
                                    <w:spacing w:before="0" w:after="283"/>
                                    <w:jc w:val="left"/>
                                    <w:rPr>
                                      <w:sz w:val="4"/>
                                      <w:szCs w:val="4"/>
                                    </w:rPr>
                                  </w:pPr>
                                  <w:r>
                                    <w:rPr>
                                      <w:sz w:val="4"/>
                                      <w:szCs w:val="4"/>
                                    </w:rPr>
                                  </w:r>
                                </w:p>
                              </w:tc>
                            </w:tr>
                            <w:tr>
                              <w:trPr/>
                              <w:tc>
                                <w:tcPr>
                                  <w:tcW w:w="146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w:t>
                                  </w:r>
                                </w:p>
                              </w:tc>
                              <w:tc>
                                <w:tcPr>
                                  <w:tcW w:w="8177" w:type="dxa"/>
                                  <w:gridSpan w:val="15"/>
                                  <w:tcBorders/>
                                  <w:vAlign w:val="center"/>
                                </w:tcPr>
                                <w:p>
                                  <w:pPr>
                                    <w:pStyle w:val="TableContents"/>
                                    <w:bidi w:val="0"/>
                                    <w:spacing w:before="0" w:after="283"/>
                                    <w:jc w:val="left"/>
                                    <w:rPr>
                                      <w:sz w:val="4"/>
                                      <w:szCs w:val="4"/>
                                    </w:rPr>
                                  </w:pPr>
                                  <w:r>
                                    <w:rPr>
                                      <w:sz w:val="4"/>
                                      <w:szCs w:val="4"/>
                                    </w:rPr>
                                  </w:r>
                                </w:p>
                              </w:tc>
                            </w:tr>
                            <w:tr>
                              <w:trPr/>
                              <w:tc>
                                <w:tcPr>
                                  <w:tcW w:w="146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11</w:t>
                                  </w:r>
                                </w:p>
                              </w:tc>
                              <w:tc>
                                <w:tcPr>
                                  <w:tcW w:w="8177" w:type="dxa"/>
                                  <w:gridSpan w:val="15"/>
                                  <w:tcBorders/>
                                  <w:vAlign w:val="center"/>
                                </w:tcPr>
                                <w:p>
                                  <w:pPr>
                                    <w:pStyle w:val="TableContents"/>
                                    <w:bidi w:val="0"/>
                                    <w:spacing w:before="0" w:after="283"/>
                                    <w:jc w:val="left"/>
                                    <w:rPr>
                                      <w:sz w:val="4"/>
                                      <w:szCs w:val="4"/>
                                    </w:rPr>
                                  </w:pPr>
                                  <w:r>
                                    <w:rPr>
                                      <w:sz w:val="4"/>
                                      <w:szCs w:val="4"/>
                                    </w:rPr>
                                  </w:r>
                                </w:p>
                              </w:tc>
                            </w:tr>
                            <w:tr>
                              <w:trPr/>
                              <w:tc>
                                <w:tcPr>
                                  <w:tcW w:w="146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12</w:t>
                                  </w:r>
                                </w:p>
                              </w:tc>
                              <w:tc>
                                <w:tcPr>
                                  <w:tcW w:w="8177" w:type="dxa"/>
                                  <w:gridSpan w:val="15"/>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74.75pt;height:331.15pt;mso-wrap-distance-left:0pt;mso-wrap-distance-right:0pt;mso-wrap-distance-top:0pt;mso-wrap-distance-bottom:0pt;margin-top:0pt;mso-position-vertical:top;mso-position-vertical-relative:text;margin-left:63pt;mso-position-horizontal-relative:page">
                <v:textbox>
                  <w:txbxContent>
                    <w:tbl>
                      <w:tblPr>
                        <w:tblW w:w="9641" w:type="dxa"/>
                        <w:jc w:val="left"/>
                        <w:tblInd w:w="0" w:type="dxa"/>
                        <w:tblLayout w:type="fixed"/>
                        <w:tblCellMar>
                          <w:top w:w="28" w:type="dxa"/>
                          <w:left w:w="28" w:type="dxa"/>
                          <w:bottom w:w="28" w:type="dxa"/>
                          <w:right w:w="28" w:type="dxa"/>
                        </w:tblCellMar>
                      </w:tblPr>
                      <w:tblGrid>
                        <w:gridCol w:w="1464"/>
                        <w:gridCol w:w="530"/>
                        <w:gridCol w:w="530"/>
                        <w:gridCol w:w="530"/>
                        <w:gridCol w:w="530"/>
                        <w:gridCol w:w="530"/>
                        <w:gridCol w:w="530"/>
                        <w:gridCol w:w="530"/>
                        <w:gridCol w:w="530"/>
                        <w:gridCol w:w="530"/>
                        <w:gridCol w:w="530"/>
                        <w:gridCol w:w="530"/>
                        <w:gridCol w:w="530"/>
                        <w:gridCol w:w="530"/>
                        <w:gridCol w:w="530"/>
                        <w:gridCol w:w="757"/>
                      </w:tblGrid>
                      <w:tr>
                        <w:trPr/>
                        <w:tc>
                          <w:tcPr>
                            <w:tcW w:w="146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r>
                      <w:tr>
                        <w:trPr/>
                        <w:tc>
                          <w:tcPr>
                            <w:tcW w:w="9641" w:type="dxa"/>
                            <w:gridSpan w:val="16"/>
                            <w:tcBorders/>
                            <w:vAlign w:val="center"/>
                          </w:tcPr>
                          <w:p>
                            <w:pPr>
                              <w:pStyle w:val="TableContents"/>
                              <w:bidi w:val="0"/>
                              <w:spacing w:before="0" w:after="283"/>
                              <w:jc w:val="left"/>
                              <w:rPr>
                                <w:sz w:val="4"/>
                                <w:szCs w:val="4"/>
                              </w:rPr>
                            </w:pPr>
                            <w:r>
                              <w:rPr>
                                <w:sz w:val="4"/>
                                <w:szCs w:val="4"/>
                              </w:rPr>
                            </w:r>
                          </w:p>
                        </w:tc>
                      </w:tr>
                      <w:tr>
                        <w:trPr/>
                        <w:tc>
                          <w:tcPr>
                            <w:tcW w:w="9641" w:type="dxa"/>
                            <w:gridSpan w:val="16"/>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Footnotes to Press Release</w:t>
                            </w:r>
                          </w:p>
                        </w:tc>
                      </w:tr>
                      <w:tr>
                        <w:trPr/>
                        <w:tc>
                          <w:tcPr>
                            <w:tcW w:w="9641" w:type="dxa"/>
                            <w:gridSpan w:val="16"/>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Financial Tables</w:t>
                            </w:r>
                          </w:p>
                        </w:tc>
                      </w:tr>
                      <w:tr>
                        <w:trPr/>
                        <w:tc>
                          <w:tcPr>
                            <w:tcW w:w="9641" w:type="dxa"/>
                            <w:gridSpan w:val="16"/>
                            <w:tcBorders/>
                            <w:vAlign w:val="center"/>
                          </w:tcPr>
                          <w:p>
                            <w:pPr>
                              <w:pStyle w:val="TableContents"/>
                              <w:bidi w:val="0"/>
                              <w:spacing w:before="0" w:after="283"/>
                              <w:jc w:val="left"/>
                              <w:rPr>
                                <w:sz w:val="4"/>
                                <w:szCs w:val="4"/>
                              </w:rPr>
                            </w:pPr>
                            <w:r>
                              <w:rPr>
                                <w:sz w:val="4"/>
                                <w:szCs w:val="4"/>
                              </w:rPr>
                            </w:r>
                          </w:p>
                        </w:tc>
                      </w:tr>
                      <w:tr>
                        <w:trPr/>
                        <w:tc>
                          <w:tcPr>
                            <w:tcW w:w="146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w:t>
                            </w:r>
                          </w:p>
                        </w:tc>
                        <w:tc>
                          <w:tcPr>
                            <w:tcW w:w="8177" w:type="dxa"/>
                            <w:gridSpan w:val="15"/>
                            <w:tcBorders/>
                            <w:vAlign w:val="center"/>
                          </w:tcPr>
                          <w:p>
                            <w:pPr>
                              <w:pStyle w:val="TableContents"/>
                              <w:bidi w:val="0"/>
                              <w:spacing w:before="0" w:after="283"/>
                              <w:jc w:val="left"/>
                              <w:rPr>
                                <w:sz w:val="4"/>
                                <w:szCs w:val="4"/>
                              </w:rPr>
                            </w:pPr>
                            <w:r>
                              <w:rPr>
                                <w:sz w:val="4"/>
                                <w:szCs w:val="4"/>
                              </w:rPr>
                            </w:r>
                          </w:p>
                        </w:tc>
                      </w:tr>
                      <w:tr>
                        <w:trPr/>
                        <w:tc>
                          <w:tcPr>
                            <w:tcW w:w="146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w:t>
                            </w:r>
                          </w:p>
                        </w:tc>
                        <w:tc>
                          <w:tcPr>
                            <w:tcW w:w="8177" w:type="dxa"/>
                            <w:gridSpan w:val="15"/>
                            <w:tcBorders/>
                            <w:vAlign w:val="center"/>
                          </w:tcPr>
                          <w:p>
                            <w:pPr>
                              <w:pStyle w:val="TableContents"/>
                              <w:bidi w:val="0"/>
                              <w:spacing w:before="0" w:after="283"/>
                              <w:jc w:val="left"/>
                              <w:rPr>
                                <w:sz w:val="4"/>
                                <w:szCs w:val="4"/>
                              </w:rPr>
                            </w:pPr>
                            <w:r>
                              <w:rPr>
                                <w:sz w:val="4"/>
                                <w:szCs w:val="4"/>
                              </w:rPr>
                            </w:r>
                          </w:p>
                        </w:tc>
                      </w:tr>
                      <w:tr>
                        <w:trPr/>
                        <w:tc>
                          <w:tcPr>
                            <w:tcW w:w="146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w:t>
                            </w:r>
                          </w:p>
                        </w:tc>
                        <w:tc>
                          <w:tcPr>
                            <w:tcW w:w="8177" w:type="dxa"/>
                            <w:gridSpan w:val="15"/>
                            <w:tcBorders/>
                            <w:vAlign w:val="center"/>
                          </w:tcPr>
                          <w:p>
                            <w:pPr>
                              <w:pStyle w:val="TableContents"/>
                              <w:bidi w:val="0"/>
                              <w:spacing w:before="0" w:after="283"/>
                              <w:jc w:val="left"/>
                              <w:rPr>
                                <w:sz w:val="4"/>
                                <w:szCs w:val="4"/>
                              </w:rPr>
                            </w:pPr>
                            <w:r>
                              <w:rPr>
                                <w:sz w:val="4"/>
                                <w:szCs w:val="4"/>
                              </w:rPr>
                            </w:r>
                          </w:p>
                        </w:tc>
                      </w:tr>
                      <w:tr>
                        <w:trPr/>
                        <w:tc>
                          <w:tcPr>
                            <w:tcW w:w="146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w:t>
                            </w:r>
                          </w:p>
                        </w:tc>
                        <w:tc>
                          <w:tcPr>
                            <w:tcW w:w="8177" w:type="dxa"/>
                            <w:gridSpan w:val="15"/>
                            <w:tcBorders/>
                            <w:vAlign w:val="center"/>
                          </w:tcPr>
                          <w:p>
                            <w:pPr>
                              <w:pStyle w:val="TableContents"/>
                              <w:bidi w:val="0"/>
                              <w:spacing w:before="0" w:after="283"/>
                              <w:jc w:val="left"/>
                              <w:rPr>
                                <w:sz w:val="4"/>
                                <w:szCs w:val="4"/>
                              </w:rPr>
                            </w:pPr>
                            <w:r>
                              <w:rPr>
                                <w:sz w:val="4"/>
                                <w:szCs w:val="4"/>
                              </w:rPr>
                            </w:r>
                          </w:p>
                        </w:tc>
                      </w:tr>
                      <w:tr>
                        <w:trPr/>
                        <w:tc>
                          <w:tcPr>
                            <w:tcW w:w="146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w:t>
                            </w:r>
                          </w:p>
                        </w:tc>
                        <w:tc>
                          <w:tcPr>
                            <w:tcW w:w="8177" w:type="dxa"/>
                            <w:gridSpan w:val="15"/>
                            <w:tcBorders/>
                            <w:vAlign w:val="center"/>
                          </w:tcPr>
                          <w:p>
                            <w:pPr>
                              <w:pStyle w:val="TableContents"/>
                              <w:bidi w:val="0"/>
                              <w:spacing w:before="0" w:after="283"/>
                              <w:jc w:val="left"/>
                              <w:rPr>
                                <w:sz w:val="4"/>
                                <w:szCs w:val="4"/>
                              </w:rPr>
                            </w:pPr>
                            <w:r>
                              <w:rPr>
                                <w:sz w:val="4"/>
                                <w:szCs w:val="4"/>
                              </w:rPr>
                            </w:r>
                          </w:p>
                        </w:tc>
                      </w:tr>
                      <w:tr>
                        <w:trPr/>
                        <w:tc>
                          <w:tcPr>
                            <w:tcW w:w="146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w:t>
                            </w:r>
                          </w:p>
                        </w:tc>
                        <w:tc>
                          <w:tcPr>
                            <w:tcW w:w="8177" w:type="dxa"/>
                            <w:gridSpan w:val="15"/>
                            <w:tcBorders/>
                            <w:vAlign w:val="center"/>
                          </w:tcPr>
                          <w:p>
                            <w:pPr>
                              <w:pStyle w:val="TableContents"/>
                              <w:bidi w:val="0"/>
                              <w:spacing w:before="0" w:after="283"/>
                              <w:jc w:val="left"/>
                              <w:rPr>
                                <w:sz w:val="4"/>
                                <w:szCs w:val="4"/>
                              </w:rPr>
                            </w:pPr>
                            <w:r>
                              <w:rPr>
                                <w:sz w:val="4"/>
                                <w:szCs w:val="4"/>
                              </w:rPr>
                            </w:r>
                          </w:p>
                        </w:tc>
                      </w:tr>
                      <w:tr>
                        <w:trPr/>
                        <w:tc>
                          <w:tcPr>
                            <w:tcW w:w="146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w:t>
                            </w:r>
                          </w:p>
                        </w:tc>
                        <w:tc>
                          <w:tcPr>
                            <w:tcW w:w="8177" w:type="dxa"/>
                            <w:gridSpan w:val="15"/>
                            <w:tcBorders/>
                            <w:vAlign w:val="center"/>
                          </w:tcPr>
                          <w:p>
                            <w:pPr>
                              <w:pStyle w:val="TableContents"/>
                              <w:bidi w:val="0"/>
                              <w:spacing w:before="0" w:after="283"/>
                              <w:jc w:val="left"/>
                              <w:rPr>
                                <w:sz w:val="4"/>
                                <w:szCs w:val="4"/>
                              </w:rPr>
                            </w:pPr>
                            <w:r>
                              <w:rPr>
                                <w:sz w:val="4"/>
                                <w:szCs w:val="4"/>
                              </w:rPr>
                            </w:r>
                          </w:p>
                        </w:tc>
                      </w:tr>
                      <w:tr>
                        <w:trPr/>
                        <w:tc>
                          <w:tcPr>
                            <w:tcW w:w="146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8</w:t>
                            </w:r>
                          </w:p>
                        </w:tc>
                        <w:tc>
                          <w:tcPr>
                            <w:tcW w:w="8177" w:type="dxa"/>
                            <w:gridSpan w:val="15"/>
                            <w:tcBorders/>
                            <w:vAlign w:val="center"/>
                          </w:tcPr>
                          <w:p>
                            <w:pPr>
                              <w:pStyle w:val="TableContents"/>
                              <w:bidi w:val="0"/>
                              <w:spacing w:before="0" w:after="283"/>
                              <w:jc w:val="left"/>
                              <w:rPr>
                                <w:sz w:val="4"/>
                                <w:szCs w:val="4"/>
                              </w:rPr>
                            </w:pPr>
                            <w:r>
                              <w:rPr>
                                <w:sz w:val="4"/>
                                <w:szCs w:val="4"/>
                              </w:rPr>
                            </w:r>
                          </w:p>
                        </w:tc>
                      </w:tr>
                      <w:tr>
                        <w:trPr/>
                        <w:tc>
                          <w:tcPr>
                            <w:tcW w:w="146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9</w:t>
                            </w:r>
                          </w:p>
                        </w:tc>
                        <w:tc>
                          <w:tcPr>
                            <w:tcW w:w="8177" w:type="dxa"/>
                            <w:gridSpan w:val="15"/>
                            <w:tcBorders/>
                            <w:vAlign w:val="center"/>
                          </w:tcPr>
                          <w:p>
                            <w:pPr>
                              <w:pStyle w:val="TableContents"/>
                              <w:bidi w:val="0"/>
                              <w:spacing w:before="0" w:after="283"/>
                              <w:jc w:val="left"/>
                              <w:rPr>
                                <w:sz w:val="4"/>
                                <w:szCs w:val="4"/>
                              </w:rPr>
                            </w:pPr>
                            <w:r>
                              <w:rPr>
                                <w:sz w:val="4"/>
                                <w:szCs w:val="4"/>
                              </w:rPr>
                            </w:r>
                          </w:p>
                        </w:tc>
                      </w:tr>
                      <w:tr>
                        <w:trPr/>
                        <w:tc>
                          <w:tcPr>
                            <w:tcW w:w="146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10</w:t>
                            </w:r>
                          </w:p>
                        </w:tc>
                        <w:tc>
                          <w:tcPr>
                            <w:tcW w:w="8177" w:type="dxa"/>
                            <w:gridSpan w:val="15"/>
                            <w:tcBorders/>
                            <w:vAlign w:val="center"/>
                          </w:tcPr>
                          <w:p>
                            <w:pPr>
                              <w:pStyle w:val="TableContents"/>
                              <w:bidi w:val="0"/>
                              <w:spacing w:before="0" w:after="283"/>
                              <w:jc w:val="left"/>
                              <w:rPr>
                                <w:sz w:val="4"/>
                                <w:szCs w:val="4"/>
                              </w:rPr>
                            </w:pPr>
                            <w:r>
                              <w:rPr>
                                <w:sz w:val="4"/>
                                <w:szCs w:val="4"/>
                              </w:rPr>
                            </w:r>
                          </w:p>
                        </w:tc>
                      </w:tr>
                      <w:tr>
                        <w:trPr/>
                        <w:tc>
                          <w:tcPr>
                            <w:tcW w:w="146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11</w:t>
                            </w:r>
                          </w:p>
                        </w:tc>
                        <w:tc>
                          <w:tcPr>
                            <w:tcW w:w="8177" w:type="dxa"/>
                            <w:gridSpan w:val="15"/>
                            <w:tcBorders/>
                            <w:vAlign w:val="center"/>
                          </w:tcPr>
                          <w:p>
                            <w:pPr>
                              <w:pStyle w:val="TableContents"/>
                              <w:bidi w:val="0"/>
                              <w:spacing w:before="0" w:after="283"/>
                              <w:jc w:val="left"/>
                              <w:rPr>
                                <w:sz w:val="4"/>
                                <w:szCs w:val="4"/>
                              </w:rPr>
                            </w:pPr>
                            <w:r>
                              <w:rPr>
                                <w:sz w:val="4"/>
                                <w:szCs w:val="4"/>
                              </w:rPr>
                            </w:r>
                          </w:p>
                        </w:tc>
                      </w:tr>
                      <w:tr>
                        <w:trPr/>
                        <w:tc>
                          <w:tcPr>
                            <w:tcW w:w="146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12</w:t>
                            </w:r>
                          </w:p>
                        </w:tc>
                        <w:tc>
                          <w:tcPr>
                            <w:tcW w:w="8177" w:type="dxa"/>
                            <w:gridSpan w:val="15"/>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029325" cy="146050"/>
                <wp:effectExtent l="0" t="0" r="0" b="0"/>
                <wp:wrapNone/>
                <wp:docPr id="27" name="Frame519"/>
                <a:graphic xmlns:a="http://schemas.openxmlformats.org/drawingml/2006/main">
                  <a:graphicData uri="http://schemas.microsoft.com/office/word/2010/wordprocessingShape">
                    <wps:wsp>
                      <wps:cNvSpPr txBox="1"/>
                      <wps:spPr>
                        <a:xfrm>
                          <a:off x="0" y="0"/>
                          <a:ext cx="6029325" cy="146050"/>
                        </a:xfrm>
                        <a:prstGeom prst="rect"/>
                        <a:solidFill>
                          <a:srgbClr val="FFFFFF"/>
                        </a:solidFill>
                      </wps:spPr>
                      <wps:txbx>
                        <w:txbxContent>
                          <w:p>
                            <w:pPr>
                              <w:pStyle w:val="TextBody"/>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Nasdaq, Inc.</w:t>
                            </w:r>
                          </w:p>
                        </w:txbxContent>
                      </wps:txbx>
                      <wps:bodyPr anchor="t" lIns="0" tIns="0" rIns="0" bIns="0">
                        <a:noAutofit/>
                      </wps:bodyPr>
                    </wps:wsp>
                  </a:graphicData>
                </a:graphic>
              </wp:anchor>
            </w:drawing>
          </mc:Choice>
          <mc:Fallback>
            <w:pict>
              <v:rect style="position:absolute;rotation:-0;width:474.7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Nasdaq, Inc.</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16</w:t>
      </w:r>
      <w:r>
        <mc:AlternateContent>
          <mc:Choice Requires="wps">
            <w:drawing>
              <wp:anchor behindDoc="0" distT="0" distB="0" distL="0" distR="0" simplePos="0" locked="0" layoutInCell="1" allowOverlap="1" relativeHeight="535">
                <wp:simplePos x="0" y="0"/>
                <wp:positionH relativeFrom="page">
                  <wp:posOffset>514350</wp:posOffset>
                </wp:positionH>
                <wp:positionV relativeFrom="line">
                  <wp:posOffset>635</wp:posOffset>
                </wp:positionV>
                <wp:extent cx="6343650" cy="9972040"/>
                <wp:effectExtent l="0" t="0" r="0" b="0"/>
                <wp:wrapNone/>
                <wp:docPr id="28" name="Frame532"/>
                <a:graphic xmlns:a="http://schemas.openxmlformats.org/drawingml/2006/main">
                  <a:graphicData uri="http://schemas.microsoft.com/office/word/2010/wordprocessingShape">
                    <wps:wsp>
                      <wps:cNvSpPr txBox="1"/>
                      <wps:spPr>
                        <a:xfrm>
                          <a:off x="0" y="0"/>
                          <a:ext cx="6343650" cy="9972040"/>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5014"/>
                              <w:gridCol w:w="453"/>
                              <w:gridCol w:w="453"/>
                              <w:gridCol w:w="453"/>
                              <w:gridCol w:w="453"/>
                              <w:gridCol w:w="453"/>
                              <w:gridCol w:w="453"/>
                              <w:gridCol w:w="453"/>
                              <w:gridCol w:w="453"/>
                              <w:gridCol w:w="453"/>
                              <w:gridCol w:w="453"/>
                              <w:gridCol w:w="661"/>
                            </w:tblGrid>
                            <w:tr>
                              <w:trPr/>
                              <w:tc>
                                <w:tcPr>
                                  <w:tcW w:w="50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Reconciliation of Organic Impacts</w:t>
                                  </w:r>
                                </w:p>
                              </w:tc>
                            </w:tr>
                            <w:tr>
                              <w:trPr/>
                              <w:tc>
                                <w:tcPr>
                                  <w:tcW w:w="10205" w:type="dxa"/>
                                  <w:gridSpan w:val="12"/>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(in millions, except per share amounts)</w:t>
                                  </w:r>
                                </w:p>
                              </w:tc>
                            </w:tr>
                            <w:tr>
                              <w:trPr/>
                              <w:tc>
                                <w:tcPr>
                                  <w:tcW w:w="10205" w:type="dxa"/>
                                  <w:gridSpan w:val="12"/>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(unaudited)</w:t>
                                  </w:r>
                                </w:p>
                              </w:tc>
                            </w:tr>
                            <w:tr>
                              <w:trPr/>
                              <w:tc>
                                <w:tcPr>
                                  <w:tcW w:w="50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before="0" w:after="283"/>
                                    <w:jc w:val="left"/>
                                    <w:rPr>
                                      <w:sz w:val="4"/>
                                      <w:szCs w:val="4"/>
                                    </w:rPr>
                                  </w:pPr>
                                  <w:r>
                                    <w:rPr>
                                      <w:sz w:val="4"/>
                                      <w:szCs w:val="4"/>
                                    </w:rPr>
                                  </w:r>
                                </w:p>
                              </w:tc>
                              <w:tc>
                                <w:tcPr>
                                  <w:tcW w:w="906"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906"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906"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114"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Capital Access Platforms</w:t>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Data and Listing Services </w:t>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Index </w:t>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Workflow and Insights </w:t>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 xml:space="preserve">Total Capital Access </w:t>
                                  </w:r>
                                </w:p>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Platforms revenues</w:t>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Financial Technology</w:t>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Financial Crime Management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Technology </w:t>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Regulatory Technology </w:t>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Capital Markets Technology </w:t>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 xml:space="preserve">Total Financial </w:t>
                                  </w:r>
                                </w:p>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Technology revenues</w:t>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 xml:space="preserve">Market Services net </w:t>
                                  </w:r>
                                </w:p>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revenues</w:t>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Other revenues</w:t>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Revenues less transaction-</w:t>
                                  </w:r>
                                </w:p>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based expenses</w:t>
                                  </w:r>
                                </w:p>
                              </w:tc>
                              <w:tc>
                                <w:tcPr>
                                  <w:tcW w:w="45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before="0" w:after="283"/>
                                    <w:jc w:val="left"/>
                                    <w:rPr>
                                      <w:sz w:val="4"/>
                                      <w:szCs w:val="4"/>
                                    </w:rPr>
                                  </w:pPr>
                                  <w:r>
                                    <w:rPr>
                                      <w:sz w:val="4"/>
                                      <w:szCs w:val="4"/>
                                    </w:rPr>
                                  </w:r>
                                </w:p>
                              </w:tc>
                              <w:tc>
                                <w:tcPr>
                                  <w:tcW w:w="453"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pPr>
                                  <w:r>
                                    <w:rPr>
                                      <w:rFonts w:ascii="Arial;sans-serif" w:hAnsi="Arial;sans-serif"/>
                                      <w:b/>
                                      <w:i w:val="false"/>
                                      <w:caps w:val="false"/>
                                      <w:smallCaps w:val="false"/>
                                      <w:sz w:val="18"/>
                                    </w:rPr>
                                    <w:t xml:space="preserve">Solutions revenue </w:t>
                                  </w:r>
                                  <w:r>
                                    <w:rPr>
                                      <w:rFonts w:ascii="Arial;sans-serif" w:hAnsi="Arial;sans-serif"/>
                                      <w:b/>
                                      <w:i w:val="false"/>
                                      <w:caps w:val="false"/>
                                      <w:smallCaps w:val="false"/>
                                      <w:sz w:val="12"/>
                                    </w:rPr>
                                    <w:t>2</w:t>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 xml:space="preserve">Non-GAAP Operating </w:t>
                                  </w:r>
                                </w:p>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Expenses</w:t>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 xml:space="preserve">Non-GAAP Operating </w:t>
                                  </w:r>
                                </w:p>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Income</w:t>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 xml:space="preserve">Non-GAAP diluted earnings </w:t>
                                  </w:r>
                                </w:p>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per share</w:t>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Note: The percentages are calculated based on exact dollars, and therefore may not recalculate exactly using rounded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numbers as presented in US$ millions. The sum of the percentage changes may not tie to the percentage change in total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variance due to rounding.</w:t>
                                  </w:r>
                                </w:p>
                              </w:tc>
                            </w:tr>
                            <w:tr>
                              <w:trPr/>
                              <w:tc>
                                <w:tcPr>
                                  <w:tcW w:w="50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2"/>
                                    </w:rPr>
                                    <w:t>1</w:t>
                                  </w:r>
                                  <w:r>
                                    <w:rPr>
                                      <w:caps w:val="false"/>
                                      <w:smallCaps w:val="false"/>
                                    </w:rPr>
                                    <w:t xml:space="preserve"> </w:t>
                                  </w:r>
                                  <w:r>
                                    <w:rPr>
                                      <w:rFonts w:ascii="Arial;sans-serif" w:hAnsi="Arial;sans-serif"/>
                                      <w:b w:val="false"/>
                                      <w:i w:val="false"/>
                                      <w:caps w:val="false"/>
                                      <w:smallCaps w:val="false"/>
                                      <w:sz w:val="18"/>
                                    </w:rPr>
                                    <w:t xml:space="preserve">Organic variance is calculated by removing the impacts of changes in foreign exchange rates, acquisitions, and </w:t>
                                  </w:r>
                                </w:p>
                                <w:p>
                                  <w:pPr>
                                    <w:pStyle w:val="TableContents"/>
                                    <w:bidi w:val="0"/>
                                    <w:spacing w:lineRule="atLeast" w:line="142"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divestitures.</w:t>
                                  </w:r>
                                </w:p>
                              </w:tc>
                            </w:tr>
                            <w:tr>
                              <w:trPr/>
                              <w:tc>
                                <w:tcPr>
                                  <w:tcW w:w="50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2"/>
                                    </w:rPr>
                                    <w:t>2</w:t>
                                  </w:r>
                                  <w:r>
                                    <w:rPr>
                                      <w:caps w:val="false"/>
                                      <w:smallCaps w:val="false"/>
                                    </w:rPr>
                                    <w:t xml:space="preserve"> </w:t>
                                  </w:r>
                                  <w:r>
                                    <w:rPr>
                                      <w:rFonts w:ascii="Arial;sans-serif" w:hAnsi="Arial;sans-serif"/>
                                      <w:b w:val="false"/>
                                      <w:i w:val="false"/>
                                      <w:caps w:val="false"/>
                                      <w:smallCaps w:val="false"/>
                                      <w:sz w:val="18"/>
                                    </w:rPr>
                                    <w:t xml:space="preserve">Total Solutions revenues includes Capital Access Platforms and Financial Technology revenues as well as $2 million and </w:t>
                                  </w:r>
                                </w:p>
                                <w:p>
                                  <w:pPr>
                                    <w:pStyle w:val="TableContents"/>
                                    <w:bidi w:val="0"/>
                                    <w:spacing w:lineRule="atLeast" w:line="142"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 xml:space="preserve">$4 million of Other revenue in the third quarter of 2026 and the third quarter of 2025, respectively, related to the sale of our </w:t>
                                  </w:r>
                                </w:p>
                                <w:p>
                                  <w:pPr>
                                    <w:pStyle w:val="TableContents"/>
                                    <w:bidi w:val="0"/>
                                    <w:spacing w:lineRule="atLeast" w:line="142"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 xml:space="preserve">Nasdaq Fund Secondaries business and the sale of the Nasdaq Metrio platform and related customer contracts, which were </w:t>
                                  </w:r>
                                </w:p>
                                <w:p>
                                  <w:pPr>
                                    <w:pStyle w:val="TableContents"/>
                                    <w:bidi w:val="0"/>
                                    <w:spacing w:lineRule="atLeast" w:line="142"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 xml:space="preserve">both sold in the third quarter of 2026. The third quarter of 2025 also includes $8 million of Other revenue, related to the sale </w:t>
                                  </w:r>
                                </w:p>
                                <w:p>
                                  <w:pPr>
                                    <w:pStyle w:val="TableContents"/>
                                    <w:bidi w:val="0"/>
                                    <w:spacing w:lineRule="atLeast" w:line="142"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of the Solovis business, which was sold in the fourth quarter of 2025.</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99.5pt;height:785.2pt;mso-wrap-distance-left:0pt;mso-wrap-distance-right:0pt;mso-wrap-distance-top:0pt;mso-wrap-distance-bottom:0pt;margin-top:0pt;mso-position-vertical:top;mso-position-vertical-relative:text;margin-left:40.5pt;mso-position-horizontal-relative:page">
                <v:textbox>
                  <w:txbxContent>
                    <w:tbl>
                      <w:tblPr>
                        <w:tblW w:w="10205" w:type="dxa"/>
                        <w:jc w:val="left"/>
                        <w:tblInd w:w="0" w:type="dxa"/>
                        <w:tblLayout w:type="fixed"/>
                        <w:tblCellMar>
                          <w:top w:w="28" w:type="dxa"/>
                          <w:left w:w="28" w:type="dxa"/>
                          <w:bottom w:w="28" w:type="dxa"/>
                          <w:right w:w="28" w:type="dxa"/>
                        </w:tblCellMar>
                      </w:tblPr>
                      <w:tblGrid>
                        <w:gridCol w:w="5014"/>
                        <w:gridCol w:w="453"/>
                        <w:gridCol w:w="453"/>
                        <w:gridCol w:w="453"/>
                        <w:gridCol w:w="453"/>
                        <w:gridCol w:w="453"/>
                        <w:gridCol w:w="453"/>
                        <w:gridCol w:w="453"/>
                        <w:gridCol w:w="453"/>
                        <w:gridCol w:w="453"/>
                        <w:gridCol w:w="453"/>
                        <w:gridCol w:w="661"/>
                      </w:tblGrid>
                      <w:tr>
                        <w:trPr/>
                        <w:tc>
                          <w:tcPr>
                            <w:tcW w:w="50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Reconciliation of Organic Impacts</w:t>
                            </w:r>
                          </w:p>
                        </w:tc>
                      </w:tr>
                      <w:tr>
                        <w:trPr/>
                        <w:tc>
                          <w:tcPr>
                            <w:tcW w:w="10205" w:type="dxa"/>
                            <w:gridSpan w:val="12"/>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(in millions, except per share amounts)</w:t>
                            </w:r>
                          </w:p>
                        </w:tc>
                      </w:tr>
                      <w:tr>
                        <w:trPr/>
                        <w:tc>
                          <w:tcPr>
                            <w:tcW w:w="10205" w:type="dxa"/>
                            <w:gridSpan w:val="12"/>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(unaudited)</w:t>
                            </w:r>
                          </w:p>
                        </w:tc>
                      </w:tr>
                      <w:tr>
                        <w:trPr/>
                        <w:tc>
                          <w:tcPr>
                            <w:tcW w:w="50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before="0" w:after="283"/>
                              <w:jc w:val="left"/>
                              <w:rPr>
                                <w:sz w:val="4"/>
                                <w:szCs w:val="4"/>
                              </w:rPr>
                            </w:pPr>
                            <w:r>
                              <w:rPr>
                                <w:sz w:val="4"/>
                                <w:szCs w:val="4"/>
                              </w:rPr>
                            </w:r>
                          </w:p>
                        </w:tc>
                        <w:tc>
                          <w:tcPr>
                            <w:tcW w:w="906"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906"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906"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114" w:type="dxa"/>
                            <w:gridSpan w:val="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Capital Access Platforms</w:t>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Data and Listing Services </w:t>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Index </w:t>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Workflow and Insights </w:t>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 xml:space="preserve">Total Capital Access </w:t>
                            </w:r>
                          </w:p>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Platforms revenues</w:t>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Financial Technology</w:t>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Financial Crime Management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Technology </w:t>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Regulatory Technology </w:t>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Capital Markets Technology </w:t>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 xml:space="preserve">Total Financial </w:t>
                            </w:r>
                          </w:p>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Technology revenues</w:t>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 xml:space="preserve">Market Services net </w:t>
                            </w:r>
                          </w:p>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revenues</w:t>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Other revenues</w:t>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Revenues less transaction-</w:t>
                            </w:r>
                          </w:p>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based expenses</w:t>
                            </w:r>
                          </w:p>
                        </w:tc>
                        <w:tc>
                          <w:tcPr>
                            <w:tcW w:w="45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single" w:sz="8" w:space="0" w:color="000000"/>
                              <w:bottom w:val="doub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before="0" w:after="283"/>
                              <w:jc w:val="left"/>
                              <w:rPr>
                                <w:sz w:val="4"/>
                                <w:szCs w:val="4"/>
                              </w:rPr>
                            </w:pPr>
                            <w:r>
                              <w:rPr>
                                <w:sz w:val="4"/>
                                <w:szCs w:val="4"/>
                              </w:rPr>
                            </w:r>
                          </w:p>
                        </w:tc>
                        <w:tc>
                          <w:tcPr>
                            <w:tcW w:w="453"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pPr>
                            <w:r>
                              <w:rPr>
                                <w:rFonts w:ascii="Arial;sans-serif" w:hAnsi="Arial;sans-serif"/>
                                <w:b/>
                                <w:i w:val="false"/>
                                <w:caps w:val="false"/>
                                <w:smallCaps w:val="false"/>
                                <w:sz w:val="18"/>
                              </w:rPr>
                              <w:t xml:space="preserve">Solutions revenue </w:t>
                            </w:r>
                            <w:r>
                              <w:rPr>
                                <w:rFonts w:ascii="Arial;sans-serif" w:hAnsi="Arial;sans-serif"/>
                                <w:b/>
                                <w:i w:val="false"/>
                                <w:caps w:val="false"/>
                                <w:smallCaps w:val="false"/>
                                <w:sz w:val="12"/>
                              </w:rPr>
                              <w:t>2</w:t>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 xml:space="preserve">Non-GAAP Operating </w:t>
                            </w:r>
                          </w:p>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Expenses</w:t>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 xml:space="preserve">Non-GAAP Operating </w:t>
                            </w:r>
                          </w:p>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Income</w:t>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 xml:space="preserve">Non-GAAP diluted earnings </w:t>
                            </w:r>
                          </w:p>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per share</w:t>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50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Note: The percentages are calculated based on exact dollars, and therefore may not recalculate exactly using rounded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 xml:space="preserve">numbers as presented in US$ millions. The sum of the percentage changes may not tie to the percentage change in total </w:t>
                            </w:r>
                          </w:p>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8"/>
                                <w:u w:val="none"/>
                                <w:effect w:val="none"/>
                              </w:rPr>
                            </w:pPr>
                            <w:r>
                              <w:rPr>
                                <w:rFonts w:ascii="Arial;sans-serif" w:hAnsi="Arial;sans-serif"/>
                                <w:b w:val="false"/>
                                <w:i w:val="false"/>
                                <w:caps w:val="false"/>
                                <w:smallCaps w:val="false"/>
                                <w:strike w:val="false"/>
                                <w:dstrike w:val="false"/>
                                <w:color w:val="000000"/>
                                <w:sz w:val="18"/>
                                <w:u w:val="none"/>
                                <w:effect w:val="none"/>
                              </w:rPr>
                              <w:t>variance due to rounding.</w:t>
                            </w:r>
                          </w:p>
                        </w:tc>
                      </w:tr>
                      <w:tr>
                        <w:trPr/>
                        <w:tc>
                          <w:tcPr>
                            <w:tcW w:w="50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2"/>
                              </w:rPr>
                              <w:t>1</w:t>
                            </w:r>
                            <w:r>
                              <w:rPr>
                                <w:caps w:val="false"/>
                                <w:smallCaps w:val="false"/>
                              </w:rPr>
                              <w:t xml:space="preserve"> </w:t>
                            </w:r>
                            <w:r>
                              <w:rPr>
                                <w:rFonts w:ascii="Arial;sans-serif" w:hAnsi="Arial;sans-serif"/>
                                <w:b w:val="false"/>
                                <w:i w:val="false"/>
                                <w:caps w:val="false"/>
                                <w:smallCaps w:val="false"/>
                                <w:sz w:val="18"/>
                              </w:rPr>
                              <w:t xml:space="preserve">Organic variance is calculated by removing the impacts of changes in foreign exchange rates, acquisitions, and </w:t>
                            </w:r>
                          </w:p>
                          <w:p>
                            <w:pPr>
                              <w:pStyle w:val="TableContents"/>
                              <w:bidi w:val="0"/>
                              <w:spacing w:lineRule="atLeast" w:line="142"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divestitures.</w:t>
                            </w:r>
                          </w:p>
                        </w:tc>
                      </w:tr>
                      <w:tr>
                        <w:trPr/>
                        <w:tc>
                          <w:tcPr>
                            <w:tcW w:w="5014"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vAlign w:val="center"/>
                          </w:tcPr>
                          <w:p>
                            <w:pPr>
                              <w:pStyle w:val="TableContents"/>
                              <w:bidi w:val="0"/>
                              <w:spacing w:lineRule="atLeast" w:line="142" w:before="0" w:after="0"/>
                              <w:jc w:val="left"/>
                              <w:rPr/>
                            </w:pPr>
                            <w:r>
                              <w:rPr>
                                <w:rFonts w:ascii="Arial;sans-serif" w:hAnsi="Arial;sans-serif"/>
                                <w:b w:val="false"/>
                                <w:i w:val="false"/>
                                <w:caps w:val="false"/>
                                <w:smallCaps w:val="false"/>
                                <w:sz w:val="12"/>
                              </w:rPr>
                              <w:t>2</w:t>
                            </w:r>
                            <w:r>
                              <w:rPr>
                                <w:caps w:val="false"/>
                                <w:smallCaps w:val="false"/>
                              </w:rPr>
                              <w:t xml:space="preserve"> </w:t>
                            </w:r>
                            <w:r>
                              <w:rPr>
                                <w:rFonts w:ascii="Arial;sans-serif" w:hAnsi="Arial;sans-serif"/>
                                <w:b w:val="false"/>
                                <w:i w:val="false"/>
                                <w:caps w:val="false"/>
                                <w:smallCaps w:val="false"/>
                                <w:sz w:val="18"/>
                              </w:rPr>
                              <w:t xml:space="preserve">Total Solutions revenues includes Capital Access Platforms and Financial Technology revenues as well as $2 million and </w:t>
                            </w:r>
                          </w:p>
                          <w:p>
                            <w:pPr>
                              <w:pStyle w:val="TableContents"/>
                              <w:bidi w:val="0"/>
                              <w:spacing w:lineRule="atLeast" w:line="142"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 xml:space="preserve">$4 million of Other revenue in the third quarter of 2026 and the third quarter of 2025, respectively, related to the sale of our </w:t>
                            </w:r>
                          </w:p>
                          <w:p>
                            <w:pPr>
                              <w:pStyle w:val="TableContents"/>
                              <w:bidi w:val="0"/>
                              <w:spacing w:lineRule="atLeast" w:line="142"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 xml:space="preserve">Nasdaq Fund Secondaries business and the sale of the Nasdaq Metrio platform and related customer contracts, which were </w:t>
                            </w:r>
                          </w:p>
                          <w:p>
                            <w:pPr>
                              <w:pStyle w:val="TableContents"/>
                              <w:bidi w:val="0"/>
                              <w:spacing w:lineRule="atLeast" w:line="142"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 xml:space="preserve">both sold in the third quarter of 2026. The third quarter of 2025 also includes $8 million of Other revenue, related to the sale </w:t>
                            </w:r>
                          </w:p>
                          <w:p>
                            <w:pPr>
                              <w:pStyle w:val="TableContents"/>
                              <w:bidi w:val="0"/>
                              <w:spacing w:lineRule="atLeast" w:line="142" w:before="0" w:after="0"/>
                              <w:jc w:val="left"/>
                              <w:rPr>
                                <w:rFonts w:ascii="Arial;sans-serif" w:hAnsi="Arial;sans-serif"/>
                                <w:b w:val="false"/>
                                <w:i w:val="false"/>
                                <w:caps w:val="false"/>
                                <w:smallCaps w:val="false"/>
                                <w:sz w:val="18"/>
                              </w:rPr>
                            </w:pPr>
                            <w:r>
                              <w:rPr>
                                <w:rFonts w:ascii="Arial;sans-serif" w:hAnsi="Arial;sans-serif"/>
                                <w:b w:val="false"/>
                                <w:i w:val="false"/>
                                <w:caps w:val="false"/>
                                <w:smallCaps w:val="false"/>
                                <w:sz w:val="18"/>
                              </w:rPr>
                              <w:t>of the Solovis business, which was sold in the fourth quarter of 2025.</w:t>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68">
                <wp:simplePos x="0" y="0"/>
                <wp:positionH relativeFrom="character">
                  <wp:align>left</wp:align>
                </wp:positionH>
                <wp:positionV relativeFrom="line">
                  <wp:posOffset>635</wp:posOffset>
                </wp:positionV>
                <wp:extent cx="6343650" cy="146050"/>
                <wp:effectExtent l="0" t="0" r="0" b="0"/>
                <wp:wrapNone/>
                <wp:docPr id="29" name="Frame533"/>
                <a:graphic xmlns:a="http://schemas.openxmlformats.org/drawingml/2006/main">
                  <a:graphicData uri="http://schemas.microsoft.com/office/word/2010/wordprocessingShape">
                    <wps:wsp>
                      <wps:cNvSpPr txBox="1"/>
                      <wps:spPr>
                        <a:xfrm>
                          <a:off x="0" y="0"/>
                          <a:ext cx="6343650" cy="146050"/>
                        </a:xfrm>
                        <a:prstGeom prst="rect"/>
                        <a:solidFill>
                          <a:srgbClr val="FFFFFF"/>
                        </a:solidFill>
                      </wps:spPr>
                      <wps:txbx>
                        <w:txbxContent>
                          <w:p>
                            <w:pPr>
                              <w:pStyle w:val="TextBody"/>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Nasdaq, Inc.</w:t>
                            </w:r>
                          </w:p>
                        </w:txbxContent>
                      </wps:txbx>
                      <wps:bodyPr anchor="t" lIns="0" tIns="0" rIns="0" bIns="0">
                        <a:noAutofit/>
                      </wps:bodyPr>
                    </wps:wsp>
                  </a:graphicData>
                </a:graphic>
              </wp:anchor>
            </w:drawing>
          </mc:Choice>
          <mc:Fallback>
            <w:pict>
              <v:rect style="position:absolute;rotation:-0;width:499.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Nasdaq, Inc.</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val="false"/>
          <w:i w:val="false"/>
          <w:caps w:val="false"/>
          <w:smallCaps w:val="false"/>
          <w:sz w:val="18"/>
          <w:shd w:fill="E4E4E4" w:val="clear"/>
        </w:rPr>
      </w:pPr>
      <w:r>
        <w:rPr>
          <w:rFonts w:ascii="Arial;sans-serif" w:hAnsi="Arial;sans-serif"/>
          <w:b w:val="false"/>
          <w:i w:val="false"/>
          <w:caps w:val="false"/>
          <w:smallCaps w:val="false"/>
          <w:sz w:val="18"/>
          <w:shd w:fill="E4E4E4" w:val="clear"/>
        </w:rPr>
        <w:t>17</w:t>
      </w:r>
      <w:r>
        <mc:AlternateContent>
          <mc:Choice Requires="wps">
            <w:drawing>
              <wp:anchor behindDoc="0" distT="0" distB="0" distL="0" distR="0" simplePos="0" locked="0" layoutInCell="1" allowOverlap="1" relativeHeight="669">
                <wp:simplePos x="0" y="0"/>
                <wp:positionH relativeFrom="page">
                  <wp:posOffset>800100</wp:posOffset>
                </wp:positionH>
                <wp:positionV relativeFrom="line">
                  <wp:posOffset>635</wp:posOffset>
                </wp:positionV>
                <wp:extent cx="6057900" cy="9972040"/>
                <wp:effectExtent l="0" t="0" r="0" b="0"/>
                <wp:wrapNone/>
                <wp:docPr id="30" name="Frame666"/>
                <a:graphic xmlns:a="http://schemas.openxmlformats.org/drawingml/2006/main">
                  <a:graphicData uri="http://schemas.microsoft.com/office/word/2010/wordprocessingShape">
                    <wps:wsp>
                      <wps:cNvSpPr txBox="1"/>
                      <wps:spPr>
                        <a:xfrm>
                          <a:off x="0" y="0"/>
                          <a:ext cx="6057900" cy="9972040"/>
                        </a:xfrm>
                        <a:prstGeom prst="rect"/>
                        <a:solidFill>
                          <a:srgbClr val="FFFFFF"/>
                        </a:solidFill>
                      </wps:spPr>
                      <wps:txbx>
                        <w:txbxContent>
                          <w:tbl>
                            <w:tblPr>
                              <w:tblW w:w="9829" w:type="dxa"/>
                              <w:jc w:val="left"/>
                              <w:tblInd w:w="0" w:type="dxa"/>
                              <w:tblLayout w:type="fixed"/>
                              <w:tblCellMar>
                                <w:top w:w="28" w:type="dxa"/>
                                <w:left w:w="28" w:type="dxa"/>
                                <w:bottom w:w="28" w:type="dxa"/>
                                <w:right w:w="28" w:type="dxa"/>
                              </w:tblCellMar>
                            </w:tblPr>
                            <w:tblGrid>
                              <w:gridCol w:w="1229"/>
                              <w:gridCol w:w="1081"/>
                              <w:gridCol w:w="1014"/>
                              <w:gridCol w:w="1014"/>
                              <w:gridCol w:w="1014"/>
                              <w:gridCol w:w="1014"/>
                              <w:gridCol w:w="1014"/>
                              <w:gridCol w:w="1014"/>
                              <w:gridCol w:w="1435"/>
                            </w:tblGrid>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9829" w:type="dxa"/>
                                  <w:gridSpan w:val="9"/>
                                  <w:tcBorders/>
                                  <w:vAlign w:val="center"/>
                                </w:tcPr>
                                <w:p>
                                  <w:pPr>
                                    <w:pStyle w:val="TableContents"/>
                                    <w:bidi w:val="0"/>
                                    <w:spacing w:before="0" w:after="283"/>
                                    <w:jc w:val="left"/>
                                    <w:rPr>
                                      <w:sz w:val="4"/>
                                      <w:szCs w:val="4"/>
                                    </w:rPr>
                                  </w:pPr>
                                  <w:r>
                                    <w:rPr>
                                      <w:sz w:val="4"/>
                                      <w:szCs w:val="4"/>
                                    </w:rPr>
                                  </w:r>
                                </w:p>
                              </w:tc>
                            </w:tr>
                            <w:tr>
                              <w:trPr/>
                              <w:tc>
                                <w:tcPr>
                                  <w:tcW w:w="9829" w:type="dxa"/>
                                  <w:gridSpan w:val="9"/>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Key Drivers Detail</w:t>
                                  </w:r>
                                </w:p>
                              </w:tc>
                            </w:tr>
                            <w:tr>
                              <w:trPr/>
                              <w:tc>
                                <w:tcPr>
                                  <w:tcW w:w="9829" w:type="dxa"/>
                                  <w:gridSpan w:val="9"/>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(unaudited)</w:t>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0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34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2"/>
                                  <w:tcBorders/>
                                  <w:vAlign w:val="center"/>
                                </w:tcPr>
                                <w:p>
                                  <w:pPr>
                                    <w:pStyle w:val="TableContents"/>
                                    <w:bidi w:val="0"/>
                                    <w:spacing w:lineRule="atLeast" w:line="142" w:before="0" w:after="0"/>
                                    <w:jc w:val="left"/>
                                    <w:rPr>
                                      <w:rFonts w:ascii="Arial;sans-serif" w:hAnsi="Arial;sans-serif"/>
                                      <w:b/>
                                      <w:i w:val="false"/>
                                      <w:caps w:val="false"/>
                                      <w:smallCaps w:val="false"/>
                                      <w:color w:val="000000"/>
                                      <w:sz w:val="18"/>
                                      <w:u w:val="single"/>
                                    </w:rPr>
                                  </w:pPr>
                                  <w:r>
                                    <w:rPr>
                                      <w:rFonts w:ascii="Arial;sans-serif" w:hAnsi="Arial;sans-serif"/>
                                      <w:b/>
                                      <w:i w:val="false"/>
                                      <w:caps w:val="false"/>
                                      <w:smallCaps w:val="false"/>
                                      <w:color w:val="000000"/>
                                      <w:sz w:val="18"/>
                                      <w:u w:val="single"/>
                                    </w:rPr>
                                    <w:t>Capital Access Platforms</w:t>
                                  </w:r>
                                </w:p>
                              </w:tc>
                              <w:tc>
                                <w:tcPr>
                                  <w:tcW w:w="10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2310" w:type="dxa"/>
                                  <w:gridSpan w:val="2"/>
                                  <w:tcBorders/>
                                  <w:vAlign w:val="center"/>
                                </w:tcPr>
                                <w:p>
                                  <w:pPr>
                                    <w:pStyle w:val="TableContents"/>
                                    <w:bidi w:val="0"/>
                                    <w:spacing w:lineRule="atLeast" w:line="142" w:before="0" w:after="0"/>
                                    <w:jc w:val="left"/>
                                    <w:rPr>
                                      <w:rFonts w:ascii="Arial;sans-serif" w:hAnsi="Arial;sans-serif"/>
                                      <w:b/>
                                      <w:i w:val="false"/>
                                      <w:caps w:val="false"/>
                                      <w:smallCaps w:val="false"/>
                                      <w:color w:val="000000"/>
                                      <w:sz w:val="18"/>
                                      <w:u w:val="single"/>
                                    </w:rPr>
                                  </w:pPr>
                                  <w:r>
                                    <w:rPr>
                                      <w:rFonts w:ascii="Arial;sans-serif" w:hAnsi="Arial;sans-serif"/>
                                      <w:b/>
                                      <w:i w:val="false"/>
                                      <w:caps w:val="false"/>
                                      <w:smallCaps w:val="false"/>
                                      <w:color w:val="000000"/>
                                      <w:sz w:val="18"/>
                                      <w:u w:val="single"/>
                                    </w:rPr>
                                    <w:t>Financial Technology</w:t>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2310" w:type="dxa"/>
                                  <w:gridSpan w:val="2"/>
                                  <w:tcBorders/>
                                  <w:vAlign w:val="center"/>
                                </w:tcPr>
                                <w:p>
                                  <w:pPr>
                                    <w:pStyle w:val="TableContents"/>
                                    <w:bidi w:val="0"/>
                                    <w:spacing w:lineRule="atLeast" w:line="142" w:before="0" w:after="0"/>
                                    <w:jc w:val="left"/>
                                    <w:rPr>
                                      <w:rFonts w:ascii="Arial;sans-serif" w:hAnsi="Arial;sans-serif"/>
                                      <w:b/>
                                      <w:i w:val="false"/>
                                      <w:caps w:val="false"/>
                                      <w:smallCaps w:val="false"/>
                                      <w:color w:val="000000"/>
                                      <w:sz w:val="18"/>
                                      <w:u w:val="single"/>
                                    </w:rPr>
                                  </w:pPr>
                                  <w:r>
                                    <w:rPr>
                                      <w:rFonts w:ascii="Arial;sans-serif" w:hAnsi="Arial;sans-serif"/>
                                      <w:b/>
                                      <w:i w:val="false"/>
                                      <w:caps w:val="false"/>
                                      <w:smallCaps w:val="false"/>
                                      <w:color w:val="000000"/>
                                      <w:sz w:val="18"/>
                                      <w:u w:val="single"/>
                                    </w:rPr>
                                    <w:t>Market Services</w:t>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77pt;height:785.2pt;mso-wrap-distance-left:0pt;mso-wrap-distance-right:0pt;mso-wrap-distance-top:0pt;mso-wrap-distance-bottom:0pt;margin-top:0pt;mso-position-vertical:top;mso-position-vertical-relative:text;margin-left:63pt;mso-position-horizontal-relative:page">
                <v:textbox>
                  <w:txbxContent>
                    <w:tbl>
                      <w:tblPr>
                        <w:tblW w:w="9829" w:type="dxa"/>
                        <w:jc w:val="left"/>
                        <w:tblInd w:w="0" w:type="dxa"/>
                        <w:tblLayout w:type="fixed"/>
                        <w:tblCellMar>
                          <w:top w:w="28" w:type="dxa"/>
                          <w:left w:w="28" w:type="dxa"/>
                          <w:bottom w:w="28" w:type="dxa"/>
                          <w:right w:w="28" w:type="dxa"/>
                        </w:tblCellMar>
                      </w:tblPr>
                      <w:tblGrid>
                        <w:gridCol w:w="1229"/>
                        <w:gridCol w:w="1081"/>
                        <w:gridCol w:w="1014"/>
                        <w:gridCol w:w="1014"/>
                        <w:gridCol w:w="1014"/>
                        <w:gridCol w:w="1014"/>
                        <w:gridCol w:w="1014"/>
                        <w:gridCol w:w="1014"/>
                        <w:gridCol w:w="1435"/>
                      </w:tblGrid>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9829" w:type="dxa"/>
                            <w:gridSpan w:val="9"/>
                            <w:tcBorders/>
                            <w:vAlign w:val="center"/>
                          </w:tcPr>
                          <w:p>
                            <w:pPr>
                              <w:pStyle w:val="TableContents"/>
                              <w:bidi w:val="0"/>
                              <w:spacing w:before="0" w:after="283"/>
                              <w:jc w:val="left"/>
                              <w:rPr>
                                <w:sz w:val="4"/>
                                <w:szCs w:val="4"/>
                              </w:rPr>
                            </w:pPr>
                            <w:r>
                              <w:rPr>
                                <w:sz w:val="4"/>
                                <w:szCs w:val="4"/>
                              </w:rPr>
                            </w:r>
                          </w:p>
                        </w:tc>
                      </w:tr>
                      <w:tr>
                        <w:trPr/>
                        <w:tc>
                          <w:tcPr>
                            <w:tcW w:w="9829" w:type="dxa"/>
                            <w:gridSpan w:val="9"/>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Key Drivers Detail</w:t>
                            </w:r>
                          </w:p>
                        </w:tc>
                      </w:tr>
                      <w:tr>
                        <w:trPr/>
                        <w:tc>
                          <w:tcPr>
                            <w:tcW w:w="9829" w:type="dxa"/>
                            <w:gridSpan w:val="9"/>
                            <w:tcBorders/>
                            <w:vAlign w:val="center"/>
                          </w:tcPr>
                          <w:p>
                            <w:pPr>
                              <w:pStyle w:val="TableContents"/>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(unaudited)</w:t>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0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346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2"/>
                            <w:tcBorders/>
                            <w:vAlign w:val="center"/>
                          </w:tcPr>
                          <w:p>
                            <w:pPr>
                              <w:pStyle w:val="TableContents"/>
                              <w:bidi w:val="0"/>
                              <w:spacing w:lineRule="atLeast" w:line="142" w:before="0" w:after="0"/>
                              <w:jc w:val="left"/>
                              <w:rPr>
                                <w:rFonts w:ascii="Arial;sans-serif" w:hAnsi="Arial;sans-serif"/>
                                <w:b/>
                                <w:i w:val="false"/>
                                <w:caps w:val="false"/>
                                <w:smallCaps w:val="false"/>
                                <w:color w:val="000000"/>
                                <w:sz w:val="18"/>
                                <w:u w:val="single"/>
                              </w:rPr>
                            </w:pPr>
                            <w:r>
                              <w:rPr>
                                <w:rFonts w:ascii="Arial;sans-serif" w:hAnsi="Arial;sans-serif"/>
                                <w:b/>
                                <w:i w:val="false"/>
                                <w:caps w:val="false"/>
                                <w:smallCaps w:val="false"/>
                                <w:color w:val="000000"/>
                                <w:sz w:val="18"/>
                                <w:u w:val="single"/>
                              </w:rPr>
                              <w:t>Capital Access Platforms</w:t>
                            </w:r>
                          </w:p>
                        </w:tc>
                        <w:tc>
                          <w:tcPr>
                            <w:tcW w:w="10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2310" w:type="dxa"/>
                            <w:gridSpan w:val="2"/>
                            <w:tcBorders/>
                            <w:vAlign w:val="center"/>
                          </w:tcPr>
                          <w:p>
                            <w:pPr>
                              <w:pStyle w:val="TableContents"/>
                              <w:bidi w:val="0"/>
                              <w:spacing w:lineRule="atLeast" w:line="142" w:before="0" w:after="0"/>
                              <w:jc w:val="left"/>
                              <w:rPr>
                                <w:rFonts w:ascii="Arial;sans-serif" w:hAnsi="Arial;sans-serif"/>
                                <w:b/>
                                <w:i w:val="false"/>
                                <w:caps w:val="false"/>
                                <w:smallCaps w:val="false"/>
                                <w:color w:val="000000"/>
                                <w:sz w:val="18"/>
                                <w:u w:val="single"/>
                              </w:rPr>
                            </w:pPr>
                            <w:r>
                              <w:rPr>
                                <w:rFonts w:ascii="Arial;sans-serif" w:hAnsi="Arial;sans-serif"/>
                                <w:b/>
                                <w:i w:val="false"/>
                                <w:caps w:val="false"/>
                                <w:smallCaps w:val="false"/>
                                <w:color w:val="000000"/>
                                <w:sz w:val="18"/>
                                <w:u w:val="single"/>
                              </w:rPr>
                              <w:t>Financial Technology</w:t>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2310" w:type="dxa"/>
                            <w:gridSpan w:val="2"/>
                            <w:tcBorders/>
                            <w:vAlign w:val="center"/>
                          </w:tcPr>
                          <w:p>
                            <w:pPr>
                              <w:pStyle w:val="TableContents"/>
                              <w:bidi w:val="0"/>
                              <w:spacing w:lineRule="atLeast" w:line="142" w:before="0" w:after="0"/>
                              <w:jc w:val="left"/>
                              <w:rPr>
                                <w:rFonts w:ascii="Arial;sans-serif" w:hAnsi="Arial;sans-serif"/>
                                <w:b/>
                                <w:i w:val="false"/>
                                <w:caps w:val="false"/>
                                <w:smallCaps w:val="false"/>
                                <w:color w:val="000000"/>
                                <w:sz w:val="18"/>
                                <w:u w:val="single"/>
                              </w:rPr>
                            </w:pPr>
                            <w:r>
                              <w:rPr>
                                <w:rFonts w:ascii="Arial;sans-serif" w:hAnsi="Arial;sans-serif"/>
                                <w:b/>
                                <w:i w:val="false"/>
                                <w:caps w:val="false"/>
                                <w:smallCaps w:val="false"/>
                                <w:color w:val="000000"/>
                                <w:sz w:val="18"/>
                                <w:u w:val="single"/>
                              </w:rPr>
                              <w:t>Market Services</w:t>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r>
                        <w:trPr/>
                        <w:tc>
                          <w:tcPr>
                            <w:tcW w:w="122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19">
                <wp:simplePos x="0" y="0"/>
                <wp:positionH relativeFrom="character">
                  <wp:align>left</wp:align>
                </wp:positionH>
                <wp:positionV relativeFrom="line">
                  <wp:posOffset>635</wp:posOffset>
                </wp:positionV>
                <wp:extent cx="6057900" cy="146050"/>
                <wp:effectExtent l="0" t="0" r="0" b="0"/>
                <wp:wrapNone/>
                <wp:docPr id="31" name="Frame667"/>
                <a:graphic xmlns:a="http://schemas.openxmlformats.org/drawingml/2006/main">
                  <a:graphicData uri="http://schemas.microsoft.com/office/word/2010/wordprocessingShape">
                    <wps:wsp>
                      <wps:cNvSpPr txBox="1"/>
                      <wps:spPr>
                        <a:xfrm>
                          <a:off x="0" y="0"/>
                          <a:ext cx="6057900" cy="146050"/>
                        </a:xfrm>
                        <a:prstGeom prst="rect"/>
                        <a:solidFill>
                          <a:srgbClr val="FFFFFF"/>
                        </a:solidFill>
                      </wps:spPr>
                      <wps:txbx>
                        <w:txbxContent>
                          <w:p>
                            <w:pPr>
                              <w:pStyle w:val="TextBody"/>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Nasdaq, Inc.</w:t>
                            </w:r>
                          </w:p>
                        </w:txbxContent>
                      </wps:txbx>
                      <wps:bodyPr anchor="t" lIns="0" tIns="0" rIns="0" bIns="0">
                        <a:noAutofit/>
                      </wps:bodyPr>
                    </wps:wsp>
                  </a:graphicData>
                </a:graphic>
              </wp:anchor>
            </w:drawing>
          </mc:Choice>
          <mc:Fallback>
            <w:pict>
              <v:rect style="position:absolute;rotation:-0;width:477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6" w:before="0" w:after="0"/>
                        <w:jc w:val="left"/>
                        <w:rPr>
                          <w:rFonts w:ascii="Arial;sans-serif" w:hAnsi="Arial;sans-serif"/>
                          <w:b/>
                          <w:i w:val="false"/>
                          <w:caps w:val="false"/>
                          <w:smallCaps w:val="false"/>
                          <w:strike w:val="false"/>
                          <w:dstrike w:val="false"/>
                          <w:color w:val="000000"/>
                          <w:sz w:val="20"/>
                          <w:u w:val="none"/>
                          <w:effect w:val="none"/>
                        </w:rPr>
                      </w:pPr>
                      <w:r>
                        <w:rPr>
                          <w:rFonts w:ascii="Arial;sans-serif" w:hAnsi="Arial;sans-serif"/>
                          <w:b/>
                          <w:i w:val="false"/>
                          <w:caps w:val="false"/>
                          <w:smallCaps w:val="false"/>
                          <w:strike w:val="false"/>
                          <w:dstrike w:val="false"/>
                          <w:color w:val="000000"/>
                          <w:sz w:val="20"/>
                          <w:u w:val="none"/>
                          <w:effect w:val="none"/>
                        </w:rPr>
                        <w:t>Nasdaq, Inc.</w:t>
                      </w:r>
                    </w:p>
                  </w:txbxContent>
                </v:textbox>
                <w10:wrap type="none"/>
              </v:rect>
            </w:pict>
          </mc:Fallback>
        </mc:AlternateConten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0">
                <wp:simplePos x="0" y="0"/>
                <wp:positionH relativeFrom="page">
                  <wp:posOffset>800100</wp:posOffset>
                </wp:positionH>
                <wp:positionV relativeFrom="line">
                  <wp:posOffset>635</wp:posOffset>
                </wp:positionV>
                <wp:extent cx="6057900" cy="6312535"/>
                <wp:effectExtent l="0" t="0" r="0" b="0"/>
                <wp:wrapNone/>
                <wp:docPr id="32" name="Frame817"/>
                <a:graphic xmlns:a="http://schemas.openxmlformats.org/drawingml/2006/main">
                  <a:graphicData uri="http://schemas.microsoft.com/office/word/2010/wordprocessingShape">
                    <wps:wsp>
                      <wps:cNvSpPr txBox="1"/>
                      <wps:spPr>
                        <a:xfrm>
                          <a:off x="0" y="0"/>
                          <a:ext cx="6057900" cy="6312535"/>
                        </a:xfrm>
                        <a:prstGeom prst="rect"/>
                        <a:solidFill>
                          <a:srgbClr val="FFFFFF"/>
                        </a:solidFill>
                      </wps:spPr>
                      <wps:txbx>
                        <w:txbxContent>
                          <w:tbl>
                            <w:tblPr>
                              <w:tblW w:w="6790" w:type="dxa"/>
                              <w:jc w:val="left"/>
                              <w:tblInd w:w="0" w:type="dxa"/>
                              <w:tblLayout w:type="fixed"/>
                              <w:tblCellMar>
                                <w:top w:w="28" w:type="dxa"/>
                                <w:left w:w="28" w:type="dxa"/>
                                <w:bottom w:w="28" w:type="dxa"/>
                                <w:right w:w="28" w:type="dxa"/>
                              </w:tblCellMar>
                            </w:tblPr>
                            <w:tblGrid>
                              <w:gridCol w:w="211"/>
                              <w:gridCol w:w="5771"/>
                              <w:gridCol w:w="109"/>
                              <w:gridCol w:w="109"/>
                              <w:gridCol w:w="109"/>
                              <w:gridCol w:w="109"/>
                              <w:gridCol w:w="109"/>
                              <w:gridCol w:w="109"/>
                              <w:gridCol w:w="154"/>
                            </w:tblGrid>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w:t>
                                  </w:r>
                                </w:p>
                              </w:tc>
                              <w:tc>
                                <w:tcPr>
                                  <w:tcW w:w="6579" w:type="dxa"/>
                                  <w:gridSpan w:val="8"/>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w:t>
                                  </w:r>
                                </w:p>
                              </w:tc>
                              <w:tc>
                                <w:tcPr>
                                  <w:tcW w:w="6579" w:type="dxa"/>
                                  <w:gridSpan w:val="8"/>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w:t>
                                  </w:r>
                                </w:p>
                              </w:tc>
                              <w:tc>
                                <w:tcPr>
                                  <w:tcW w:w="6579" w:type="dxa"/>
                                  <w:gridSpan w:val="8"/>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w:t>
                                  </w:r>
                                </w:p>
                              </w:tc>
                              <w:tc>
                                <w:tcPr>
                                  <w:tcW w:w="6579" w:type="dxa"/>
                                  <w:gridSpan w:val="8"/>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w:t>
                                  </w:r>
                                </w:p>
                              </w:tc>
                              <w:tc>
                                <w:tcPr>
                                  <w:tcW w:w="6579" w:type="dxa"/>
                                  <w:gridSpan w:val="8"/>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w:t>
                                  </w:r>
                                </w:p>
                              </w:tc>
                              <w:tc>
                                <w:tcPr>
                                  <w:tcW w:w="6579" w:type="dxa"/>
                                  <w:gridSpan w:val="8"/>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w:t>
                                  </w:r>
                                </w:p>
                              </w:tc>
                              <w:tc>
                                <w:tcPr>
                                  <w:tcW w:w="6579" w:type="dxa"/>
                                  <w:gridSpan w:val="8"/>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6579" w:type="dxa"/>
                                  <w:gridSpan w:val="8"/>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77pt;height:497.05pt;mso-wrap-distance-left:0pt;mso-wrap-distance-right:0pt;mso-wrap-distance-top:0pt;mso-wrap-distance-bottom:0pt;margin-top:0pt;mso-position-vertical:top;mso-position-vertical-relative:text;margin-left:63pt;mso-position-horizontal-relative:page">
                <v:textbox>
                  <w:txbxContent>
                    <w:tbl>
                      <w:tblPr>
                        <w:tblW w:w="6790" w:type="dxa"/>
                        <w:jc w:val="left"/>
                        <w:tblInd w:w="0" w:type="dxa"/>
                        <w:tblLayout w:type="fixed"/>
                        <w:tblCellMar>
                          <w:top w:w="28" w:type="dxa"/>
                          <w:left w:w="28" w:type="dxa"/>
                          <w:bottom w:w="28" w:type="dxa"/>
                          <w:right w:w="28" w:type="dxa"/>
                        </w:tblCellMar>
                      </w:tblPr>
                      <w:tblGrid>
                        <w:gridCol w:w="211"/>
                        <w:gridCol w:w="5771"/>
                        <w:gridCol w:w="109"/>
                        <w:gridCol w:w="109"/>
                        <w:gridCol w:w="109"/>
                        <w:gridCol w:w="109"/>
                        <w:gridCol w:w="109"/>
                        <w:gridCol w:w="109"/>
                        <w:gridCol w:w="154"/>
                      </w:tblGrid>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5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1</w:t>
                            </w:r>
                          </w:p>
                        </w:tc>
                        <w:tc>
                          <w:tcPr>
                            <w:tcW w:w="6579" w:type="dxa"/>
                            <w:gridSpan w:val="8"/>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2</w:t>
                            </w:r>
                          </w:p>
                        </w:tc>
                        <w:tc>
                          <w:tcPr>
                            <w:tcW w:w="6579" w:type="dxa"/>
                            <w:gridSpan w:val="8"/>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3</w:t>
                            </w:r>
                          </w:p>
                        </w:tc>
                        <w:tc>
                          <w:tcPr>
                            <w:tcW w:w="6579" w:type="dxa"/>
                            <w:gridSpan w:val="8"/>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4</w:t>
                            </w:r>
                          </w:p>
                        </w:tc>
                        <w:tc>
                          <w:tcPr>
                            <w:tcW w:w="6579" w:type="dxa"/>
                            <w:gridSpan w:val="8"/>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5</w:t>
                            </w:r>
                          </w:p>
                        </w:tc>
                        <w:tc>
                          <w:tcPr>
                            <w:tcW w:w="6579" w:type="dxa"/>
                            <w:gridSpan w:val="8"/>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6</w:t>
                            </w:r>
                          </w:p>
                        </w:tc>
                        <w:tc>
                          <w:tcPr>
                            <w:tcW w:w="6579" w:type="dxa"/>
                            <w:gridSpan w:val="8"/>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lineRule="atLeast" w:line="142" w:before="0" w:after="0"/>
                              <w:jc w:val="left"/>
                              <w:rPr>
                                <w:rFonts w:ascii="Arial;sans-serif" w:hAnsi="Arial;sans-serif"/>
                                <w:b w:val="false"/>
                                <w:i w:val="false"/>
                                <w:caps w:val="false"/>
                                <w:smallCaps w:val="false"/>
                                <w:strike w:val="false"/>
                                <w:dstrike w:val="false"/>
                                <w:color w:val="000000"/>
                                <w:sz w:val="16"/>
                                <w:u w:val="none"/>
                                <w:effect w:val="none"/>
                              </w:rPr>
                            </w:pPr>
                            <w:r>
                              <w:rPr>
                                <w:rFonts w:ascii="Arial;sans-serif" w:hAnsi="Arial;sans-serif"/>
                                <w:b w:val="false"/>
                                <w:i w:val="false"/>
                                <w:caps w:val="false"/>
                                <w:smallCaps w:val="false"/>
                                <w:strike w:val="false"/>
                                <w:dstrike w:val="false"/>
                                <w:color w:val="000000"/>
                                <w:sz w:val="16"/>
                                <w:u w:val="none"/>
                                <w:effect w:val="none"/>
                              </w:rPr>
                              <w:t>7</w:t>
                            </w:r>
                          </w:p>
                        </w:tc>
                        <w:tc>
                          <w:tcPr>
                            <w:tcW w:w="6579" w:type="dxa"/>
                            <w:gridSpan w:val="8"/>
                            <w:tcBorders/>
                            <w:vAlign w:val="center"/>
                          </w:tcPr>
                          <w:p>
                            <w:pPr>
                              <w:pStyle w:val="TableContents"/>
                              <w:bidi w:val="0"/>
                              <w:spacing w:before="0" w:after="283"/>
                              <w:jc w:val="left"/>
                              <w:rPr>
                                <w:sz w:val="4"/>
                                <w:szCs w:val="4"/>
                              </w:rPr>
                            </w:pPr>
                            <w:r>
                              <w:rPr>
                                <w:sz w:val="4"/>
                                <w:szCs w:val="4"/>
                              </w:rPr>
                            </w:r>
                          </w:p>
                        </w:tc>
                      </w:tr>
                      <w:tr>
                        <w:trPr/>
                        <w:tc>
                          <w:tcPr>
                            <w:tcW w:w="211" w:type="dxa"/>
                            <w:tcBorders/>
                            <w:vAlign w:val="center"/>
                          </w:tcPr>
                          <w:p>
                            <w:pPr>
                              <w:pStyle w:val="TableContents"/>
                              <w:bidi w:val="0"/>
                              <w:spacing w:before="0" w:after="283"/>
                              <w:jc w:val="left"/>
                              <w:rPr>
                                <w:sz w:val="4"/>
                                <w:szCs w:val="4"/>
                              </w:rPr>
                            </w:pPr>
                            <w:r>
                              <w:rPr>
                                <w:sz w:val="4"/>
                                <w:szCs w:val="4"/>
                              </w:rPr>
                            </w:r>
                          </w:p>
                        </w:tc>
                        <w:tc>
                          <w:tcPr>
                            <w:tcW w:w="6579" w:type="dxa"/>
                            <w:gridSpan w:val="8"/>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85">
                <wp:simplePos x="0" y="0"/>
                <wp:positionH relativeFrom="page">
                  <wp:posOffset>85725</wp:posOffset>
                </wp:positionH>
                <wp:positionV relativeFrom="line">
                  <wp:posOffset>635</wp:posOffset>
                </wp:positionV>
                <wp:extent cx="3609975" cy="131445"/>
                <wp:effectExtent l="0" t="0" r="0" b="0"/>
                <wp:wrapNone/>
                <wp:docPr id="33" name="Frame818"/>
                <a:graphic xmlns:a="http://schemas.openxmlformats.org/drawingml/2006/main">
                  <a:graphicData uri="http://schemas.microsoft.com/office/word/2010/wordprocessingShape">
                    <wps:wsp>
                      <wps:cNvSpPr txBox="1"/>
                      <wps:spPr>
                        <a:xfrm>
                          <a:off x="0" y="0"/>
                          <a:ext cx="3609975" cy="131445"/>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Cash Equity Trading</w:t>
                            </w:r>
                          </w:p>
                        </w:txbxContent>
                      </wps:txbx>
                      <wps:bodyPr anchor="t" lIns="0" tIns="0" rIns="0" bIns="0">
                        <a:noAutofit/>
                      </wps:bodyPr>
                    </wps:wsp>
                  </a:graphicData>
                </a:graphic>
              </wp:anchor>
            </w:drawing>
          </mc:Choice>
          <mc:Fallback>
            <w:pict>
              <v:rect style="position:absolute;rotation:-0;width:284.25pt;height:10.35pt;mso-wrap-distance-left:0pt;mso-wrap-distance-right:0pt;mso-wrap-distance-top:0pt;mso-wrap-distance-bottom:0pt;margin-top:0pt;mso-position-vertical:top;mso-position-vertical-relative:text;margin-left:6.75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000000"/>
                          <w:sz w:val="18"/>
                          <w:u w:val="none"/>
                          <w:effect w:val="none"/>
                        </w:rPr>
                      </w:pPr>
                      <w:r>
                        <w:rPr>
                          <w:rFonts w:ascii="Arial;sans-serif" w:hAnsi="Arial;sans-serif"/>
                          <w:b/>
                          <w:i w:val="false"/>
                          <w:caps w:val="false"/>
                          <w:smallCaps w:val="false"/>
                          <w:strike w:val="false"/>
                          <w:dstrike w:val="false"/>
                          <w:color w:val="000000"/>
                          <w:sz w:val="18"/>
                          <w:u w:val="none"/>
                          <w:effect w:val="none"/>
                        </w:rPr>
                        <w:t>Cash Equity Trading</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99.2</w:t>
      </w:r>
    </w:p>
    <w:p>
      <w:pPr>
        <w:pStyle w:val="TextBody"/>
        <w:bidi w:val="0"/>
        <w:spacing w:before="0" w:after="0"/>
        <w:jc w:val="right"/>
        <w:rPr/>
      </w:pPr>
      <w:r>
        <w:rPr/>
      </w:r>
    </w:p>
    <w:p>
      <w:pPr>
        <w:pStyle w:val="TextBody"/>
        <w:bidi w:val="0"/>
        <w:spacing w:before="0" w:after="0"/>
        <w:jc w:val="left"/>
        <w:rPr/>
      </w:pPr>
      <w:r>
        <w:rPr/>
        <w:drawing>
          <wp:inline distT="0" distB="0" distL="0" distR="0">
            <wp:extent cx="1409700" cy="400050"/>
            <wp:effectExtent l="0" t="0" r="0" b="0"/>
            <wp:docPr id="3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 descr=""/>
                    <pic:cNvPicPr>
                      <a:picLocks noChangeAspect="1" noChangeArrowheads="1"/>
                    </pic:cNvPicPr>
                  </pic:nvPicPr>
                  <pic:blipFill>
                    <a:blip r:embed="rId4"/>
                    <a:stretch>
                      <a:fillRect/>
                    </a:stretch>
                  </pic:blipFill>
                  <pic:spPr bwMode="auto">
                    <a:xfrm>
                      <a:off x="0" y="0"/>
                      <a:ext cx="1409700" cy="400050"/>
                    </a:xfrm>
                    <a:prstGeom prst="rect">
                      <a:avLst/>
                    </a:prstGeom>
                  </pic:spPr>
                </pic:pic>
              </a:graphicData>
            </a:graphic>
          </wp:inline>
        </w:drawing>
      </w:r>
    </w:p>
    <w:p>
      <w:pPr>
        <w:pStyle w:val="TextBody"/>
        <w:bidi w:val="0"/>
        <w:spacing w:before="0" w:after="0"/>
        <w:jc w:val="left"/>
        <w:rPr/>
      </w:pPr>
      <w:r>
        <w:rPr/>
      </w:r>
    </w:p>
    <w:p>
      <w:pPr>
        <w:pStyle w:val="TextBody"/>
        <w:bidi w:val="0"/>
        <w:spacing w:lineRule="atLeast" w:line="142" w:before="0" w:after="0"/>
        <w:jc w:val="left"/>
        <w:rPr>
          <w:rFonts w:ascii="Times New Roman;serif" w:hAnsi="Times New Roman;serif"/>
          <w:b/>
          <w:color w:val="000000"/>
          <w:sz w:val="18"/>
        </w:rPr>
      </w:pPr>
      <w:r>
        <w:rPr>
          <w:rFonts w:ascii="Times New Roman;serif" w:hAnsi="Times New Roman;serif"/>
          <w:b/>
          <w:color w:val="000000"/>
          <w:sz w:val="18"/>
        </w:rPr>
        <w:t>NEWS RELEASE</w:t>
      </w:r>
    </w:p>
    <w:p>
      <w:pPr>
        <w:pStyle w:val="TextBody"/>
        <w:bidi w:val="0"/>
        <w:spacing w:before="0" w:after="0"/>
        <w:jc w:val="left"/>
        <w:rPr/>
      </w:pPr>
      <w:r>
        <w:rPr/>
      </w:r>
    </w:p>
    <w:p>
      <w:pPr>
        <w:pStyle w:val="TextBody"/>
        <w:bidi w:val="0"/>
        <w:spacing w:lineRule="atLeast" w:line="142" w:before="120" w:after="283"/>
        <w:jc w:val="center"/>
        <w:rPr>
          <w:rFonts w:ascii="Times New Roman;serif" w:hAnsi="Times New Roman;serif"/>
          <w:b/>
          <w:color w:val="000000"/>
          <w:sz w:val="20"/>
        </w:rPr>
      </w:pPr>
      <w:r>
        <w:rPr>
          <w:rFonts w:ascii="Times New Roman;serif" w:hAnsi="Times New Roman;serif"/>
          <w:b/>
          <w:color w:val="000000"/>
          <w:sz w:val="20"/>
        </w:rPr>
        <w:t>Nasdaq Announces Quarterly Dividend of $0.31 Per Share</w:t>
      </w:r>
    </w:p>
    <w:p>
      <w:pPr>
        <w:pStyle w:val="TextBody"/>
        <w:bidi w:val="0"/>
        <w:spacing w:before="120" w:after="283"/>
        <w:jc w:val="left"/>
        <w:rPr/>
      </w:pPr>
      <w:r>
        <w:rPr/>
      </w:r>
    </w:p>
    <w:p>
      <w:pPr>
        <w:pStyle w:val="TextBody"/>
        <w:bidi w:val="0"/>
        <w:spacing w:lineRule="auto" w:line="304" w:before="120" w:after="283"/>
        <w:jc w:val="left"/>
        <w:rPr/>
      </w:pPr>
      <w:r>
        <w:rPr>
          <w:rFonts w:ascii="Times New Roman;serif" w:hAnsi="Times New Roman;serif"/>
          <w:b/>
          <w:color w:val="000000"/>
          <w:sz w:val="20"/>
        </w:rPr>
        <w:t xml:space="preserve">NEW YORK, October 22, 2026 – </w:t>
      </w:r>
      <w:r>
        <w:rPr>
          <w:rFonts w:ascii="Times New Roman;serif" w:hAnsi="Times New Roman;serif"/>
          <w:b w:val="false"/>
          <w:color w:val="000000"/>
          <w:sz w:val="20"/>
        </w:rPr>
        <w:t>The Board of Directors of Nasdaq, Inc. (Nasdaq: NDAQ) has declared a regular quarterly dividend of $0.31 per</w:t>
      </w:r>
      <w:r>
        <w:rPr>
          <w:color w:val="000000"/>
        </w:rPr>
        <w:t xml:space="preserve"> </w:t>
      </w:r>
      <w:r>
        <w:rPr>
          <w:rFonts w:ascii="Times New Roman;serif" w:hAnsi="Times New Roman;serif"/>
          <w:b w:val="false"/>
          <w:color w:val="000000"/>
          <w:sz w:val="20"/>
        </w:rPr>
        <w:t>share on the company’s outstanding common stock. The dividend is payable on December 18, 2026 to shareholders of record at the close of business on December 4, 2026. Future declarations of quarterly dividends and the establishment of future record and payment dates are subject to approval by the Board of Directors.</w:t>
      </w:r>
    </w:p>
    <w:p>
      <w:pPr>
        <w:pStyle w:val="TextBody"/>
        <w:bidi w:val="0"/>
        <w:spacing w:lineRule="atLeast" w:line="142" w:before="120" w:after="283"/>
        <w:jc w:val="left"/>
        <w:rPr>
          <w:rFonts w:ascii="Times New Roman;serif" w:hAnsi="Times New Roman;serif"/>
          <w:b/>
          <w:color w:val="000000"/>
          <w:sz w:val="20"/>
        </w:rPr>
      </w:pPr>
      <w:r>
        <w:rPr>
          <w:rFonts w:ascii="Times New Roman;serif" w:hAnsi="Times New Roman;serif"/>
          <w:b/>
          <w:color w:val="000000"/>
          <w:sz w:val="20"/>
        </w:rPr>
        <w:t>About Nasdaq</w:t>
      </w:r>
    </w:p>
    <w:p>
      <w:pPr>
        <w:pStyle w:val="TextBody"/>
        <w:bidi w:val="0"/>
        <w:spacing w:before="120" w:after="283"/>
        <w:jc w:val="left"/>
        <w:rPr/>
      </w:pPr>
      <w:r>
        <w:rPr/>
      </w:r>
    </w:p>
    <w:p>
      <w:pPr>
        <w:pStyle w:val="TextBody"/>
        <w:bidi w:val="0"/>
        <w:spacing w:lineRule="auto" w:line="300" w:before="120" w:after="283"/>
        <w:jc w:val="left"/>
        <w:rPr/>
      </w:pPr>
      <w:r>
        <w:rPr>
          <w:rFonts w:ascii="Times New Roman;serif" w:hAnsi="Times New Roman;serif"/>
          <w:b w:val="false"/>
          <w:color w:val="000000"/>
          <w:sz w:val="20"/>
        </w:rPr>
        <w:t xml:space="preserve">Nasdaq (Nasdaq: NDAQ) is a leading technology platform that powers the world’s economies. We architect the infrastructure of the world’s most modern markets, power the innovation economy, and build trust in the financial system. We empower economic opportunity by designing and deploying advanced technology, data, and intelligence solutions that enable our clients to capture opportunities, navigate risk, and strengthen resilience. To learn more about the company, technology solutions and career opportunities, visit us on </w:t>
      </w:r>
      <w:r>
        <w:rPr>
          <w:rFonts w:ascii="Times New Roman;serif" w:hAnsi="Times New Roman;serif"/>
          <w:b w:val="false"/>
          <w:color w:val="0563C1"/>
          <w:sz w:val="20"/>
          <w:u w:val="single"/>
        </w:rPr>
        <w:t>LinkedIn</w:t>
      </w:r>
      <w:r>
        <w:rPr>
          <w:rFonts w:ascii="Times New Roman;serif" w:hAnsi="Times New Roman;serif"/>
          <w:b w:val="false"/>
          <w:color w:val="000000"/>
          <w:sz w:val="20"/>
        </w:rPr>
        <w:t xml:space="preserve">, on X </w:t>
      </w:r>
      <w:r>
        <w:rPr>
          <w:rFonts w:ascii="Times New Roman;serif" w:hAnsi="Times New Roman;serif"/>
          <w:b w:val="false"/>
          <w:color w:val="0563C1"/>
          <w:sz w:val="20"/>
          <w:u w:val="single"/>
        </w:rPr>
        <w:t>@Nasdaq</w:t>
      </w:r>
      <w:r>
        <w:rPr>
          <w:rFonts w:ascii="Times New Roman;serif" w:hAnsi="Times New Roman;serif"/>
          <w:b w:val="false"/>
          <w:color w:val="000000"/>
          <w:sz w:val="20"/>
        </w:rPr>
        <w:t xml:space="preserve">, or at </w:t>
      </w:r>
      <w:r>
        <w:rPr>
          <w:rFonts w:ascii="Times New Roman;serif" w:hAnsi="Times New Roman;serif"/>
          <w:b w:val="false"/>
          <w:color w:val="0563C1"/>
          <w:sz w:val="20"/>
          <w:u w:val="single"/>
        </w:rPr>
        <w:t>www.nasdaq.com</w:t>
      </w:r>
      <w:r>
        <w:rPr>
          <w:rFonts w:ascii="Times New Roman;serif" w:hAnsi="Times New Roman;serif"/>
          <w:b w:val="false"/>
          <w:color w:val="000000"/>
          <w:sz w:val="20"/>
        </w:rPr>
        <w:t>.</w:t>
      </w:r>
    </w:p>
    <w:p>
      <w:pPr>
        <w:pStyle w:val="TextBody"/>
        <w:bidi w:val="0"/>
        <w:spacing w:lineRule="atLeast" w:line="142" w:before="120" w:after="283"/>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120" w:after="283"/>
        <w:jc w:val="left"/>
        <w:rPr/>
      </w:pPr>
      <w:r>
        <w:rPr/>
      </w:r>
    </w:p>
    <w:p>
      <w:pPr>
        <w:pStyle w:val="TextBody"/>
        <w:bidi w:val="0"/>
        <w:spacing w:lineRule="auto" w:line="295" w:before="120" w:after="283"/>
        <w:jc w:val="left"/>
        <w:rPr>
          <w:rFonts w:ascii="Times New Roman;serif" w:hAnsi="Times New Roman;serif"/>
          <w:b w:val="false"/>
          <w:i/>
          <w:color w:val="000000"/>
          <w:sz w:val="18"/>
        </w:rPr>
      </w:pPr>
      <w:r>
        <w:rPr>
          <w:rFonts w:ascii="Times New Roman;serif" w:hAnsi="Times New Roman;serif"/>
          <w:b w:val="false"/>
          <w:i/>
          <w:color w:val="000000"/>
          <w:sz w:val="18"/>
        </w:rPr>
        <w:t>Information set forth in this communication contains forward-looking statements that involve a number of risks and uncertainties. Nasdaq cautions readers that any forward-looking information is not a guarantee of future performance and that actual results could differ materially from those contained in the forward-looking information. Such forward-looking statements include, but are not limited to, information regarding our dividend program and future payment obligations. Forward-looking statements involve a number of risks, uncertainties or other factors beyond Nasdaq’s control. These factors include, but are not limited to, Nasdaq’s ability to implement its strategic initiatives, economic, political and market conditions and fluctuations, government and industry regulation, interest rate risk, U.S. and global competition, and other factors detailed in Nasdaq’s filings with the U.S. Securities and Exchange Commission, including its annual reports on Form 10-K and quarterly reports on Form 10-Q which are available on Nasdaq’s investor relations website at http://ir.nasdaq.com and the SEC’s website at www.sec.gov. Nasdaq undertakes no obligation to publicly update any forward-looking statement, whether as a result of new information, future events or otherwise.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Media Relations Contacts: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David Lurie</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+914.538.0533</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David.Lurie@nasdaq.com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Investor Relations Contact: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Ato Garrett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+1.212.401.8737</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Ato.Garrett@Nasdaq.com</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-NDAQF-</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86">
                <wp:simplePos x="0" y="0"/>
                <wp:positionH relativeFrom="character">
                  <wp:align>left</wp:align>
                </wp:positionH>
                <wp:positionV relativeFrom="line">
                  <wp:posOffset>635</wp:posOffset>
                </wp:positionV>
                <wp:extent cx="6480175" cy="175260"/>
                <wp:effectExtent l="0" t="0" r="0" b="0"/>
                <wp:wrapNone/>
                <wp:docPr id="35" name="Frame8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Inter">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2.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7140</Words>
  <Characters>39554</Characters>
  <CharactersWithSpaces>45521</CharactersWithSpaces>
  <Paragraphs>1574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