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16"/>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6"/>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32"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220980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28" w:lineRule="exact"/>
        <w:rPr>
          <w:sz w:val="24"/>
          <w:szCs w:val="24"/>
          <w:color w:val="auto"/>
        </w:rPr>
      </w:pPr>
    </w:p>
    <w:p>
      <w:pPr>
        <w:jc w:val="center"/>
        <w:ind w:right="-3"/>
        <w:spacing w:after="0"/>
        <w:rPr>
          <w:sz w:val="20"/>
          <w:szCs w:val="20"/>
          <w:color w:val="auto"/>
        </w:rPr>
      </w:pPr>
      <w:r>
        <w:rPr>
          <w:rFonts w:ascii="Arial" w:cs="Arial" w:eastAsia="Arial" w:hAnsi="Arial"/>
          <w:sz w:val="19"/>
          <w:szCs w:val="19"/>
          <w:b w:val="1"/>
          <w:bCs w:val="1"/>
          <w:color w:val="auto"/>
        </w:rPr>
        <w:t>Date of Report (Date of earliest event reported): October 23, 2020 (October 20,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229870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5" w:lineRule="exact"/>
        <w:rPr>
          <w:sz w:val="24"/>
          <w:szCs w:val="24"/>
          <w:color w:val="auto"/>
        </w:rPr>
      </w:pPr>
    </w:p>
    <w:p>
      <w:pPr>
        <w:jc w:val="center"/>
        <w:ind w:right="16"/>
        <w:spacing w:after="0"/>
        <w:rPr>
          <w:sz w:val="20"/>
          <w:szCs w:val="20"/>
          <w:color w:val="auto"/>
        </w:rPr>
      </w:pPr>
      <w:r>
        <w:rPr>
          <w:rFonts w:ascii="Arial" w:cs="Arial" w:eastAsia="Arial" w:hAnsi="Arial"/>
          <w:sz w:val="43"/>
          <w:szCs w:val="43"/>
          <w:b w:val="1"/>
          <w:bCs w:val="1"/>
          <w:color w:val="auto"/>
        </w:rPr>
        <w:t>Nasdaq, Inc.</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p>
      <w:pPr>
        <w:spacing w:after="0" w:line="200" w:lineRule="exact"/>
        <w:rPr>
          <w:sz w:val="24"/>
          <w:szCs w:val="24"/>
          <w:color w:val="auto"/>
        </w:rPr>
      </w:pPr>
    </w:p>
    <w:p>
      <w:pPr>
        <w:spacing w:after="0" w:line="356" w:lineRule="exact"/>
        <w:rPr>
          <w:sz w:val="24"/>
          <w:szCs w:val="24"/>
          <w:color w:val="auto"/>
        </w:rPr>
      </w:pPr>
    </w:p>
    <w:p>
      <w:pPr>
        <w:ind w:left="1504"/>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6"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001-38855</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6"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52-1165937</w:t>
      </w:r>
    </w:p>
    <w:p>
      <w:pPr>
        <w:spacing w:after="0" w:line="31" w:lineRule="exact"/>
        <w:rPr>
          <w:sz w:val="24"/>
          <w:szCs w:val="24"/>
          <w:color w:val="auto"/>
        </w:rPr>
      </w:pPr>
    </w:p>
    <w:p>
      <w:pPr>
        <w:sectPr>
          <w:pgSz w:w="11900" w:h="16838" w:orient="portrait"/>
          <w:cols w:equalWidth="0" w:num="3">
            <w:col w:w="4504" w:space="720"/>
            <w:col w:w="2880" w:space="720"/>
            <w:col w:w="2200"/>
          </w:cols>
          <w:pgMar w:left="436" w:top="368" w:right="439" w:bottom="1440" w:gutter="0" w:footer="0" w:header="0"/>
          <w:type w:val="continuous"/>
        </w:sectPr>
      </w:pPr>
    </w:p>
    <w:p>
      <w:pPr>
        <w:spacing w:after="0" w:line="12" w:lineRule="exact"/>
        <w:rPr>
          <w:sz w:val="24"/>
          <w:szCs w:val="24"/>
          <w:color w:val="auto"/>
        </w:rPr>
      </w:pPr>
    </w:p>
    <w:p>
      <w:pPr>
        <w:jc w:val="center"/>
        <w:ind w:right="756"/>
        <w:spacing w:after="0"/>
        <w:rPr>
          <w:sz w:val="20"/>
          <w:szCs w:val="20"/>
          <w:color w:val="auto"/>
        </w:rPr>
      </w:pPr>
      <w:r>
        <w:rPr>
          <w:rFonts w:ascii="Arial" w:cs="Arial" w:eastAsia="Arial" w:hAnsi="Arial"/>
          <w:sz w:val="13"/>
          <w:szCs w:val="13"/>
          <w:b w:val="1"/>
          <w:bCs w:val="1"/>
          <w:color w:val="auto"/>
        </w:rPr>
        <w:t>(State or other jurisdiction</w:t>
      </w:r>
    </w:p>
    <w:p>
      <w:pPr>
        <w:jc w:val="center"/>
        <w:ind w:right="75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203" w:lineRule="exact"/>
        <w:rPr>
          <w:sz w:val="24"/>
          <w:szCs w:val="24"/>
          <w:color w:val="auto"/>
        </w:rPr>
      </w:pPr>
    </w:p>
    <w:p>
      <w:pPr>
        <w:sectPr>
          <w:pgSz w:w="11900" w:h="16838" w:orient="portrait"/>
          <w:cols w:equalWidth="0" w:num="3">
            <w:col w:w="4484" w:space="720"/>
            <w:col w:w="2760" w:space="720"/>
            <w:col w:w="2340"/>
          </w:cols>
          <w:pgMar w:left="436" w:top="368" w:right="439" w:bottom="1440" w:gutter="0" w:footer="0" w:header="0"/>
          <w:type w:val="continuous"/>
        </w:sectPr>
      </w:pPr>
    </w:p>
    <w:p>
      <w:pPr>
        <w:ind w:left="2024"/>
        <w:spacing w:after="0"/>
        <w:rPr>
          <w:sz w:val="20"/>
          <w:szCs w:val="20"/>
          <w:color w:val="auto"/>
        </w:rPr>
      </w:pPr>
      <w:r>
        <w:rPr>
          <w:rFonts w:ascii="Arial" w:cs="Arial" w:eastAsia="Arial" w:hAnsi="Arial"/>
          <w:sz w:val="17"/>
          <w:szCs w:val="17"/>
          <w:b w:val="1"/>
          <w:bCs w:val="1"/>
          <w:color w:val="auto"/>
        </w:rPr>
        <w:t>151 W. 42nd Street,</w:t>
      </w:r>
    </w:p>
    <w:p>
      <w:pPr>
        <w:spacing w:after="0" w:line="39" w:lineRule="exact"/>
        <w:rPr>
          <w:sz w:val="24"/>
          <w:szCs w:val="24"/>
          <w:color w:val="auto"/>
        </w:rPr>
      </w:pPr>
    </w:p>
    <w:p>
      <w:pPr>
        <w:ind w:left="1964"/>
        <w:spacing w:after="0"/>
        <w:rPr>
          <w:sz w:val="20"/>
          <w:szCs w:val="20"/>
          <w:color w:val="auto"/>
        </w:rPr>
      </w:pPr>
      <w:r>
        <w:rPr>
          <w:rFonts w:ascii="Arial" w:cs="Arial" w:eastAsia="Arial" w:hAnsi="Arial"/>
          <w:sz w:val="16"/>
          <w:szCs w:val="16"/>
          <w:b w:val="1"/>
          <w:bCs w:val="1"/>
          <w:color w:val="auto"/>
        </w:rPr>
        <w:t>New York, New York</w:t>
      </w:r>
    </w:p>
    <w:p>
      <w:pPr>
        <w:spacing w:after="0" w:line="20" w:lineRule="exact"/>
        <w:rPr>
          <w:sz w:val="24"/>
          <w:szCs w:val="24"/>
          <w:color w:val="auto"/>
        </w:rPr>
      </w:pPr>
      <w:r>
        <w:rPr>
          <w:sz w:val="24"/>
          <w:szCs w:val="24"/>
          <w:color w:val="auto"/>
        </w:rPr>
        <w:br w:type="column"/>
      </w:r>
    </w:p>
    <w:p>
      <w:pPr>
        <w:spacing w:after="0" w:line="196"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10036</w:t>
      </w:r>
    </w:p>
    <w:p>
      <w:pPr>
        <w:spacing w:after="0" w:line="61" w:lineRule="exact"/>
        <w:rPr>
          <w:sz w:val="24"/>
          <w:szCs w:val="24"/>
          <w:color w:val="auto"/>
        </w:rPr>
      </w:pPr>
    </w:p>
    <w:p>
      <w:pPr>
        <w:sectPr>
          <w:pgSz w:w="11900" w:h="16838" w:orient="portrait"/>
          <w:cols w:equalWidth="0" w:num="2">
            <w:col w:w="7404" w:space="720"/>
            <w:col w:w="2900"/>
          </w:cols>
          <w:pgMar w:left="436" w:top="368" w:right="439" w:bottom="1440" w:gutter="0" w:footer="0" w:header="0"/>
          <w:type w:val="continuous"/>
        </w:sectPr>
      </w:pPr>
    </w:p>
    <w:p>
      <w:pPr>
        <w:ind w:left="1584"/>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43" w:lineRule="exact"/>
        <w:rPr>
          <w:sz w:val="24"/>
          <w:szCs w:val="24"/>
          <w:color w:val="auto"/>
        </w:rPr>
      </w:pPr>
    </w:p>
    <w:p>
      <w:pPr>
        <w:sectPr>
          <w:pgSz w:w="11900" w:h="16838" w:orient="portrait"/>
          <w:cols w:equalWidth="0" w:num="2">
            <w:col w:w="7304" w:space="720"/>
            <w:col w:w="3000"/>
          </w:cols>
          <w:pgMar w:left="436" w:top="368" w:right="439" w:bottom="1440" w:gutter="0" w:footer="0" w:header="0"/>
          <w:type w:val="continuous"/>
        </w:sectPr>
      </w:pPr>
    </w:p>
    <w:p>
      <w:pPr>
        <w:jc w:val="center"/>
        <w:ind w:right="-3"/>
        <w:spacing w:after="0"/>
        <w:rPr>
          <w:sz w:val="20"/>
          <w:szCs w:val="20"/>
          <w:color w:val="auto"/>
        </w:rPr>
      </w:pPr>
      <w:r>
        <w:rPr>
          <w:rFonts w:ascii="Arial" w:cs="Arial" w:eastAsia="Arial" w:hAnsi="Arial"/>
          <w:sz w:val="18"/>
          <w:szCs w:val="18"/>
          <w:b w:val="1"/>
          <w:bCs w:val="1"/>
          <w:color w:val="auto"/>
        </w:rPr>
        <w:t>Registrant’s telephone number, including area code: +1 212 401 8700</w:t>
      </w:r>
    </w:p>
    <w:p>
      <w:pPr>
        <w:spacing w:after="0" w:line="171"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No change since last report</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201930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 w:right="2560" w:hanging="4"/>
        <w:spacing w:after="0" w:line="456" w:lineRule="auto"/>
        <w:tabs>
          <w:tab w:leader="none" w:pos="436"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tbl>
      <w:tblPr>
        <w:tblLayout w:type="fixed"/>
        <w:tblInd w:w="4" w:type="dxa"/>
        <w:tblCellMar>
          <w:top w:w="0" w:type="dxa"/>
          <w:left w:w="0" w:type="dxa"/>
          <w:bottom w:w="0" w:type="dxa"/>
          <w:right w:w="0" w:type="dxa"/>
        </w:tblCellMar>
      </w:tblPr>
      <w:tr>
        <w:trPr>
          <w:trHeight w:val="150"/>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line="150" w:lineRule="exact"/>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line="150" w:lineRule="exact"/>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0"/>
              </w:rPr>
              <w:t>Common Stock, $0.01 par value per share</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8"/>
              </w:rPr>
              <w:t>NDAQ</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2"/>
              </w:rPr>
              <w:t>The Nasdaq Stock Market</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0.875% Senior Notes due 2030</w:t>
            </w:r>
          </w:p>
        </w:tc>
        <w:tc>
          <w:tcPr>
            <w:tcW w:w="36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8"/>
              </w:rPr>
              <w:t>NDAQ30</w:t>
            </w:r>
          </w:p>
        </w:tc>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92"/>
              </w:rPr>
              <w:t>The Nasdaq Stock Market</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9"/>
              </w:rPr>
              <w:t>1.75% Senior Notes due 2029</w:t>
            </w:r>
          </w:p>
        </w:tc>
        <w:tc>
          <w:tcPr>
            <w:tcW w:w="36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8"/>
              </w:rPr>
              <w:t>NDAQ29</w:t>
            </w:r>
          </w:p>
        </w:tc>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92"/>
              </w:rPr>
              <w:t>The Nasdaq Stock Market</w:t>
            </w:r>
          </w:p>
        </w:tc>
        <w:tc>
          <w:tcPr>
            <w:tcW w:w="0" w:type="dxa"/>
            <w:vAlign w:val="bottom"/>
          </w:tcPr>
          <w:p>
            <w:pPr>
              <w:spacing w:after="0"/>
              <w:rPr>
                <w:sz w:val="1"/>
                <w:szCs w:val="1"/>
                <w:color w:val="auto"/>
              </w:rPr>
            </w:pPr>
          </w:p>
        </w:tc>
      </w:tr>
      <w:tr>
        <w:trPr>
          <w:trHeight w:val="234"/>
        </w:trPr>
        <w:tc>
          <w:tcPr>
            <w:tcW w:w="38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9"/>
              </w:rPr>
              <w:t>1.75% Senior Notes due 2023</w:t>
            </w:r>
          </w:p>
        </w:tc>
        <w:tc>
          <w:tcPr>
            <w:tcW w:w="36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8"/>
              </w:rPr>
              <w:t>NDAQ23</w:t>
            </w:r>
          </w:p>
        </w:tc>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92"/>
              </w:rPr>
              <w:t>The Nasdaq Stock Market</w:t>
            </w:r>
          </w:p>
        </w:tc>
        <w:tc>
          <w:tcPr>
            <w:tcW w:w="0" w:type="dxa"/>
            <w:vAlign w:val="bottom"/>
          </w:tcPr>
          <w:p>
            <w:pPr>
              <w:spacing w:after="0"/>
              <w:rPr>
                <w:sz w:val="1"/>
                <w:szCs w:val="1"/>
                <w:color w:val="auto"/>
              </w:rPr>
            </w:pPr>
          </w:p>
        </w:tc>
      </w:tr>
    </w:tbl>
    <w:p>
      <w:pPr>
        <w:spacing w:after="0" w:line="148" w:lineRule="exact"/>
        <w:rPr>
          <w:sz w:val="24"/>
          <w:szCs w:val="24"/>
          <w:color w:val="auto"/>
        </w:rPr>
      </w:pPr>
    </w:p>
    <w:p>
      <w:pPr>
        <w:ind w:left="4"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4"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04"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125095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167640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type w:val="continuous"/>
        </w:sectPr>
      </w:pPr>
    </w:p>
    <w:bookmarkStart w:id="1" w:name="page2"/>
    <w:bookmarkEnd w:id="1"/>
    <w:p>
      <w:pPr>
        <w:ind w:left="1200" w:right="1000" w:hanging="1200"/>
        <w:spacing w:after="0" w:line="282" w:lineRule="auto"/>
        <w:tabs>
          <w:tab w:leader="none" w:pos="11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43180"/>
                    </a:xfrm>
                    <a:prstGeom prst="rect">
                      <a:avLst/>
                    </a:prstGeom>
                    <a:noFill/>
                  </pic:spPr>
                </pic:pic>
              </a:graphicData>
            </a:graphic>
          </wp:anchor>
        </w:drawing>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Retirement of Chief Financial Officer</w:t>
      </w:r>
    </w:p>
    <w:p>
      <w:pPr>
        <w:spacing w:after="0" w:line="117" w:lineRule="exact"/>
        <w:rPr>
          <w:sz w:val="20"/>
          <w:szCs w:val="20"/>
          <w:color w:val="auto"/>
        </w:rPr>
      </w:pPr>
    </w:p>
    <w:p>
      <w:pPr>
        <w:ind w:right="120" w:firstLine="440"/>
        <w:spacing w:after="0" w:line="277" w:lineRule="auto"/>
        <w:rPr>
          <w:sz w:val="20"/>
          <w:szCs w:val="20"/>
          <w:color w:val="auto"/>
        </w:rPr>
      </w:pPr>
      <w:r>
        <w:rPr>
          <w:rFonts w:ascii="Arial" w:cs="Arial" w:eastAsia="Arial" w:hAnsi="Arial"/>
          <w:sz w:val="18"/>
          <w:szCs w:val="18"/>
          <w:color w:val="auto"/>
        </w:rPr>
        <w:t>On October 20, 2020, Michael Ptasznik announced his retirement as Executive Vice President, Corporate Strategy and Chief Financial Officer of Nasdaq, Inc. (the “Company”), effective as of February 28, 2021 (the “Retirement Date”).</w:t>
      </w:r>
    </w:p>
    <w:p>
      <w:pPr>
        <w:spacing w:after="0" w:line="170" w:lineRule="exact"/>
        <w:rPr>
          <w:sz w:val="20"/>
          <w:szCs w:val="20"/>
          <w:color w:val="auto"/>
        </w:rPr>
      </w:pPr>
    </w:p>
    <w:p>
      <w:pPr>
        <w:ind w:right="60" w:firstLine="440"/>
        <w:spacing w:after="0" w:line="272" w:lineRule="auto"/>
        <w:rPr>
          <w:sz w:val="20"/>
          <w:szCs w:val="20"/>
          <w:color w:val="auto"/>
        </w:rPr>
      </w:pPr>
      <w:r>
        <w:rPr>
          <w:rFonts w:ascii="Arial" w:cs="Arial" w:eastAsia="Arial" w:hAnsi="Arial"/>
          <w:sz w:val="17"/>
          <w:szCs w:val="17"/>
          <w:color w:val="auto"/>
        </w:rPr>
        <w:t>Pursuant to a Retirement Agreement and General Release of Claims entered into between the Company and Mr. Ptasznik in connection with his announced retirement, dated as of October 21, 2020 (the “Retirement Agreement”), effective as of the Retirement Date, Mr. Ptasznik is retiring as Chief Financial Officer of the Company and from any and all other positions with the Company, its subsidiaries and its affiliates. Between October 21, 2020 and the Retirement Date (the “Transition Period”), Mr. Ptasznik has agreed to continue to perform his regular duties as Executive Vice President, Corporate Strategy and Chief Financial Officer. During the Transition Period, he will continue to receive his regular base salary, participate in the Company’s benefit plans (pursuant to the terms and conditions of such plans) and be paid for all accrued and unused vacation and any unreimbursed business expenses in accordance with Company policy.</w:t>
      </w:r>
    </w:p>
    <w:p>
      <w:pPr>
        <w:spacing w:after="0" w:line="177" w:lineRule="exact"/>
        <w:rPr>
          <w:sz w:val="20"/>
          <w:szCs w:val="20"/>
          <w:color w:val="auto"/>
        </w:rPr>
      </w:pPr>
    </w:p>
    <w:p>
      <w:pPr>
        <w:ind w:right="20" w:firstLine="440"/>
        <w:spacing w:after="0" w:line="275" w:lineRule="auto"/>
        <w:rPr>
          <w:sz w:val="20"/>
          <w:szCs w:val="20"/>
          <w:color w:val="auto"/>
        </w:rPr>
      </w:pPr>
      <w:r>
        <w:rPr>
          <w:rFonts w:ascii="Arial" w:cs="Arial" w:eastAsia="Arial" w:hAnsi="Arial"/>
          <w:sz w:val="17"/>
          <w:szCs w:val="17"/>
          <w:color w:val="auto"/>
        </w:rPr>
        <w:t>The Retirement Agreement provides that Mr. Ptasznik shall receive: (i) a 2020 bonus payment under the Company’s Executive Incentive Plan (the “Bonus Plan”) based upon his performance and 2020 target bonus opportunity of $937,500, paid on or about March 2, 2021, provided that if the Company terminates his employment due to gross misconduct or gross negligence, or he voluntarily resigns before December 31, 2020, he will not be entitled to such bonus payment and (ii) a 2021 bonus payment under the Bonus Plan based upon his target bonus opportunity of $937,500, pro-rated for the period of January 1, 2021 through the Retirement Date and paid on or about March 2, 2021.</w:t>
      </w:r>
    </w:p>
    <w:p>
      <w:pPr>
        <w:spacing w:after="0" w:line="176" w:lineRule="exact"/>
        <w:rPr>
          <w:sz w:val="20"/>
          <w:szCs w:val="20"/>
          <w:color w:val="auto"/>
        </w:rPr>
      </w:pPr>
    </w:p>
    <w:p>
      <w:pPr>
        <w:ind w:firstLine="440"/>
        <w:spacing w:after="0" w:line="253" w:lineRule="auto"/>
        <w:rPr>
          <w:sz w:val="20"/>
          <w:szCs w:val="20"/>
          <w:color w:val="auto"/>
        </w:rPr>
      </w:pPr>
      <w:r>
        <w:rPr>
          <w:rFonts w:ascii="Arial" w:cs="Arial" w:eastAsia="Arial" w:hAnsi="Arial"/>
          <w:sz w:val="18"/>
          <w:szCs w:val="18"/>
          <w:color w:val="auto"/>
        </w:rPr>
        <w:t>In addition, Mr. Ptasznik is entitled to receive the following retirement payments and benefits under the terms of the Retirement Agreement, subject to his execution and non-revocation of the release contained therein: (i) payment of the Company’s share of medical, dental and vision premiums for twelve (12) months after the Retirement Date; (ii) provided that his employment does not terminate prior to February 28, 2021 due to resignation, gross misconduct or gross negligence, (x) the continued vesting and payment of the three-year performance share units (“PSUs”) granted on April 1, 2019 and April 1, 2020, provided that the settlement of such PSUs shall be in accordance with the terms of the applicable award agreement and governing plan document and (y) the vesting of the restricted stock units (“RSUs”) granted on April 1, 2020, with the acceleration of any unvested RSUs within sixty (60) days of the Retirement Date; (iii) financial and tax services for tax years 2020, 2021, 2022 and 2023 and executive physical exams for one year following the Retirement Date and (iv) reimbursement of reasonable and customary expenses to move back to Mr. Ptasznik’s home in Canada of up to $10,000.</w:t>
      </w:r>
    </w:p>
    <w:p>
      <w:pPr>
        <w:spacing w:after="0" w:line="196" w:lineRule="exact"/>
        <w:rPr>
          <w:sz w:val="20"/>
          <w:szCs w:val="20"/>
          <w:color w:val="auto"/>
        </w:rPr>
      </w:pPr>
    </w:p>
    <w:p>
      <w:pPr>
        <w:ind w:right="760" w:firstLine="440"/>
        <w:spacing w:after="0" w:line="277" w:lineRule="auto"/>
        <w:rPr>
          <w:sz w:val="20"/>
          <w:szCs w:val="20"/>
          <w:color w:val="auto"/>
        </w:rPr>
      </w:pPr>
      <w:r>
        <w:rPr>
          <w:rFonts w:ascii="Arial" w:cs="Arial" w:eastAsia="Arial" w:hAnsi="Arial"/>
          <w:sz w:val="18"/>
          <w:szCs w:val="18"/>
          <w:color w:val="auto"/>
        </w:rPr>
        <w:t>The Retirement Agreement also includes a non-competition provision for a period of one year following the Retirement Date, as well as customary provisions regarding non-solicitation and non-disparagement.</w:t>
      </w:r>
    </w:p>
    <w:p>
      <w:pPr>
        <w:spacing w:after="0" w:line="170" w:lineRule="exact"/>
        <w:rPr>
          <w:sz w:val="20"/>
          <w:szCs w:val="20"/>
          <w:color w:val="auto"/>
        </w:rPr>
      </w:pPr>
    </w:p>
    <w:p>
      <w:pPr>
        <w:ind w:right="160" w:firstLine="440"/>
        <w:spacing w:after="0" w:line="263" w:lineRule="auto"/>
        <w:rPr>
          <w:sz w:val="20"/>
          <w:szCs w:val="20"/>
          <w:color w:val="auto"/>
        </w:rPr>
      </w:pPr>
      <w:r>
        <w:rPr>
          <w:rFonts w:ascii="Arial" w:cs="Arial" w:eastAsia="Arial" w:hAnsi="Arial"/>
          <w:sz w:val="18"/>
          <w:szCs w:val="18"/>
          <w:color w:val="auto"/>
        </w:rPr>
        <w:t>The foregoing summary of the material terms of the Retirement Agreement does not purport to be complete and is subject to, and qualified in its entirety by, the full text of the Retirement Agreement, a copy of which will be filed with the Company’s Annual Report on Form 10-K for the year ended December 31, 2020.</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Appointment of Chief Financial Officer</w:t>
      </w:r>
    </w:p>
    <w:p>
      <w:pPr>
        <w:spacing w:after="0" w:line="117" w:lineRule="exact"/>
        <w:rPr>
          <w:sz w:val="20"/>
          <w:szCs w:val="20"/>
          <w:color w:val="auto"/>
        </w:rPr>
      </w:pPr>
    </w:p>
    <w:p>
      <w:pPr>
        <w:ind w:right="140" w:firstLine="440"/>
        <w:spacing w:after="0" w:line="255" w:lineRule="auto"/>
        <w:rPr>
          <w:sz w:val="20"/>
          <w:szCs w:val="20"/>
          <w:color w:val="auto"/>
        </w:rPr>
      </w:pPr>
      <w:r>
        <w:rPr>
          <w:rFonts w:ascii="Arial" w:cs="Arial" w:eastAsia="Arial" w:hAnsi="Arial"/>
          <w:sz w:val="18"/>
          <w:szCs w:val="18"/>
          <w:color w:val="auto"/>
        </w:rPr>
        <w:t>On October 21, 2020, the Company announced the appointment of Ms. Ann Dennison as Executive Vice President and Chief Financial Officer, effective as of March 1, 2021. Ms. Dennison, age 49, joined the Company in 2015 and has served as Senior Vice President, Controller and principal accounting officer since April 2016. Prior to that, Ms. Dennison served as the Company’s Senior Vice President and Deputy Controller. Before joining the Company, Ms. Dennison was a Managing Director and the Head of Financial Reporting at Goldman Sachs. Ms. Dennison holds a BBA and MBA, Accounting and Finance from Pace University — Lubin School of Business. Ms. Dennison will continue to serve as principal accounting officer of the Company until a successor is announced.</w:t>
      </w:r>
    </w:p>
    <w:p>
      <w:pPr>
        <w:sectPr>
          <w:pgSz w:w="11900" w:h="16838" w:orient="portrait"/>
          <w:cols w:equalWidth="0" w:num="1">
            <w:col w:w="11000"/>
          </w:cols>
          <w:pgMar w:left="440" w:top="297" w:right="459" w:bottom="1440" w:gutter="0" w:footer="0" w:header="0"/>
        </w:sectPr>
      </w:pPr>
    </w:p>
    <w:bookmarkStart w:id="2" w:name="page3"/>
    <w:bookmarkEnd w:id="2"/>
    <w:p>
      <w:pPr>
        <w:ind w:right="180" w:firstLine="4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42545"/>
                    </a:xfrm>
                    <a:prstGeom prst="rect">
                      <a:avLst/>
                    </a:prstGeom>
                    <a:noFill/>
                  </pic:spPr>
                </pic:pic>
              </a:graphicData>
            </a:graphic>
          </wp:anchor>
        </w:drawing>
        <w:t>The selection of Ms. Dennison to serve as Executive Vice President and Chief Financial Officer was not pursuant to any arrangement or understanding with respect to any other person. There are no family relationships between Ms. Dennison and any director or executive officer of the Company, and there are no transactions between Ms. Dennison and the Company that would be required to be reported under Item 404(a) of Regulation S-K.</w:t>
      </w:r>
    </w:p>
    <w:p>
      <w:pPr>
        <w:spacing w:after="0" w:line="187"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In connection with her promotion and effective as of the effective date of her appointment, the Management Compensation Committee of the Board of Directors approved (i) an increase in Ms. Dennison’s annual base salary from $450,000 to $550,000, (ii) an increase in Ms. Dennison’s target bonus opportunity from 100% to 136% of her annual base salary, for a target bonus amount of $750,000 and (iii) an increase in Ms. Dennison’s long-term incentive compensation award from $700,000 to $1,200,000, which equity award is expected to be granted on April 1, 2021 pursuant to the Company’s Equity Incentive Plan.</w:t>
      </w:r>
    </w:p>
    <w:p>
      <w:pPr>
        <w:spacing w:after="0" w:line="332"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121" w:lineRule="exact"/>
        <w:rPr>
          <w:sz w:val="20"/>
          <w:szCs w:val="20"/>
          <w:color w:val="auto"/>
        </w:rPr>
      </w:pPr>
    </w:p>
    <w:p>
      <w:pPr>
        <w:jc w:val="both"/>
        <w:ind w:right="140" w:firstLine="440"/>
        <w:spacing w:after="0" w:line="342" w:lineRule="auto"/>
        <w:rPr>
          <w:sz w:val="20"/>
          <w:szCs w:val="20"/>
          <w:color w:val="auto"/>
        </w:rPr>
      </w:pPr>
      <w:r>
        <w:rPr>
          <w:rFonts w:ascii="Arial" w:cs="Arial" w:eastAsia="Arial" w:hAnsi="Arial"/>
          <w:sz w:val="16"/>
          <w:szCs w:val="16"/>
          <w:color w:val="auto"/>
        </w:rPr>
        <w:t>On October 21, 2020, Nasdaq issued a press release announcing the retirement of Mr. Ptasznik and the appointment of Ms. Dennison as Chief Financial Officer. A copy of the press release is attached as Exhibit 99.1 to this Current Report on Form 8-K and is incorporated herein by reference.</w:t>
      </w:r>
    </w:p>
    <w:p>
      <w:pPr>
        <w:spacing w:after="0" w:line="268"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 Exhibits.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8460" w:type="dxa"/>
            <w:vAlign w:val="bottom"/>
          </w:tcPr>
          <w:p>
            <w:pPr>
              <w:spacing w:after="0"/>
              <w:rPr>
                <w:sz w:val="14"/>
                <w:szCs w:val="14"/>
                <w:color w:val="auto"/>
              </w:rPr>
            </w:pPr>
          </w:p>
        </w:tc>
      </w:tr>
      <w:tr>
        <w:trPr>
          <w:trHeight w:val="171"/>
        </w:trPr>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No.</w:t>
            </w:r>
          </w:p>
        </w:tc>
        <w:tc>
          <w:tcPr>
            <w:tcW w:w="8460" w:type="dxa"/>
            <w:vAlign w:val="bottom"/>
          </w:tcPr>
          <w:p>
            <w:pPr>
              <w:ind w:left="420"/>
              <w:spacing w:after="0"/>
              <w:rPr>
                <w:sz w:val="20"/>
                <w:szCs w:val="20"/>
                <w:color w:val="auto"/>
              </w:rPr>
            </w:pPr>
            <w:r>
              <w:rPr>
                <w:rFonts w:ascii="Arial" w:cs="Arial" w:eastAsia="Arial" w:hAnsi="Arial"/>
                <w:sz w:val="14"/>
                <w:szCs w:val="14"/>
                <w:b w:val="1"/>
                <w:bCs w:val="1"/>
                <w:color w:val="auto"/>
              </w:rPr>
              <w:t>Exhibit Description</w:t>
            </w:r>
          </w:p>
        </w:tc>
      </w:tr>
      <w:tr>
        <w:trPr>
          <w:trHeight w:val="318"/>
        </w:trPr>
        <w:tc>
          <w:tcPr>
            <w:tcW w:w="460" w:type="dxa"/>
            <w:vAlign w:val="bottom"/>
          </w:tcPr>
          <w:p>
            <w:pPr>
              <w:spacing w:after="0"/>
              <w:rPr>
                <w:sz w:val="20"/>
                <w:szCs w:val="20"/>
                <w:color w:val="auto"/>
              </w:rPr>
            </w:pPr>
            <w:r>
              <w:rPr>
                <w:rFonts w:ascii="Arial" w:cs="Arial" w:eastAsia="Arial" w:hAnsi="Arial"/>
                <w:sz w:val="18"/>
                <w:szCs w:val="18"/>
                <w:color w:val="auto"/>
              </w:rPr>
              <w:t>99.1</w:t>
            </w:r>
          </w:p>
        </w:tc>
        <w:tc>
          <w:tcPr>
            <w:tcW w:w="8460" w:type="dxa"/>
            <w:vAlign w:val="bottom"/>
          </w:tcPr>
          <w:p>
            <w:pPr>
              <w:ind w:left="42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Press release dated October 21, 2020</w:t>
              </w:r>
            </w:hyperlink>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104</w:t>
            </w:r>
          </w:p>
        </w:tc>
        <w:tc>
          <w:tcPr>
            <w:tcW w:w="8460" w:type="dxa"/>
            <w:vAlign w:val="bottom"/>
          </w:tcPr>
          <w:p>
            <w:pPr>
              <w:ind w:left="420"/>
              <w:spacing w:after="0"/>
              <w:rPr>
                <w:sz w:val="20"/>
                <w:szCs w:val="20"/>
                <w:color w:val="auto"/>
              </w:rPr>
            </w:pPr>
            <w:r>
              <w:rPr>
                <w:rFonts w:ascii="Arial" w:cs="Arial" w:eastAsia="Arial" w:hAnsi="Arial"/>
                <w:sz w:val="18"/>
                <w:szCs w:val="18"/>
                <w:color w:val="auto"/>
                <w:w w:val="90"/>
              </w:rPr>
              <w:t>Cover Page Interactive Data File – the cover page XBRL tags are embedded within the Inline XBRL document.</w:t>
            </w:r>
          </w:p>
        </w:tc>
      </w:tr>
    </w:tbl>
    <w:p>
      <w:pPr>
        <w:sectPr>
          <w:pgSz w:w="11900" w:h="16838" w:orient="portrait"/>
          <w:cols w:equalWidth="0" w:num="1">
            <w:col w:w="10840"/>
          </w:cols>
          <w:pgMar w:left="440" w:top="301" w:right="61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43180"/>
                    </a:xfrm>
                    <a:prstGeom prst="rect">
                      <a:avLst/>
                    </a:prstGeom>
                    <a:noFill/>
                  </pic:spPr>
                </pic:pic>
              </a:graphicData>
            </a:graphic>
          </wp:anchor>
        </w:drawing>
        <w:t>SIGNATURES</w:t>
      </w:r>
    </w:p>
    <w:p>
      <w:pPr>
        <w:spacing w:after="0" w:line="22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40" w:type="dxa"/>
            <w:vAlign w:val="bottom"/>
          </w:tcPr>
          <w:p>
            <w:pPr>
              <w:spacing w:after="0"/>
              <w:rPr>
                <w:sz w:val="20"/>
                <w:szCs w:val="20"/>
                <w:color w:val="auto"/>
              </w:rPr>
            </w:pPr>
            <w:r>
              <w:rPr>
                <w:rFonts w:ascii="Arial" w:cs="Arial" w:eastAsia="Arial" w:hAnsi="Arial"/>
                <w:sz w:val="18"/>
                <w:szCs w:val="18"/>
                <w:color w:val="auto"/>
              </w:rPr>
              <w:t>Dated: October 23, 2020</w:t>
            </w:r>
          </w:p>
        </w:tc>
        <w:tc>
          <w:tcPr>
            <w:tcW w:w="7380" w:type="dxa"/>
            <w:vAlign w:val="bottom"/>
            <w:gridSpan w:val="2"/>
          </w:tcPr>
          <w:p>
            <w:pPr>
              <w:ind w:left="1880"/>
              <w:spacing w:after="0"/>
              <w:rPr>
                <w:sz w:val="20"/>
                <w:szCs w:val="20"/>
                <w:color w:val="auto"/>
              </w:rPr>
            </w:pPr>
            <w:r>
              <w:rPr>
                <w:rFonts w:ascii="Arial" w:cs="Arial" w:eastAsia="Arial" w:hAnsi="Arial"/>
                <w:sz w:val="18"/>
                <w:szCs w:val="18"/>
                <w:color w:val="auto"/>
              </w:rPr>
              <w:t>NASDAQ, INC.</w:t>
            </w:r>
          </w:p>
        </w:tc>
      </w:tr>
      <w:tr>
        <w:trPr>
          <w:trHeight w:val="432"/>
        </w:trPr>
        <w:tc>
          <w:tcPr>
            <w:tcW w:w="3640" w:type="dxa"/>
            <w:vAlign w:val="bottom"/>
          </w:tcPr>
          <w:p>
            <w:pPr>
              <w:spacing w:after="0"/>
              <w:rPr>
                <w:sz w:val="24"/>
                <w:szCs w:val="24"/>
                <w:color w:val="auto"/>
              </w:rPr>
            </w:pPr>
          </w:p>
        </w:tc>
        <w:tc>
          <w:tcPr>
            <w:tcW w:w="2520" w:type="dxa"/>
            <w:vAlign w:val="bottom"/>
          </w:tcPr>
          <w:p>
            <w:pPr>
              <w:ind w:left="1880"/>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A. Zecca</w:t>
            </w:r>
          </w:p>
        </w:tc>
      </w:tr>
      <w:tr>
        <w:trPr>
          <w:trHeight w:val="209"/>
        </w:trPr>
        <w:tc>
          <w:tcPr>
            <w:tcW w:w="3640" w:type="dxa"/>
            <w:vAlign w:val="bottom"/>
          </w:tcPr>
          <w:p>
            <w:pPr>
              <w:spacing w:after="0"/>
              <w:rPr>
                <w:sz w:val="18"/>
                <w:szCs w:val="18"/>
                <w:color w:val="auto"/>
              </w:rPr>
            </w:pPr>
          </w:p>
        </w:tc>
        <w:tc>
          <w:tcPr>
            <w:tcW w:w="2520" w:type="dxa"/>
            <w:vAlign w:val="bottom"/>
          </w:tcPr>
          <w:p>
            <w:pPr>
              <w:ind w:left="1880"/>
              <w:spacing w:after="0"/>
              <w:rPr>
                <w:sz w:val="20"/>
                <w:szCs w:val="20"/>
                <w:color w:val="auto"/>
              </w:rPr>
            </w:pPr>
            <w:r>
              <w:rPr>
                <w:rFonts w:ascii="Arial" w:cs="Arial" w:eastAsia="Arial" w:hAnsi="Arial"/>
                <w:sz w:val="18"/>
                <w:szCs w:val="18"/>
                <w:color w:val="auto"/>
              </w:rPr>
              <w:t>Name:</w:t>
            </w:r>
          </w:p>
        </w:tc>
        <w:tc>
          <w:tcPr>
            <w:tcW w:w="4860" w:type="dxa"/>
            <w:vAlign w:val="bottom"/>
          </w:tcPr>
          <w:p>
            <w:pPr>
              <w:spacing w:after="0"/>
              <w:rPr>
                <w:sz w:val="20"/>
                <w:szCs w:val="20"/>
                <w:color w:val="auto"/>
              </w:rPr>
            </w:pPr>
            <w:r>
              <w:rPr>
                <w:rFonts w:ascii="Arial" w:cs="Arial" w:eastAsia="Arial" w:hAnsi="Arial"/>
                <w:sz w:val="18"/>
                <w:szCs w:val="18"/>
                <w:color w:val="auto"/>
              </w:rPr>
              <w:t>John A. Zecca</w:t>
            </w:r>
          </w:p>
        </w:tc>
      </w:tr>
      <w:tr>
        <w:trPr>
          <w:trHeight w:val="216"/>
        </w:trPr>
        <w:tc>
          <w:tcPr>
            <w:tcW w:w="3640" w:type="dxa"/>
            <w:vAlign w:val="bottom"/>
          </w:tcPr>
          <w:p>
            <w:pPr>
              <w:spacing w:after="0"/>
              <w:rPr>
                <w:sz w:val="18"/>
                <w:szCs w:val="18"/>
                <w:color w:val="auto"/>
              </w:rPr>
            </w:pPr>
          </w:p>
        </w:tc>
        <w:tc>
          <w:tcPr>
            <w:tcW w:w="2520" w:type="dxa"/>
            <w:vAlign w:val="bottom"/>
          </w:tcPr>
          <w:p>
            <w:pPr>
              <w:ind w:left="1880"/>
              <w:spacing w:after="0"/>
              <w:rPr>
                <w:sz w:val="20"/>
                <w:szCs w:val="20"/>
                <w:color w:val="auto"/>
              </w:rPr>
            </w:pPr>
            <w:r>
              <w:rPr>
                <w:rFonts w:ascii="Arial" w:cs="Arial" w:eastAsia="Arial" w:hAnsi="Arial"/>
                <w:sz w:val="18"/>
                <w:szCs w:val="18"/>
                <w:color w:val="auto"/>
              </w:rPr>
              <w:t>Title:</w:t>
            </w:r>
          </w:p>
        </w:tc>
        <w:tc>
          <w:tcPr>
            <w:tcW w:w="4860" w:type="dxa"/>
            <w:vAlign w:val="bottom"/>
          </w:tcPr>
          <w:p>
            <w:pPr>
              <w:spacing w:after="0"/>
              <w:rPr>
                <w:sz w:val="20"/>
                <w:szCs w:val="20"/>
                <w:color w:val="auto"/>
              </w:rPr>
            </w:pPr>
            <w:r>
              <w:rPr>
                <w:rFonts w:ascii="Arial" w:cs="Arial" w:eastAsia="Arial" w:hAnsi="Arial"/>
                <w:sz w:val="18"/>
                <w:szCs w:val="18"/>
                <w:color w:val="auto"/>
              </w:rPr>
              <w:t>Executive Vice President and Chief</w:t>
            </w:r>
          </w:p>
        </w:tc>
      </w:tr>
      <w:tr>
        <w:trPr>
          <w:trHeight w:val="230"/>
        </w:trPr>
        <w:tc>
          <w:tcPr>
            <w:tcW w:w="364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Legal Officer</w:t>
            </w:r>
          </w:p>
        </w:tc>
      </w:tr>
    </w:tbl>
    <w:p>
      <w:pPr>
        <w:sectPr>
          <w:pgSz w:w="11900" w:h="16838" w:orient="portrait"/>
          <w:cols w:equalWidth="0" w:num="1">
            <w:col w:w="11020"/>
          </w:cols>
          <w:pgMar w:left="440" w:top="297" w:right="4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171450</wp:posOffset>
            </wp:positionV>
            <wp:extent cx="2691765" cy="4546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691765" cy="454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Nasdaq Announces Retirement of Chief Financial Officer Michael Ptasznik</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Appoints Controller and Chief Accounting Officer Ann Dennison as CFO</w:t>
      </w:r>
    </w:p>
    <w:p>
      <w:pPr>
        <w:spacing w:after="0" w:line="207" w:lineRule="exact"/>
        <w:rPr>
          <w:sz w:val="20"/>
          <w:szCs w:val="20"/>
          <w:color w:val="auto"/>
        </w:rPr>
      </w:pPr>
    </w:p>
    <w:p>
      <w:pPr>
        <w:ind w:right="200"/>
        <w:spacing w:after="0" w:line="266" w:lineRule="auto"/>
        <w:rPr>
          <w:sz w:val="20"/>
          <w:szCs w:val="20"/>
          <w:color w:val="auto"/>
        </w:rPr>
      </w:pPr>
      <w:r>
        <w:rPr>
          <w:rFonts w:ascii="Arial" w:cs="Arial" w:eastAsia="Arial" w:hAnsi="Arial"/>
          <w:sz w:val="18"/>
          <w:szCs w:val="18"/>
          <w:b w:val="1"/>
          <w:bCs w:val="1"/>
          <w:color w:val="auto"/>
        </w:rPr>
        <w:t xml:space="preserve">NEW YORK, October 21, 2020 </w:t>
      </w:r>
      <w:r>
        <w:rPr>
          <w:rFonts w:ascii="Arial" w:cs="Arial" w:eastAsia="Arial" w:hAnsi="Arial"/>
          <w:sz w:val="18"/>
          <w:szCs w:val="18"/>
          <w:color w:val="auto"/>
        </w:rPr>
        <w:t>— Nasdaq (Nasdaq: NDAQ) today announced that Michael Ptasznik has decided to retire from his position as Chief</w:t>
      </w:r>
      <w:r>
        <w:rPr>
          <w:rFonts w:ascii="Arial" w:cs="Arial" w:eastAsia="Arial" w:hAnsi="Arial"/>
          <w:sz w:val="18"/>
          <w:szCs w:val="18"/>
          <w:b w:val="1"/>
          <w:bCs w:val="1"/>
          <w:color w:val="auto"/>
        </w:rPr>
        <w:t xml:space="preserve"> </w:t>
      </w:r>
      <w:r>
        <w:rPr>
          <w:rFonts w:ascii="Arial" w:cs="Arial" w:eastAsia="Arial" w:hAnsi="Arial"/>
          <w:sz w:val="18"/>
          <w:szCs w:val="18"/>
          <w:color w:val="auto"/>
        </w:rPr>
        <w:t>Financial Officer effective February 28, 2021. Ptasznik will be succeeded by Ann Dennison, Nasdaq’s Senior Vice President, Controller and Chief Accounting Officer. Dennison will assume the role of Chief Financial Officer effective March 1, 2021.</w:t>
      </w:r>
    </w:p>
    <w:p>
      <w:pPr>
        <w:spacing w:after="0" w:line="18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Ptasznik joined Nasdaq in 2016, and during his tenure he played an important role in a number of the company’s strategic and financial business initiatives, such as leading the strategic business review, introducing and implementing the annual capital allocation process to reassess the business portfolio, executing $1.1 billion of acquisitions and more than $500 million of divestitures, managing a successful balance sheet and refinancing $3.5 billion of debt, and overseeing the establishment of Nasdaq Venture’s investment program. He was an early and passionate sponsor of Nasdaq’s Environmental, Social and Governance corporate and commercial initiatives. Ptasznik’s retirement follows a successful 30-year career in the accounting and financial services profession.</w:t>
      </w:r>
    </w:p>
    <w:p>
      <w:pPr>
        <w:spacing w:after="0" w:line="192" w:lineRule="exact"/>
        <w:rPr>
          <w:sz w:val="20"/>
          <w:szCs w:val="20"/>
          <w:color w:val="auto"/>
        </w:rPr>
      </w:pPr>
    </w:p>
    <w:p>
      <w:pPr>
        <w:ind w:right="380"/>
        <w:spacing w:after="0" w:line="263" w:lineRule="auto"/>
        <w:rPr>
          <w:sz w:val="20"/>
          <w:szCs w:val="20"/>
          <w:color w:val="auto"/>
        </w:rPr>
      </w:pPr>
      <w:r>
        <w:rPr>
          <w:rFonts w:ascii="Arial" w:cs="Arial" w:eastAsia="Arial" w:hAnsi="Arial"/>
          <w:sz w:val="18"/>
          <w:szCs w:val="18"/>
          <w:color w:val="auto"/>
        </w:rPr>
        <w:t>Prior to joining Nasdaq, Michael served as Chief Financial Officer for TMX Group Limited. During the course of his 20-year tenure at that firm, he provided strategic and financial leadership through significant corporate and funding transactions, including the firm’s successful 2002 IPO, the transformational merger with the Montreal Exchange, and the $3.8 billion Maple transaction in 2012.</w:t>
      </w:r>
    </w:p>
    <w:p>
      <w:pPr>
        <w:spacing w:after="0" w:line="184"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“On behalf of the entire team at Nasdaq and the Board of Directors, I want to thank Michael for his leadership and dedication to our company and values,” said Adena Friedman, President and Chief Executive Officer, Nasdaq. “During his time with Nasdaq, Michael has been vital to the development and successful execution of our business strategies, including the important role he played in repositioning Nasdaq as a global technology company. As CFO, he ensured a strong financial position, and he played a key role in helping us build a culture around teamwork and innovation, particularly as we transitioned the entire company to a remote working environment during the pandemic. I also personally want to thank Michael for being a trusted advisor to me and true business partner to our management team. We all wish him a happy and well-deserved retirement.”</w:t>
      </w:r>
    </w:p>
    <w:p>
      <w:pPr>
        <w:spacing w:after="0" w:line="164"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Friedman added: “It also gives me great confidence and pride to know that Ann is stepping into this role. Ann is a dedicated leader with a deep understanding of our business and our long-term vision. She has made significant contributions to Nasdaq’s financial soundness in her five years with the company and her diligence and expertise will be significant factors in our growth strategy.”</w:t>
      </w:r>
    </w:p>
    <w:p>
      <w:pPr>
        <w:spacing w:after="0" w:line="184" w:lineRule="exact"/>
        <w:rPr>
          <w:sz w:val="20"/>
          <w:szCs w:val="20"/>
          <w:color w:val="auto"/>
        </w:rPr>
      </w:pPr>
    </w:p>
    <w:p>
      <w:pPr>
        <w:ind w:right="260"/>
        <w:spacing w:after="0" w:line="275" w:lineRule="auto"/>
        <w:rPr>
          <w:sz w:val="20"/>
          <w:szCs w:val="20"/>
          <w:color w:val="auto"/>
        </w:rPr>
      </w:pPr>
      <w:r>
        <w:rPr>
          <w:rFonts w:ascii="Arial" w:cs="Arial" w:eastAsia="Arial" w:hAnsi="Arial"/>
          <w:sz w:val="17"/>
          <w:szCs w:val="17"/>
          <w:color w:val="auto"/>
        </w:rPr>
        <w:t>“It has been a privilege to work alongside Adena, the Board of Directors and the entire team at Nasdaq,” said Ptasznik. “Under Adena’s leadership, Nasdaq embarked on a strategic pivot to establish itself as a leading technology, data and analytics company. The company achieved this through a number of strategic acquisitions, organic investments in technology and people, and with a clear vision. Having been a part of that transformation has been one of the most rewarding times of my career. During this time, Ann was a key member of my senior leadership team, and working closely with her during my time at Nasdaq I know that all of our stakeholders are in good hands.”</w:t>
      </w:r>
    </w:p>
    <w:p>
      <w:pPr>
        <w:sectPr>
          <w:pgSz w:w="11900" w:h="16838" w:orient="portrait"/>
          <w:cols w:equalWidth="0" w:num="1">
            <w:col w:w="11020"/>
          </w:cols>
          <w:pgMar w:left="440" w:top="121" w:right="439" w:bottom="1440" w:gutter="0" w:footer="0" w:header="0"/>
        </w:sectPr>
      </w:pPr>
    </w:p>
    <w:bookmarkStart w:id="5" w:name="page6"/>
    <w:bookmarkEnd w:id="5"/>
    <w:p>
      <w:pPr>
        <w:ind w:left="4" w:right="1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2691765" cy="4540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2691765" cy="454025"/>
                    </a:xfrm>
                    <a:prstGeom prst="rect">
                      <a:avLst/>
                    </a:prstGeom>
                    <a:noFill/>
                  </pic:spPr>
                </pic:pic>
              </a:graphicData>
            </a:graphic>
          </wp:anchor>
        </w:drawing>
        <w:t>“Transitioning into the role of CFO at a time when Nasdaq has continued to prove its resilience and innovative thinking is a tremendous opportunity,” said Dennison. “I want to thank Michael for his leadership and mentorship, which has been invaluable during our years together. I look forward to continuing to work closely with Adena, the Board of Directors and our employees to further fuel our success as a leading technology company, as well as meeting the needs of our diverse set of stakeholders.”</w:t>
      </w:r>
    </w:p>
    <w:p>
      <w:pPr>
        <w:spacing w:after="0" w:line="187" w:lineRule="exact"/>
        <w:rPr>
          <w:sz w:val="20"/>
          <w:szCs w:val="20"/>
          <w:color w:val="auto"/>
        </w:rPr>
      </w:pPr>
    </w:p>
    <w:p>
      <w:pPr>
        <w:ind w:left="4" w:right="60"/>
        <w:spacing w:after="0" w:line="279" w:lineRule="auto"/>
        <w:rPr>
          <w:sz w:val="20"/>
          <w:szCs w:val="20"/>
          <w:color w:val="auto"/>
        </w:rPr>
      </w:pPr>
      <w:r>
        <w:rPr>
          <w:rFonts w:ascii="Arial" w:cs="Arial" w:eastAsia="Arial" w:hAnsi="Arial"/>
          <w:sz w:val="17"/>
          <w:szCs w:val="17"/>
          <w:color w:val="auto"/>
        </w:rPr>
        <w:t>As Controller and Chief Accounting Officer, Dennison is responsible for all areas of the company’s accounting and financial reporting, as well planning and analysis, tax, procurement, and global accounting operations. She has been with Nasdaq for five years and has more than 20 years of experience in financial reporting and analysis. Prior to joining Nasdaq, Dennison worked at Goldman Sachs as Managing Director, Head of Financial Reporting and holds a BBA/MBA, Accounting and Finance from Pace University — Lubin School of Business.</w:t>
      </w:r>
    </w:p>
    <w:p>
      <w:pPr>
        <w:spacing w:after="0" w:line="275"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About Nasdaq:</w:t>
      </w:r>
    </w:p>
    <w:p>
      <w:pPr>
        <w:spacing w:after="0" w:line="121" w:lineRule="exact"/>
        <w:rPr>
          <w:sz w:val="20"/>
          <w:szCs w:val="20"/>
          <w:color w:val="auto"/>
        </w:rPr>
      </w:pPr>
    </w:p>
    <w:p>
      <w:pPr>
        <w:jc w:val="both"/>
        <w:ind w:left="4" w:right="500"/>
        <w:spacing w:after="0" w:line="286" w:lineRule="auto"/>
        <w:rPr>
          <w:sz w:val="20"/>
          <w:szCs w:val="20"/>
          <w:color w:val="auto"/>
        </w:rPr>
      </w:pPr>
      <w:r>
        <w:rPr>
          <w:rFonts w:ascii="Arial" w:cs="Arial" w:eastAsia="Arial" w:hAnsi="Arial"/>
          <w:sz w:val="17"/>
          <w:szCs w:val="17"/>
          <w:color w:val="auto"/>
        </w:rPr>
        <w:t xml:space="preserve">Nasdaq (Nasdaq: NDAQ) is a global technology company serving the capital markets and other industries. Our diverse offering of data, analytics, software and services enables clients to optimize and execute their business vision with confidence. To learn more about the company, technology solutions and career opportunities, visit us on LinkedIn, on Twitter @Nasdaq, or at </w:t>
      </w:r>
      <w:r>
        <w:rPr>
          <w:rFonts w:ascii="Arial" w:cs="Arial" w:eastAsia="Arial" w:hAnsi="Arial"/>
          <w:sz w:val="17"/>
          <w:szCs w:val="17"/>
          <w:u w:val="single" w:color="auto"/>
          <w:color w:val="auto"/>
        </w:rPr>
        <w:t>www.nasdaq.com</w:t>
      </w:r>
      <w:r>
        <w:rPr>
          <w:rFonts w:ascii="Arial" w:cs="Arial" w:eastAsia="Arial" w:hAnsi="Arial"/>
          <w:sz w:val="17"/>
          <w:szCs w:val="17"/>
          <w:color w:val="auto"/>
        </w:rPr>
        <w:t>.</w:t>
      </w:r>
    </w:p>
    <w:p>
      <w:pPr>
        <w:spacing w:after="0" w:line="26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Media Relations Contacts:</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Allan Schoenberg</w:t>
      </w:r>
    </w:p>
    <w:p>
      <w:pPr>
        <w:spacing w:after="0" w:line="23" w:lineRule="exact"/>
        <w:rPr>
          <w:sz w:val="20"/>
          <w:szCs w:val="20"/>
          <w:color w:val="auto"/>
        </w:rPr>
      </w:pPr>
    </w:p>
    <w:p>
      <w:pPr>
        <w:ind w:left="4" w:right="8780" w:hanging="4"/>
        <w:spacing w:after="0" w:line="361" w:lineRule="auto"/>
        <w:tabs>
          <w:tab w:leader="none" w:pos="439" w:val="left"/>
        </w:tabs>
        <w:numPr>
          <w:ilvl w:val="0"/>
          <w:numId w:val="2"/>
        </w:numPr>
        <w:rPr>
          <w:rFonts w:ascii="Arial" w:cs="Arial" w:eastAsia="Arial" w:hAnsi="Arial"/>
          <w:sz w:val="15"/>
          <w:szCs w:val="15"/>
          <w:color w:val="auto"/>
        </w:rPr>
      </w:pPr>
      <w:r>
        <w:rPr>
          <w:rFonts w:ascii="Arial" w:cs="Arial" w:eastAsia="Arial" w:hAnsi="Arial"/>
          <w:sz w:val="15"/>
          <w:szCs w:val="15"/>
          <w:color w:val="auto"/>
        </w:rPr>
        <w:t xml:space="preserve">231-5534 </w:t>
      </w:r>
      <w:r>
        <w:rPr>
          <w:rFonts w:ascii="Arial" w:cs="Arial" w:eastAsia="Arial" w:hAnsi="Arial"/>
          <w:sz w:val="15"/>
          <w:szCs w:val="15"/>
          <w:u w:val="single" w:color="auto"/>
          <w:color w:val="auto"/>
        </w:rPr>
        <w:t>allan.schoenberg@nasdaq.com</w:t>
      </w:r>
    </w:p>
    <w:p>
      <w:pPr>
        <w:spacing w:after="0" w:line="115" w:lineRule="exact"/>
        <w:rPr>
          <w:sz w:val="20"/>
          <w:szCs w:val="20"/>
          <w:color w:val="auto"/>
        </w:rPr>
      </w:pPr>
    </w:p>
    <w:p>
      <w:pPr>
        <w:ind w:left="4"/>
        <w:spacing w:after="0"/>
        <w:rPr>
          <w:sz w:val="20"/>
          <w:szCs w:val="20"/>
          <w:color w:val="auto"/>
        </w:rPr>
      </w:pPr>
      <w:r>
        <w:rPr>
          <w:rFonts w:ascii="Arial" w:cs="Arial" w:eastAsia="Arial" w:hAnsi="Arial"/>
          <w:sz w:val="18"/>
          <w:szCs w:val="18"/>
          <w:color w:val="auto"/>
        </w:rPr>
        <w:t>Will Briganti</w:t>
      </w:r>
    </w:p>
    <w:p>
      <w:pPr>
        <w:spacing w:after="0" w:line="23" w:lineRule="exact"/>
        <w:rPr>
          <w:sz w:val="20"/>
          <w:szCs w:val="20"/>
          <w:color w:val="auto"/>
        </w:rPr>
      </w:pPr>
    </w:p>
    <w:p>
      <w:pPr>
        <w:ind w:left="4" w:right="8820" w:hanging="4"/>
        <w:spacing w:after="0" w:line="323" w:lineRule="auto"/>
        <w:tabs>
          <w:tab w:leader="none" w:pos="439" w:val="left"/>
        </w:tabs>
        <w:numPr>
          <w:ilvl w:val="0"/>
          <w:numId w:val="3"/>
        </w:numPr>
        <w:rPr>
          <w:rFonts w:ascii="Arial" w:cs="Arial" w:eastAsia="Arial" w:hAnsi="Arial"/>
          <w:sz w:val="16"/>
          <w:szCs w:val="16"/>
          <w:color w:val="auto"/>
        </w:rPr>
      </w:pPr>
      <w:r>
        <w:rPr>
          <w:rFonts w:ascii="Arial" w:cs="Arial" w:eastAsia="Arial" w:hAnsi="Arial"/>
          <w:sz w:val="16"/>
          <w:szCs w:val="16"/>
          <w:color w:val="auto"/>
        </w:rPr>
        <w:t xml:space="preserve">964-8169 </w:t>
      </w:r>
      <w:r>
        <w:rPr>
          <w:rFonts w:ascii="Arial" w:cs="Arial" w:eastAsia="Arial" w:hAnsi="Arial"/>
          <w:sz w:val="16"/>
          <w:szCs w:val="16"/>
          <w:u w:val="single" w:color="auto"/>
          <w:color w:val="auto"/>
        </w:rPr>
        <w:t>william.briganti@nasdaq.com</w:t>
      </w:r>
    </w:p>
    <w:p>
      <w:pPr>
        <w:spacing w:after="0" w:line="242"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Investor Relations Contact:</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Ed Ditmire, CFA</w:t>
      </w:r>
    </w:p>
    <w:p>
      <w:pPr>
        <w:spacing w:after="0" w:line="23" w:lineRule="exact"/>
        <w:rPr>
          <w:sz w:val="20"/>
          <w:szCs w:val="20"/>
          <w:color w:val="auto"/>
        </w:rPr>
      </w:pPr>
    </w:p>
    <w:p>
      <w:pPr>
        <w:ind w:left="4" w:right="9240" w:hanging="4"/>
        <w:spacing w:after="0" w:line="323" w:lineRule="auto"/>
        <w:tabs>
          <w:tab w:leader="none" w:pos="439" w:val="left"/>
        </w:tabs>
        <w:numPr>
          <w:ilvl w:val="0"/>
          <w:numId w:val="4"/>
        </w:numPr>
        <w:rPr>
          <w:rFonts w:ascii="Arial" w:cs="Arial" w:eastAsia="Arial" w:hAnsi="Arial"/>
          <w:sz w:val="16"/>
          <w:szCs w:val="16"/>
          <w:color w:val="auto"/>
        </w:rPr>
      </w:pPr>
      <w:r>
        <w:rPr>
          <w:rFonts w:ascii="Arial" w:cs="Arial" w:eastAsia="Arial" w:hAnsi="Arial"/>
          <w:sz w:val="16"/>
          <w:szCs w:val="16"/>
          <w:color w:val="auto"/>
        </w:rPr>
        <w:t xml:space="preserve">401-8737 </w:t>
      </w:r>
      <w:r>
        <w:rPr>
          <w:rFonts w:ascii="Arial" w:cs="Arial" w:eastAsia="Arial" w:hAnsi="Arial"/>
          <w:sz w:val="16"/>
          <w:szCs w:val="16"/>
          <w:u w:val="single" w:color="auto"/>
          <w:color w:val="auto"/>
        </w:rPr>
        <w:t>ed.ditmire@nasdaq.com</w:t>
      </w:r>
    </w:p>
    <w:p>
      <w:pPr>
        <w:spacing w:after="0" w:line="246"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Cautionary Note Regarding Forward-Looking Statements</w:t>
      </w:r>
    </w:p>
    <w:p>
      <w:pPr>
        <w:spacing w:after="0" w:line="117" w:lineRule="exact"/>
        <w:rPr>
          <w:sz w:val="20"/>
          <w:szCs w:val="20"/>
          <w:color w:val="auto"/>
        </w:rPr>
      </w:pPr>
    </w:p>
    <w:p>
      <w:pPr>
        <w:ind w:left="4"/>
        <w:spacing w:after="0" w:line="268" w:lineRule="auto"/>
        <w:rPr>
          <w:sz w:val="20"/>
          <w:szCs w:val="20"/>
          <w:color w:val="auto"/>
        </w:rPr>
      </w:pPr>
      <w:r>
        <w:rPr>
          <w:rFonts w:ascii="Arial" w:cs="Arial" w:eastAsia="Arial" w:hAnsi="Arial"/>
          <w:sz w:val="17"/>
          <w:szCs w:val="17"/>
          <w:i w:val="1"/>
          <w:iCs w:val="1"/>
          <w:color w:val="auto"/>
        </w:rPr>
        <w:t xml:space="preserve">Information set forth in this communication contains forward-looking statements that involve a number of risks and uncertainties. Nasdaq cautions readers that any forward-looking information is not a guarantee of future performance and that actual results could differ materially from those contained in the forward-looking information. Such forward-looking statements include, but are not limited to (i) projections relating to our future financial results, total shareholder returns, growth, trading volumes, products and services, order backlog, taxes and achievement of synergy targets, (ii) statements about the closing or implementation dates and benefits of certain acquisitions and other strategic, restructuring, technology, de-leveraging and capital return initiatives, (iii) statements about our integrations of our recent acquisitions, (iv) statements relating to any litigation or regulatory or government investigation or action to which we are or could become a party, and (v) other statements that are not historical facts. Forward-looking statements involve a number of risks, uncertainties or other factors beyond Nasdaq’s control. These factors include, but are not limited to, Nasdaq’s ability to implement its strategic initiatives, economic, political and market conditions and fluctuations, government and industry regulation, interest rate risk, U.S. and global competition, and other factors detailed in Nasdaq’s filings with the U.S. Securities and Exchange Commission, including its annual reports on Form 10-K and quarterly reports on Form 10-Q which are available on Nasdaq’s investor relations website at </w:t>
      </w:r>
      <w:r>
        <w:rPr>
          <w:rFonts w:ascii="Arial" w:cs="Arial" w:eastAsia="Arial" w:hAnsi="Arial"/>
          <w:sz w:val="17"/>
          <w:szCs w:val="17"/>
          <w:i w:val="1"/>
          <w:iCs w:val="1"/>
          <w:u w:val="single" w:color="auto"/>
          <w:color w:val="auto"/>
        </w:rPr>
        <w:t>http://ir.nasdaq.com</w:t>
      </w:r>
      <w:r>
        <w:rPr>
          <w:rFonts w:ascii="Arial" w:cs="Arial" w:eastAsia="Arial" w:hAnsi="Arial"/>
          <w:sz w:val="17"/>
          <w:szCs w:val="17"/>
          <w:i w:val="1"/>
          <w:iCs w:val="1"/>
          <w:color w:val="auto"/>
        </w:rPr>
        <w:t xml:space="preserve"> and the SEC’s website at </w:t>
      </w:r>
      <w:r>
        <w:rPr>
          <w:rFonts w:ascii="Arial" w:cs="Arial" w:eastAsia="Arial" w:hAnsi="Arial"/>
          <w:sz w:val="17"/>
          <w:szCs w:val="17"/>
          <w:i w:val="1"/>
          <w:iCs w:val="1"/>
          <w:u w:val="single" w:color="auto"/>
          <w:color w:val="auto"/>
        </w:rPr>
        <w:t>www.sec.gov</w:t>
      </w:r>
      <w:r>
        <w:rPr>
          <w:rFonts w:ascii="Arial" w:cs="Arial" w:eastAsia="Arial" w:hAnsi="Arial"/>
          <w:sz w:val="17"/>
          <w:szCs w:val="17"/>
          <w:i w:val="1"/>
          <w:iCs w:val="1"/>
          <w:color w:val="auto"/>
        </w:rPr>
        <w:t>. Nasdaq undertakes no obligation to publicly update any forward-looking statement, whether as a result of new information, future events or otherwise.</w:t>
      </w:r>
    </w:p>
    <w:p>
      <w:pPr>
        <w:spacing w:after="0" w:line="18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-NDAF-</w:t>
      </w:r>
    </w:p>
    <w:sectPr>
      <w:pgSz w:w="11900" w:h="16838" w:orient="portrait"/>
      <w:cols w:equalWidth="0" w:num="1">
        <w:col w:w="11004"/>
      </w:cols>
      <w:pgMar w:left="436" w:top="1138"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212"/>
    </w:lvl>
  </w:abstractNum>
  <w:abstractNum w:abstractNumId="2">
    <w:nsid w:val="2AE8944A"/>
    <w:multiLevelType w:val="hybridMultilevel"/>
    <w:lvl w:ilvl="0">
      <w:lvlJc w:val="left"/>
      <w:lvlText w:val="(%1)"/>
      <w:numFmt w:val="decimal"/>
      <w:start w:val="646"/>
    </w:lvl>
  </w:abstractNum>
  <w:abstractNum w:abstractNumId="3">
    <w:nsid w:val="625558EC"/>
    <w:multiLevelType w:val="hybridMultilevel"/>
    <w:lvl w:ilvl="0">
      <w:lvlJc w:val="left"/>
      <w:lvlText w:val="(%1)"/>
      <w:numFmt w:val="decimal"/>
      <w:start w:val="212"/>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2020-10-23T15:41:39Z</dcterms:created>
  <dcterms:modified xsi:type="dcterms:W3CDTF">2020-10-23T15:41:39Z</dcterms:modified>
</cp:coreProperties>
</file>