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Tal Cohen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151 W. 42ND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NASDAQ,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NDAQ</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Pres. Market Platforms</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5"/>
                <w:szCs w:val="15"/>
                <w:color w:val="auto"/>
              </w:rPr>
            </w:pPr>
          </w:p>
        </w:tc>
        <w:tc>
          <w:tcPr>
            <w:tcW w:w="1500" w:type="dxa"/>
            <w:vAlign w:val="bottom"/>
            <w:gridSpan w:val="3"/>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6"/>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0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10/23/2026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10,390</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103.34</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205,076</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5"/>
                <w:szCs w:val="15"/>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this box is a weighted average price. These shares were sold in multiple transactions at prices ranging from $103.14 to $103.51, inclusive. The reporting person undertakes to provide to the Issuer, any of its security holders,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6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 116,173 shares or units of restricted stock, of which 42,813 are vested, (ii) 87,017 shares of Common Stock underlying PSUs, 74,175 of which are vested, and (iii) 1,886 shares of Common Stock purchased under the Issuer's Employee Stock Purchase Plan.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Alex Kogan,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10/27/2026</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4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1714" TargetMode="External"/><Relationship Id="rId14" Type="http://schemas.openxmlformats.org/officeDocument/2006/relationships/hyperlink" Target="http://www.sec.gov/cgi-bin/browse-edgar?action=getcompany&amp;CIK=00011201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2026-10-27T15:06:48Z</dcterms:created>
  <dcterms:modified xsi:type="dcterms:W3CDTF">2026-10-27T15:06:48Z</dcterms:modified>
</cp:coreProperties>
</file>