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Peterson Bradley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CIO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7,710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90.82</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141,035</w:t>
            </w:r>
            <w:r>
              <w:rPr>
                <w:rFonts w:ascii="Times;serif" w:hAnsi="Times;serif"/>
                <w:color w:val="008000"/>
                <w:position w:val="7"/>
                <w:sz w:val="16"/>
                <w:sz w:val="20"/>
                <w:shd w:fill="FFFFFF" w:val="clear"/>
              </w:rPr>
              <w:t>(1)</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(i) 64,377 shares or units of restricted stock, 38,372 of which are vested, (ii) 71,618 shares of Common Stock underlying PSUs, 61,986 of which are vested, and (iii) 5,040 shares ofCommon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8592"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3276</Characters>
  <CharactersWithSpaces>3825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