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December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224155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Nasdaq,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001-38855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52-1165937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3684"/>
        <w:spacing w:after="0"/>
        <w:rPr>
          <w:sz w:val="20"/>
          <w:szCs w:val="20"/>
          <w:color w:val="auto"/>
        </w:rPr>
      </w:pPr>
      <w:r>
        <w:rPr>
          <w:rFonts w:ascii="Arial" w:cs="Arial" w:eastAsia="Arial" w:hAnsi="Arial"/>
          <w:sz w:val="18"/>
          <w:szCs w:val="18"/>
          <w:b w:val="1"/>
          <w:bCs w:val="1"/>
          <w:color w:val="auto"/>
        </w:rPr>
        <w:t>151 W. 42nd Street, New York, New York 10036</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1"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+1 212 401 8700</w:t>
      </w:r>
    </w:p>
    <w:p>
      <w:pPr>
        <w:spacing w:after="0" w:line="22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 change since last report</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8"/>
              </w:rPr>
              <w:t>NDAQ</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0.875% Senior Notes due 2030</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NDAQ30</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1.750% Senior Notes due 2029</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NDAQ29</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1.750% Senior Notes due 2023</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NDAQ23</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Offering</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December 21, 2020, Nasdaq, Inc. (the “Company”) completed a public offering of $600,000,000 aggregate principal amount of 0.445% senior notes due 2022 (the “2022 Senior Notes”), $650,000,000 aggregate principal amount of 1.650% senior notes due 2031 (the “2031 Senior Notes”), and $650,000,000 aggregate principal amount of 2.500% senior notes due 2040 (the “2040 Senior Notes”, and together with the 2022 Senior Notes and 2031 Senior Notes, the “Senior Notes”). The offering of the Senior Notes was made pursuant to the Company’s registration statement on Form S-3 (Registration Statement No. 333-224489) filed with the U.S. Securities and Exchange Commission on April 27, 2018.</w:t>
      </w:r>
    </w:p>
    <w:p>
      <w:pPr>
        <w:spacing w:after="0" w:line="17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Company expects to use the net proceeds from the offering, together with cash on hand and proceeds of other debt, to fund the cash consideration payable by the Company in connection with its pending acquisition of Verafin Holdings Inc. (“Verafin”), to repay certain outstanding indebtedness of Verafin and its subsidiaries and to pay related expenses, and for general corporate purposes.</w:t>
      </w:r>
    </w:p>
    <w:p>
      <w:pPr>
        <w:spacing w:after="0" w:line="18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Senior Notes were issued under the Indenture, dated June 7, 2013, between the Company and Wells Fargo Bank, National Association, as trustee (the “Trustee”), as supplemented by (i) with respect to the 2022 Senior Notes, the Ninth Supplemental Indenture (the “Ninth Supplemental Indenture”), dated December 21, 2020, by and between the Company and the Trustee, (ii) with respect to the 2031 Senior Notes, the Tenth Supplemental Indenture (the “Tenth Supplemental Indenture”), dated December 21, 2020, by and between the Company and the Trustee and (iii) with respect to the 2040 Senior Notes, the Eleventh Supplemental Indenture (the “Eleventh Supplemental Indenture”, and together with the Ninth Supplemental Indenture and Tenth Supplemental Indenture, the “Supplemental Indentures”), dated December 21, 2020, by and between the Company and the Trustee. Each Supplemental Indenture includes the form of Senior Notes of the applicable series.</w:t>
      </w:r>
    </w:p>
    <w:p>
      <w:pPr>
        <w:spacing w:after="0" w:line="17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2022 Senior Notes will pay interest semiannually at a rate of 0.445% per annum and will mature on December 21, 2022. The 2031 Senior Notes will pay interest semiannually at a rate of 1.650% per annum and will mature on January 15, 2031. The 2040 Senior Notes will pay interest semiannually at a rate of 2.500% per annum and will mature on December 21, 2040.</w:t>
      </w:r>
    </w:p>
    <w:p>
      <w:pPr>
        <w:spacing w:after="0" w:line="18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If (x) the pending acquisition of Verafin is not consummated on or before February 18, 2022 or (y) the Company notifies the Trustee that (i) the transaction agreement relating thereto has been terminated in accordance with its terms prior to the consummation thereof or (ii) the Company will not pursue the consummation of such acquisition, the Company will be required to redeem the Senior Notes of each series at a redemption price equal to 101% of the aggregate principal amount of the Senior Notes of such series, plus accrued and unpaid interest, if any, to, but excluding the special mandatory redemption date (as defined in the Supplemental Indenture applicable to such series).</w:t>
      </w:r>
    </w:p>
    <w:p>
      <w:pPr>
        <w:spacing w:after="0" w:line="1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Each of the Supplemental Indentures is filed as an exhibit to this Form 8-K and is incorporated herein by reference. The description of the Supplemental Indentures described herein are qualified in their entirety by reference thereto.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w:t>
      </w:r>
    </w:p>
    <w:p>
      <w:pPr>
        <w:spacing w:after="0" w:line="117"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On December 21, 2020, the Company entered into a credit agreement (the “Revolving Credit Agreement”) among the Company, as the borrower, the lenders and other parties from time to time party thereto, and Bank of America, N.A., as administrative agent. In connection therewith, the Company repaid all amounts outstanding under and terminated that certain Credit Agreement, dated as of April 25, 2017, among the Company, as the borrower, the lenders and other parties from time to time party thereto, and Bank of America, N.A., as administrative agent.</w:t>
      </w:r>
    </w:p>
    <w:p>
      <w:pPr>
        <w:spacing w:after="0" w:line="15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Revolving Credit Agreement provides for a $1,250 million senior unsecured five-year revolving credit facility (the “Revolving Credit Facility”). The loans under the Revolving Credit Facility have a variable interest rate based on, at the option of the Company, the reserve adjusted Eurocurrency rate or the alternative base rate (or such other applicable rate with respect to non-Dollar borrowings), plus an applicable margin that varies with the Company’s debt ratings. Revolving loans will be available, at the option of the Company, in Dollars, Euros, Sterling,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97" w:right="479" w:bottom="1440" w:gutter="0" w:footer="0" w:header="0"/>
        </w:sectPr>
      </w:pPr>
    </w:p>
    <w:bookmarkStart w:id="2" w:name="page3"/>
    <w:bookmarkEnd w:id="2"/>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Norwegian Kroner, Swedish Kroner, Danish Kroner, Canadian Dollars or any other currency approved in accordance with the terms of the Revolving Credit Agreement. The Revolving Credit Agreement includes an option for the Company to propose an increase in the aggregate commitments by up to $625 million, subject to the consent of the lenders funding such increase and certain other conditions.</w:t>
      </w:r>
    </w:p>
    <w:p>
      <w:pPr>
        <w:spacing w:after="0" w:line="184"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proceeds of the revolving loans may be used for general corporate purposes (including to finance the pending acquisition of Verafin, other acquisitions, repayments of indebtedness (including indebtedness of Verafin) and share repurchases, and to pay fees, costs and expenses incurred in connection with the foregoing).</w:t>
      </w:r>
    </w:p>
    <w:p>
      <w:pPr>
        <w:spacing w:after="0" w:line="18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Revolving Credit Agreement contains representations and warranties, events of default, and affirmative and negative covenants customary for unsecured financings of this type, including a financial covenant requiring that, as of the last day of any period of four consecutive fiscal quarters, the Leverage Ratio (as defined in the Revolving Credit Agreement) not be greater than 3.50 to 1.00, subject to a step up to 4.50 to 1.00 upon consummation of the pending acquisition of Verafin (stepping down to 4.00 to 1.00 over time), as more fully described in the Revolving Credit Agreement. The operating covenants include, among other things, limitations on (i) the incurrence of indebtedness by the Company’s subsidiaries, (ii) liens on assets of the Company and its subsidiaries securing indebtedness of the Company or any of its subsidiaries, (iii) the disposition of assets by the Company and its subsidiaries and (iv) certain mergers and consolidations involving the Company.</w:t>
      </w:r>
    </w:p>
    <w:p>
      <w:pPr>
        <w:spacing w:after="0" w:line="17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Revolving Credit Agreement matures, and all amounts outstanding thereunder will be due and payable in full, on December 22, 2025. Voluntary prepayments of the loans and voluntary reductions of the unutilized portion of the commitments under the Revolving Credit Agreement are permissible without premium or penalty (other than customary Eurocurrency loan breakage), subject to certain conditions pertaining to minimum notice and minimum reduction amounts as described in the Revolving Credit Agreement. As of December 21, 2020, there were no loans outstanding under the Revolving Credit Facility.</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copy of the Revolving Credit Agreement is filed herewith as Exhibit 10.1 and is incorporated herein by reference, and the summary of the Revolving Credit Agreement herein is qualified in its entirety thereby.</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Many of the lenders under the Revolving Credit Agreement and/or their affiliates have in the past performed, and may in the future from time to time perform, investment banking, financial advisory, lending and/or commercial banking services, or other services for the Company and its subsidiaries, for which they have received, and may in the future receive, customary compensation and expense reimbursement.</w:t>
      </w:r>
    </w:p>
    <w:p>
      <w:pPr>
        <w:spacing w:after="0" w:line="31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included in Item 1.01 under the heading “Revolving Credit Agreement” above is hereby incorporated by reference into this Item 1.02.</w:t>
      </w:r>
    </w:p>
    <w:p>
      <w:pPr>
        <w:spacing w:after="0" w:line="39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included in Item 1.01 above is hereby incorporated by reference into this Item 2.03.</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301" w:right="479" w:bottom="1440" w:gutter="0" w:footer="0" w:header="0"/>
        </w:sectPr>
      </w:pPr>
    </w:p>
    <w:bookmarkStart w:id="3" w:name="page4"/>
    <w:bookmarkEnd w:id="3"/>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264" w:hanging="264"/>
        <w:spacing w:after="0"/>
        <w:tabs>
          <w:tab w:leader="none" w:pos="264"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exhibits are filed as part of this Current Report on Form 8-K:</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2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4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760" w:type="dxa"/>
            <w:vAlign w:val="bottom"/>
            <w:tcBorders>
              <w:bottom w:val="single" w:sz="8" w:color="0000EE"/>
            </w:tcBorders>
            <w:gridSpan w:val="8"/>
          </w:tcPr>
          <w:p>
            <w:pPr>
              <w:spacing w:after="0"/>
              <w:rPr>
                <w:rFonts w:ascii="Arial" w:cs="Arial" w:eastAsia="Arial" w:hAnsi="Arial"/>
                <w:sz w:val="18"/>
                <w:szCs w:val="18"/>
                <w:color w:val="0000EE"/>
                <w:w w:val="89"/>
              </w:rPr>
            </w:pPr>
            <w:hyperlink r:id="rId20">
              <w:r>
                <w:rPr>
                  <w:rFonts w:ascii="Arial" w:cs="Arial" w:eastAsia="Arial" w:hAnsi="Arial"/>
                  <w:sz w:val="18"/>
                  <w:szCs w:val="18"/>
                  <w:color w:val="0000EE"/>
                  <w:w w:val="89"/>
                </w:rPr>
                <w:t>Indenture, dated as of June 7, 2013, among the Company and Wells Fargo Bank, National Association, as Trustee – incorporated herein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gridSpan w:val="8"/>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by reference to Exhibit 4.1 to the Company’s Form 8-K filed on June 10, 2013.</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Ninth Supplemental Indenture, dated as of December 21, 2020, among Nasdaq, Inc. and Wells Fargo Bank, National Association, as</w:t>
              </w:r>
            </w:hyperlink>
          </w:p>
        </w:tc>
        <w:tc>
          <w:tcPr>
            <w:tcW w:w="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Trustee.</w:t>
              </w:r>
            </w:hyperlink>
          </w:p>
        </w:tc>
        <w:tc>
          <w:tcPr>
            <w:tcW w:w="9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9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Tenth Supplemental Indenture, dated as of December 21, 2020, among Nasdaq, Inc. and Wells Fargo Bank, National Association, as</w:t>
              </w:r>
            </w:hyperlink>
          </w:p>
        </w:tc>
        <w:tc>
          <w:tcPr>
            <w:tcW w:w="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5">
              <w:r>
                <w:rPr>
                  <w:rFonts w:ascii="Arial" w:cs="Arial" w:eastAsia="Arial" w:hAnsi="Arial"/>
                  <w:sz w:val="18"/>
                  <w:szCs w:val="18"/>
                  <w:color w:val="0000EE"/>
                  <w:w w:val="84"/>
                </w:rPr>
                <w:t>Trustee.</w:t>
              </w:r>
            </w:hyperlink>
          </w:p>
        </w:tc>
        <w:tc>
          <w:tcPr>
            <w:tcW w:w="9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24"/>
                <w:szCs w:val="24"/>
                <w:color w:val="auto"/>
              </w:rPr>
            </w:pPr>
          </w:p>
        </w:tc>
        <w:tc>
          <w:tcPr>
            <w:tcW w:w="9760" w:type="dxa"/>
            <w:vAlign w:val="bottom"/>
            <w:gridSpan w:val="8"/>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Eleventh Supplemental Indenture, dated as of December 21, 2020, among Nasdaq, Inc. and Wells Fargo Bank, National Association, as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84">
              <w:r>
                <w:rPr>
                  <w:rFonts w:ascii="Arial" w:cs="Arial" w:eastAsia="Arial" w:hAnsi="Arial"/>
                  <w:sz w:val="18"/>
                  <w:szCs w:val="18"/>
                  <w:color w:val="0000EE"/>
                  <w:w w:val="84"/>
                </w:rPr>
                <w:t>Trustee.</w:t>
              </w:r>
            </w:hyperlink>
          </w:p>
        </w:tc>
        <w:tc>
          <w:tcPr>
            <w:tcW w:w="91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9760" w:type="dxa"/>
            <w:vAlign w:val="bottom"/>
            <w:gridSpan w:val="8"/>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Opinion of Wachtell, Lipton, Rosen &amp; Katz.</w:t>
              </w:r>
            </w:hyperlink>
          </w:p>
        </w:tc>
        <w:tc>
          <w:tcPr>
            <w:tcW w:w="0" w:type="dxa"/>
            <w:vAlign w:val="bottom"/>
          </w:tcPr>
          <w:p>
            <w:pPr>
              <w:spacing w:after="0"/>
              <w:rPr>
                <w:sz w:val="1"/>
                <w:szCs w:val="1"/>
                <w:color w:val="auto"/>
              </w:rPr>
            </w:pPr>
          </w:p>
        </w:tc>
      </w:tr>
      <w:tr>
        <w:trPr>
          <w:trHeight w:val="283"/>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10.1</w:t>
            </w:r>
          </w:p>
        </w:tc>
        <w:tc>
          <w:tcPr>
            <w:tcW w:w="540" w:type="dxa"/>
            <w:vAlign w:val="bottom"/>
          </w:tcPr>
          <w:p>
            <w:pPr>
              <w:spacing w:after="0"/>
              <w:rPr>
                <w:sz w:val="24"/>
                <w:szCs w:val="24"/>
                <w:color w:val="auto"/>
              </w:rPr>
            </w:pPr>
          </w:p>
        </w:tc>
        <w:tc>
          <w:tcPr>
            <w:tcW w:w="9760" w:type="dxa"/>
            <w:vAlign w:val="bottom"/>
            <w:gridSpan w:val="8"/>
          </w:tcPr>
          <w:p>
            <w:pPr>
              <w:spacing w:after="0"/>
              <w:rPr>
                <w:rFonts w:ascii="Arial" w:cs="Arial" w:eastAsia="Arial" w:hAnsi="Arial"/>
                <w:sz w:val="18"/>
                <w:szCs w:val="18"/>
                <w:color w:val="0000EE"/>
                <w:w w:val="92"/>
              </w:rPr>
            </w:pPr>
            <w:hyperlink w:anchor="page127">
              <w:r>
                <w:rPr>
                  <w:rFonts w:ascii="Arial" w:cs="Arial" w:eastAsia="Arial" w:hAnsi="Arial"/>
                  <w:sz w:val="18"/>
                  <w:szCs w:val="18"/>
                  <w:color w:val="0000EE"/>
                  <w:w w:val="92"/>
                </w:rPr>
                <w:t>Credit Agreement, dated as of December 21, 2020, among Nasdaq, Inc., the various lenders from time to time party thereto, Bank of</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America, N.A., as Administrative Agent and Issuing Bank.</w:t>
              </w:r>
            </w:hyperlink>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55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9760" w:type="dxa"/>
            <w:vAlign w:val="bottom"/>
            <w:gridSpan w:val="8"/>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Consent of Wachtell, Lipton, Rosen &amp; Katz - included as part of Exhibit 5.1 hereto.</w:t>
              </w:r>
            </w:hyperlink>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404" w:right="1740" w:hanging="5404"/>
        <w:spacing w:after="0" w:line="449"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 -4-</w:t>
      </w:r>
    </w:p>
    <w:p>
      <w:pPr>
        <w:sectPr>
          <w:pgSz w:w="11900" w:h="16838" w:orient="portrait"/>
          <w:cols w:equalWidth="0" w:num="1">
            <w:col w:w="10804"/>
          </w:cols>
          <w:pgMar w:left="436" w:top="297" w:right="6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Dated: December 21, 2020</w:t>
            </w:r>
          </w:p>
        </w:tc>
        <w:tc>
          <w:tcPr>
            <w:tcW w:w="7360" w:type="dxa"/>
            <w:vAlign w:val="bottom"/>
            <w:gridSpan w:val="2"/>
          </w:tcPr>
          <w:p>
            <w:pPr>
              <w:ind w:left="1860"/>
              <w:spacing w:after="0"/>
              <w:rPr>
                <w:sz w:val="20"/>
                <w:szCs w:val="20"/>
                <w:color w:val="auto"/>
              </w:rPr>
            </w:pPr>
            <w:r>
              <w:rPr>
                <w:rFonts w:ascii="Arial" w:cs="Arial" w:eastAsia="Arial" w:hAnsi="Arial"/>
                <w:sz w:val="18"/>
                <w:szCs w:val="18"/>
                <w:color w:val="auto"/>
              </w:rPr>
              <w:t>NASDAQ, INC.</w:t>
            </w:r>
          </w:p>
        </w:tc>
      </w:tr>
      <w:tr>
        <w:trPr>
          <w:trHeight w:val="432"/>
        </w:trPr>
        <w:tc>
          <w:tcPr>
            <w:tcW w:w="3660" w:type="dxa"/>
            <w:vAlign w:val="bottom"/>
          </w:tcPr>
          <w:p>
            <w:pPr>
              <w:spacing w:after="0"/>
              <w:rPr>
                <w:sz w:val="24"/>
                <w:szCs w:val="24"/>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Zecca</w:t>
            </w:r>
          </w:p>
        </w:tc>
      </w:tr>
      <w:tr>
        <w:trPr>
          <w:trHeight w:val="209"/>
        </w:trPr>
        <w:tc>
          <w:tcPr>
            <w:tcW w:w="3660" w:type="dxa"/>
            <w:vAlign w:val="bottom"/>
          </w:tcPr>
          <w:p>
            <w:pPr>
              <w:spacing w:after="0"/>
              <w:rPr>
                <w:sz w:val="18"/>
                <w:szCs w:val="18"/>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John A. Zecca</w:t>
            </w:r>
          </w:p>
        </w:tc>
      </w:tr>
      <w:tr>
        <w:trPr>
          <w:trHeight w:val="230"/>
        </w:trPr>
        <w:tc>
          <w:tcPr>
            <w:tcW w:w="3660" w:type="dxa"/>
            <w:vAlign w:val="bottom"/>
          </w:tcPr>
          <w:p>
            <w:pPr>
              <w:spacing w:after="0"/>
              <w:rPr>
                <w:sz w:val="20"/>
                <w:szCs w:val="20"/>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Executive Vice President and Chief Legal Officer</w:t>
            </w:r>
          </w:p>
        </w:tc>
      </w:tr>
      <w:tr>
        <w:trPr>
          <w:trHeight w:val="364"/>
        </w:trPr>
        <w:tc>
          <w:tcPr>
            <w:tcW w:w="3660" w:type="dxa"/>
            <w:vAlign w:val="bottom"/>
          </w:tcPr>
          <w:p>
            <w:pPr>
              <w:spacing w:after="0"/>
              <w:rPr>
                <w:sz w:val="24"/>
                <w:szCs w:val="24"/>
                <w:color w:val="auto"/>
              </w:rPr>
            </w:pPr>
          </w:p>
        </w:tc>
        <w:tc>
          <w:tcPr>
            <w:tcW w:w="2500" w:type="dxa"/>
            <w:vAlign w:val="bottom"/>
          </w:tcPr>
          <w:p>
            <w:pPr>
              <w:ind w:left="1740"/>
              <w:spacing w:after="0"/>
              <w:rPr>
                <w:sz w:val="20"/>
                <w:szCs w:val="20"/>
                <w:color w:val="auto"/>
              </w:rPr>
            </w:pPr>
            <w:r>
              <w:rPr>
                <w:rFonts w:ascii="Arial" w:cs="Arial" w:eastAsia="Arial" w:hAnsi="Arial"/>
                <w:sz w:val="18"/>
                <w:szCs w:val="18"/>
                <w:color w:val="auto"/>
              </w:rPr>
              <w:t>-5-</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w:t>
      </w:r>
      <w:r>
        <w:rPr>
          <w:rFonts w:ascii="Arial" w:cs="Arial" w:eastAsia="Arial" w:hAnsi="Arial"/>
          <w:sz w:val="14"/>
          <w:szCs w:val="14"/>
          <w:b w:val="1"/>
          <w:bCs w:val="1"/>
          <w:i w:val="1"/>
          <w:iCs w:val="1"/>
          <w:color w:val="auto"/>
        </w:rPr>
        <w:t>XECUTION</w:t>
      </w:r>
      <w:r>
        <w:rPr>
          <w:rFonts w:ascii="Arial" w:cs="Arial" w:eastAsia="Arial" w:hAnsi="Arial"/>
          <w:sz w:val="18"/>
          <w:szCs w:val="18"/>
          <w:b w:val="1"/>
          <w:bCs w:val="1"/>
          <w:i w:val="1"/>
          <w:iCs w:val="1"/>
          <w:color w:val="auto"/>
        </w:rPr>
        <w:t xml:space="preserve"> V</w:t>
      </w:r>
      <w:r>
        <w:rPr>
          <w:rFonts w:ascii="Arial" w:cs="Arial" w:eastAsia="Arial" w:hAnsi="Arial"/>
          <w:sz w:val="14"/>
          <w:szCs w:val="14"/>
          <w:b w:val="1"/>
          <w:bCs w:val="1"/>
          <w:i w:val="1"/>
          <w:iCs w:val="1"/>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340360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NASDAQ, INC.</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Ninth Supplemental Indenture</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Dated as of December 21, 2020</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0.445% Senior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160655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6"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WELLS FARGO BANK,</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NATIONAL ASSOCIATION</w:t>
      </w:r>
      <w:r>
        <w:rPr>
          <w:rFonts w:ascii="Arial" w:cs="Arial" w:eastAsia="Arial" w:hAnsi="Arial"/>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6" w:name="page7"/>
    <w:bookmarkEnd w:id="6"/>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NINTH SUPPLEMENTAL INDENTURE, dated as of December 21, 2020 (herein called the “</w:t>
      </w:r>
      <w:r>
        <w:rPr>
          <w:rFonts w:ascii="Arial" w:cs="Arial" w:eastAsia="Arial" w:hAnsi="Arial"/>
          <w:sz w:val="18"/>
          <w:szCs w:val="18"/>
          <w:b w:val="1"/>
          <w:bCs w:val="1"/>
          <w:color w:val="auto"/>
        </w:rPr>
        <w:t>Ninth Supplemental Indenture</w:t>
      </w:r>
      <w:r>
        <w:rPr>
          <w:rFonts w:ascii="Arial" w:cs="Arial" w:eastAsia="Arial" w:hAnsi="Arial"/>
          <w:sz w:val="18"/>
          <w:szCs w:val="18"/>
          <w:color w:val="auto"/>
        </w:rPr>
        <w:t>”), between Nasdaq, Inc. (formerly The NASDAQ OMX Group, Inc.), a corporation duly organized and existing under the laws of the State of Delaware (hereinafter called the “</w:t>
      </w:r>
      <w:r>
        <w:rPr>
          <w:rFonts w:ascii="Arial" w:cs="Arial" w:eastAsia="Arial" w:hAnsi="Arial"/>
          <w:sz w:val="18"/>
          <w:szCs w:val="18"/>
          <w:b w:val="1"/>
          <w:bCs w:val="1"/>
          <w:color w:val="auto"/>
        </w:rPr>
        <w:t>Company</w:t>
      </w:r>
      <w:r>
        <w:rPr>
          <w:rFonts w:ascii="Arial" w:cs="Arial" w:eastAsia="Arial" w:hAnsi="Arial"/>
          <w:sz w:val="18"/>
          <w:szCs w:val="18"/>
          <w:color w:val="auto"/>
        </w:rPr>
        <w:t>”), and Wells Fargo Bank, National Association, a national banking association, as Trustee under the Original Indenture referred to below (hereinafter called the “</w:t>
      </w:r>
      <w:r>
        <w:rPr>
          <w:rFonts w:ascii="Arial" w:cs="Arial" w:eastAsia="Arial" w:hAnsi="Arial"/>
          <w:sz w:val="18"/>
          <w:szCs w:val="18"/>
          <w:b w:val="1"/>
          <w:bCs w:val="1"/>
          <w:color w:val="auto"/>
        </w:rPr>
        <w:t>Trustee</w:t>
      </w:r>
      <w:r>
        <w:rPr>
          <w:rFonts w:ascii="Arial" w:cs="Arial" w:eastAsia="Arial" w:hAnsi="Arial"/>
          <w:sz w:val="18"/>
          <w:szCs w:val="18"/>
          <w:color w:val="auto"/>
        </w:rPr>
        <w:t>”), as paying agent (in such capacity, the “</w:t>
      </w:r>
      <w:r>
        <w:rPr>
          <w:rFonts w:ascii="Arial" w:cs="Arial" w:eastAsia="Arial" w:hAnsi="Arial"/>
          <w:sz w:val="18"/>
          <w:szCs w:val="18"/>
          <w:b w:val="1"/>
          <w:bCs w:val="1"/>
          <w:color w:val="auto"/>
        </w:rPr>
        <w:t>Paying Agent</w:t>
      </w:r>
      <w:r>
        <w:rPr>
          <w:rFonts w:ascii="Arial" w:cs="Arial" w:eastAsia="Arial" w:hAnsi="Arial"/>
          <w:sz w:val="18"/>
          <w:szCs w:val="18"/>
          <w:color w:val="auto"/>
        </w:rPr>
        <w:t>”) and as registrar and transfer agent (until such time as a successor may be appointed by the Company) (in such capacity, the “</w:t>
      </w:r>
      <w:r>
        <w:rPr>
          <w:rFonts w:ascii="Arial" w:cs="Arial" w:eastAsia="Arial" w:hAnsi="Arial"/>
          <w:sz w:val="18"/>
          <w:szCs w:val="18"/>
          <w:b w:val="1"/>
          <w:bCs w:val="1"/>
          <w:color w:val="auto"/>
        </w:rPr>
        <w:t>Transfer Agent</w:t>
      </w:r>
      <w:r>
        <w:rPr>
          <w:rFonts w:ascii="Arial" w:cs="Arial" w:eastAsia="Arial" w:hAnsi="Arial"/>
          <w:sz w:val="18"/>
          <w:szCs w:val="18"/>
          <w:color w:val="auto"/>
        </w:rPr>
        <w:t>” and, together with the Paying Agent, the “</w:t>
      </w:r>
      <w:r>
        <w:rPr>
          <w:rFonts w:ascii="Arial" w:cs="Arial" w:eastAsia="Arial" w:hAnsi="Arial"/>
          <w:sz w:val="18"/>
          <w:szCs w:val="18"/>
          <w:b w:val="1"/>
          <w:bCs w:val="1"/>
          <w:color w:val="auto"/>
        </w:rPr>
        <w:t>Agents</w:t>
      </w:r>
      <w:r>
        <w:rPr>
          <w:rFonts w:ascii="Arial" w:cs="Arial" w:eastAsia="Arial" w:hAnsi="Arial"/>
          <w:sz w:val="18"/>
          <w:szCs w:val="18"/>
          <w:color w:val="auto"/>
        </w:rPr>
        <w:t>” and each, an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WHEREAS, the Company has heretofore executed and delivered to the Trustee an indenture dated as of June 7, 2013 (herein called the “</w:t>
      </w:r>
      <w:r>
        <w:rPr>
          <w:rFonts w:ascii="Arial" w:cs="Arial" w:eastAsia="Arial" w:hAnsi="Arial"/>
          <w:sz w:val="18"/>
          <w:szCs w:val="18"/>
          <w:b w:val="1"/>
          <w:bCs w:val="1"/>
          <w:color w:val="auto"/>
        </w:rPr>
        <w:t>Original</w:t>
      </w:r>
      <w:r>
        <w:rPr>
          <w:rFonts w:ascii="Arial" w:cs="Arial" w:eastAsia="Arial" w:hAnsi="Arial"/>
          <w:sz w:val="18"/>
          <w:szCs w:val="18"/>
          <w:color w:val="auto"/>
        </w:rPr>
        <w:t xml:space="preserve"> </w:t>
      </w:r>
      <w:r>
        <w:rPr>
          <w:rFonts w:ascii="Arial" w:cs="Arial" w:eastAsia="Arial" w:hAnsi="Arial"/>
          <w:sz w:val="18"/>
          <w:szCs w:val="18"/>
          <w:b w:val="1"/>
          <w:bCs w:val="1"/>
          <w:color w:val="auto"/>
        </w:rPr>
        <w:t>Indenture</w:t>
      </w:r>
      <w:r>
        <w:rPr>
          <w:rFonts w:ascii="Arial" w:cs="Arial" w:eastAsia="Arial" w:hAnsi="Arial"/>
          <w:sz w:val="18"/>
          <w:szCs w:val="18"/>
          <w:color w:val="auto"/>
        </w:rPr>
        <w:t>” and, together with the Ninth Supplemental Indenture, the “</w:t>
      </w:r>
      <w:r>
        <w:rPr>
          <w:rFonts w:ascii="Arial" w:cs="Arial" w:eastAsia="Arial" w:hAnsi="Arial"/>
          <w:sz w:val="18"/>
          <w:szCs w:val="18"/>
          <w:b w:val="1"/>
          <w:bCs w:val="1"/>
          <w:color w:val="auto"/>
        </w:rPr>
        <w:t>Indenture</w:t>
      </w:r>
      <w:r>
        <w:rPr>
          <w:rFonts w:ascii="Arial" w:cs="Arial" w:eastAsia="Arial" w:hAnsi="Arial"/>
          <w:sz w:val="18"/>
          <w:szCs w:val="18"/>
          <w:color w:val="auto"/>
        </w:rPr>
        <w:t>”), to provide for the issuance from time to time in one or more series</w:t>
      </w:r>
      <w:r>
        <w:rPr>
          <w:rFonts w:ascii="Arial" w:cs="Arial" w:eastAsia="Arial" w:hAnsi="Arial"/>
          <w:sz w:val="18"/>
          <w:szCs w:val="18"/>
          <w:b w:val="1"/>
          <w:bCs w:val="1"/>
          <w:color w:val="auto"/>
        </w:rPr>
        <w:t xml:space="preserve"> </w:t>
      </w:r>
      <w:r>
        <w:rPr>
          <w:rFonts w:ascii="Arial" w:cs="Arial" w:eastAsia="Arial" w:hAnsi="Arial"/>
          <w:sz w:val="18"/>
          <w:szCs w:val="18"/>
          <w:color w:val="auto"/>
        </w:rPr>
        <w:t>of its debentures, notes, bonds or other evidences of indebtedness (herein called the “</w:t>
      </w:r>
      <w:r>
        <w:rPr>
          <w:rFonts w:ascii="Arial" w:cs="Arial" w:eastAsia="Arial" w:hAnsi="Arial"/>
          <w:sz w:val="18"/>
          <w:szCs w:val="18"/>
          <w:b w:val="1"/>
          <w:bCs w:val="1"/>
          <w:color w:val="auto"/>
        </w:rPr>
        <w:t>Securities</w:t>
      </w:r>
      <w:r>
        <w:rPr>
          <w:rFonts w:ascii="Arial" w:cs="Arial" w:eastAsia="Arial" w:hAnsi="Arial"/>
          <w:sz w:val="18"/>
          <w:szCs w:val="18"/>
          <w:color w:val="auto"/>
        </w:rPr>
        <w:t>”), the form and terms of which are to be established as set forth in Sections 2.01 and 3.01 of the Original Indenture;</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WHEREAS, Section 14.01(p) of the Original Indenture provides, among other things, that the Company and the Trustee may enter into indentures supplemental to the Original Indenture to, among other things, establish the form and terms of the Securities of any series as permitted in Section 3.01 of the Original Indenture;</w:t>
      </w:r>
    </w:p>
    <w:p>
      <w:pPr>
        <w:spacing w:after="0" w:line="184"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WHEREAS, the Company desires to create one series of the Securities to be designated as its 0.445% Senior Notes due 2022 in an initial aggregate principal amount of $600,000,000 (the “</w:t>
      </w:r>
      <w:r>
        <w:rPr>
          <w:rFonts w:ascii="Arial" w:cs="Arial" w:eastAsia="Arial" w:hAnsi="Arial"/>
          <w:sz w:val="18"/>
          <w:szCs w:val="18"/>
          <w:b w:val="1"/>
          <w:bCs w:val="1"/>
          <w:color w:val="auto"/>
        </w:rPr>
        <w:t>Senior Notes</w:t>
      </w:r>
      <w:r>
        <w:rPr>
          <w:rFonts w:ascii="Arial" w:cs="Arial" w:eastAsia="Arial" w:hAnsi="Arial"/>
          <w:sz w:val="18"/>
          <w:szCs w:val="18"/>
          <w:color w:val="auto"/>
        </w:rPr>
        <w:t>”) and all action on the part of the Company necessary to authorize the issuance of the Senior Notes under the Original Indenture and this Ninth Supplemental Indenture has been duly taken;</w:t>
      </w:r>
    </w:p>
    <w:p>
      <w:pPr>
        <w:spacing w:after="0" w:line="18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WHEREAS, the Company desires to issue the Senior Notes in accordance with Section 2.4 of this Ninth Supplemental Indenture and treat the Senior Notes as a single series of Securities for all purposes, as amended or supplemented from time to time in accordance with the terms of this Ninth Supplemental Indenture and the Original Indenture; and</w:t>
      </w:r>
    </w:p>
    <w:p>
      <w:pPr>
        <w:spacing w:after="0" w:line="18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WHEREAS, all acts and things necessary to make the Senior Notes, when executed by the Company and completed, authenticated and delivered by the Trustee as provided in the Original Indenture and this Ninth Supplemental Indenture, the valid and binding obligations of the Company and to constitute a valid and binding supplemental indenture and agreement according to its terms, have been done and performed.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THIS NINTH SUPPLEMENTAL INDENTURE WITNESSETH:</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That in consideration of the premises and of the acceptance and purchase of the Senior Notes by the Holders thereof and of the acceptance of this trust by the Trustee, the Company covenants and agrees with the Trustee, for the equal benefit of Holders of the Senior Notes, as follows:</w:t>
      </w:r>
    </w:p>
    <w:p>
      <w:pPr>
        <w:sectPr>
          <w:pgSz w:w="11900" w:h="16838" w:orient="portrait"/>
          <w:cols w:equalWidth="0" w:num="1">
            <w:col w:w="11000"/>
          </w:cols>
          <w:pgMar w:left="440" w:top="270" w:right="4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 xml:space="preserve">Except to the extent such terms are otherwise defined in this Ninth Supplemental Indenture or the context clearly requires otherwise, all terms used in this Ninth Supplemental Indenture which are defined in the Original Indenture or the form of Senior Note, with respect to the Senior Notes,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have the meanings assigned to them therein.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used in this Ninth Supplemental Indenture, the following terms have the following meanings: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Amounts</w:t>
      </w:r>
      <w:r>
        <w:rPr>
          <w:rFonts w:ascii="Arial" w:cs="Arial" w:eastAsia="Arial" w:hAnsi="Arial"/>
          <w:sz w:val="18"/>
          <w:szCs w:val="18"/>
          <w:color w:val="auto"/>
        </w:rPr>
        <w:t>” has the meaning given to such term in Section 3.1(a)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Procedures</w:t>
      </w:r>
      <w:r>
        <w:rPr>
          <w:rFonts w:ascii="Arial" w:cs="Arial" w:eastAsia="Arial" w:hAnsi="Arial"/>
          <w:sz w:val="18"/>
          <w:szCs w:val="18"/>
          <w:color w:val="auto"/>
        </w:rPr>
        <w:t>” has the meaning given to such term in Section 2.8(a) hereof.</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Attributable Debt</w:t>
      </w:r>
      <w:r>
        <w:rPr>
          <w:rFonts w:ascii="Arial" w:cs="Arial" w:eastAsia="Arial" w:hAnsi="Arial"/>
          <w:sz w:val="17"/>
          <w:szCs w:val="17"/>
          <w:color w:val="auto"/>
        </w:rPr>
        <w:t>” with regard to a Sale and Lease-Back Transaction with respect to any Principal Property means, at the time of determination, the present value of the total net amount of rent required to be paid under such lease during the remaining term thereof (including any period for which such lease has been extended), discounted at the rate of interest set forth or implicit in the terms of such lease (or, if not practicable to determine such rate, the weighted average interest rate per annum borne by the securities of all series then Outstanding under the Indenture) compounded semi-annually. In the case of any lease which is terminable by the lessee upon the payment of a penalty, such net amount shall be the lesser of (x) the net amount determined assuming termination upon the first date such lease may be terminated (in which case the net amount shall also include the amount of the penalty, but shall not include any rent that would be required to be paid under such lease subsequent to the first date upon which it may be so terminated) or (y) the net amount determined assuming no such termination.</w:t>
      </w:r>
    </w:p>
    <w:p>
      <w:pPr>
        <w:spacing w:after="0" w:line="17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Laws</w:t>
      </w:r>
      <w:r>
        <w:rPr>
          <w:rFonts w:ascii="Arial" w:cs="Arial" w:eastAsia="Arial" w:hAnsi="Arial"/>
          <w:sz w:val="18"/>
          <w:szCs w:val="18"/>
          <w:color w:val="auto"/>
        </w:rPr>
        <w:t>” means Title 11, U.S. Code or any similar federal or state law for the relief of debtors (or any law involving equivalent concepts applicable outside the United States).</w:t>
      </w:r>
    </w:p>
    <w:p>
      <w:pPr>
        <w:spacing w:after="0" w:line="1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Below Investment Grade Rating Event</w:t>
      </w:r>
      <w:r>
        <w:rPr>
          <w:rFonts w:ascii="Arial" w:cs="Arial" w:eastAsia="Arial" w:hAnsi="Arial"/>
          <w:sz w:val="17"/>
          <w:szCs w:val="17"/>
          <w:color w:val="auto"/>
        </w:rPr>
        <w:t xml:space="preserve">” means the ratings of the Senior Notes are decreased from an Investment Grade Rating by each of the Rating Agencies to below an Investment Grade Rating by each of the Rating Agencies on any date during the period commencing upon the first public notice of the occurrence of a Change of Control or the Company’s intention to effect a Change of Control and ending 60 days following public notice of the occurrence of the related Change of Control (which 60-day period shall be extended so long as the rating of the Senior Notes is under publicly announced consideration for possible downgrade by any of the Rating Agencies);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Triggering Event” hereunder) if the Rating Agencies making the reduction in rating to which this definition would otherwise apply do not announce or publicly confirm or inform the Holders of the Senior Notes in writing at their request that the reduction was the result, in whole or in part, of any event or circumstance comprising or arising as a result of, or in respect of, the applicable Change of Control (whether or not the applicable Change of Control shall have occurred at the time of the Below Investment Grade Rating Event).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8" w:name="page9"/>
    <w:bookmarkEnd w:id="8"/>
    <w:p>
      <w:pPr>
        <w:ind w:right="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except a Saturday, a Sunday or a day on which banking institutions in the applicable place of payment are authorized or required by law, regulation or executive order to close.</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the occurrence of any of the following: (a) the direct or indirect sale, transfer, conveyance or other disposition (other than by way of merger or consolidation), in one or a series of related transactions, of all or substantially all of the assets of the Company and its Subsidiaries taken as a whole to any Person or group of related Persons for purposes of Section 13(d) of the Exchange Act (a “</w:t>
      </w:r>
      <w:r>
        <w:rPr>
          <w:rFonts w:ascii="Arial" w:cs="Arial" w:eastAsia="Arial" w:hAnsi="Arial"/>
          <w:sz w:val="17"/>
          <w:szCs w:val="17"/>
          <w:b w:val="1"/>
          <w:bCs w:val="1"/>
          <w:color w:val="auto"/>
        </w:rPr>
        <w:t>Group</w:t>
      </w:r>
      <w:r>
        <w:rPr>
          <w:rFonts w:ascii="Arial" w:cs="Arial" w:eastAsia="Arial" w:hAnsi="Arial"/>
          <w:sz w:val="17"/>
          <w:szCs w:val="17"/>
          <w:color w:val="auto"/>
        </w:rPr>
        <w:t>”) other than the Company or one of its Subsidiaries; (b) the approval by the holders of the Company’s common stock of any plan or proposal for the Company’s liquidation or dissolution; (c) the consummation of any transaction (including, without limitation, any merger or consolidation) the result of which is that any Person or Group becomes the beneficial owner, directly or indirectly, of more than 50% of the then outstanding number of shares of the Company’s Voting Stock; or (d) the first day on which a majority of the members of the Board of Directors are not Continuing Directors. Notwithstanding the foregoing, a transaction will not be deemed to involve a Change of Control if (1) the Company becomes a direct or indirect wholly owned Subsidiary of a holding company and (2)(A) the direct or indirect holders of the Voting Stock of such holding company immediately following that transaction are substantially the same as the holders of the Company’s Voting Stock immediately prior to that transaction or (B) immediately following that transaction no Person or Group (other than a holding company satisfying the requirements of this sentence) is the beneficial owner, directly or indirectly, of more than 50% of the Voting Stock of such holding company.</w:t>
      </w:r>
    </w:p>
    <w:p>
      <w:pPr>
        <w:spacing w:after="0" w:line="17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 Triggering Event</w:t>
      </w:r>
      <w:r>
        <w:rPr>
          <w:rFonts w:ascii="Arial" w:cs="Arial" w:eastAsia="Arial" w:hAnsi="Arial"/>
          <w:sz w:val="18"/>
          <w:szCs w:val="18"/>
          <w:color w:val="auto"/>
        </w:rPr>
        <w:t>” means the occurrence of both a Change of Control and a Below Investment Grade Rating Event occurring in respect of that Change of Control.</w:t>
      </w:r>
    </w:p>
    <w:p>
      <w:pPr>
        <w:spacing w:after="0" w:line="16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that United States Treasury security selected by the Quotation Agent as having a maturity comparable to the remaining term of the Senior Notes to be redeemed (assuming the Senior Notes matured on the Par Call Date) that would be utilized, at the time of selection and in accordance with customary financial practice, in pricing new issues of corporate notes of comparable maturity to the remaining term of the Senior Notes (assuming the Senior Notes matured on the Par Call Date).</w:t>
      </w:r>
    </w:p>
    <w:p>
      <w:pPr>
        <w:spacing w:after="0" w:line="180"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(a) the average of four Reference Treasury Dealer Quotations for such Redemption Date, after excluding the highest and lowest such Reference Treasury Dealer Quotations or (b) if the Quotation Agent obtains fewer than four such Reference Treasury Dealer Quotations, the average of all such quotations.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9" w:name="page10"/>
    <w:bookmarkEnd w:id="9"/>
    <w:p>
      <w:pPr>
        <w:ind w:left="4" w:right="100"/>
        <w:spacing w:after="0" w:line="31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5"/>
          <w:szCs w:val="15"/>
          <w:b w:val="1"/>
          <w:bCs w:val="1"/>
          <w:color w:val="auto"/>
        </w:rPr>
        <w:t>Consolidated Net Tangible Assets</w:t>
      </w:r>
      <w:r>
        <w:rPr>
          <w:rFonts w:ascii="Arial" w:cs="Arial" w:eastAsia="Arial" w:hAnsi="Arial"/>
          <w:sz w:val="15"/>
          <w:szCs w:val="15"/>
          <w:color w:val="auto"/>
        </w:rPr>
        <w:t>” means, at any date, the aggregate amount of assets (less applicable reserves) of the Company and its Subsidiaries after deducting therefrom (a) all goodwill, trade names, trademarks, patents, unamortized debt discount and expense and other like intangibles and</w:t>
      </w:r>
    </w:p>
    <w:p>
      <w:pPr>
        <w:ind w:left="4" w:right="80" w:hanging="4"/>
        <w:spacing w:after="0" w:line="253" w:lineRule="auto"/>
        <w:tabs>
          <w:tab w:leader="none" w:pos="259"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current liabilities (excluding any current liability for money borrowed having a maturity of less than 12 months but by its terms is renewable or extendible beyond 12 months from such date at the option of the borrower), all as reflected in the Company’s most recent consolidated balance sheet as at the end of its fiscal quarter ending not more than 135 days prior to such date, prepared in accordance with United States generally accepted accounting principles.</w:t>
      </w:r>
    </w:p>
    <w:p>
      <w:pPr>
        <w:spacing w:after="0" w:line="189" w:lineRule="exact"/>
        <w:rPr>
          <w:sz w:val="20"/>
          <w:szCs w:val="20"/>
          <w:color w:val="auto"/>
        </w:rPr>
      </w:pPr>
    </w:p>
    <w:p>
      <w:pPr>
        <w:ind w:left="4"/>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Continuing Directors</w:t>
      </w:r>
      <w:r>
        <w:rPr>
          <w:rFonts w:ascii="Arial" w:cs="Arial" w:eastAsia="Arial" w:hAnsi="Arial"/>
          <w:sz w:val="16"/>
          <w:szCs w:val="16"/>
          <w:color w:val="auto"/>
        </w:rPr>
        <w:t>” means, as of any date of determination, any member of the Board of Directors who (a) was a member of the Board of Directors on the Issue Date or (b) was nominated or approved for election, elected or appointed to the Board of Directors with the approval of a majority of the Continuing Directors who were members of the Board of Directors at the time of such nomination, approval, election or appointment (either by a specific vote or by approval of the proxy statement issued by the Company in which such member was named as a nominee for election as a director).</w:t>
      </w:r>
    </w:p>
    <w:p>
      <w:pPr>
        <w:spacing w:after="0" w:line="151" w:lineRule="exact"/>
        <w:rPr>
          <w:sz w:val="20"/>
          <w:szCs w:val="20"/>
          <w:color w:val="auto"/>
        </w:rPr>
      </w:pPr>
    </w:p>
    <w:p>
      <w:pPr>
        <w:ind w:left="4" w:right="1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Definitive Securities</w:t>
      </w:r>
      <w:r>
        <w:rPr>
          <w:rFonts w:ascii="Arial" w:cs="Arial" w:eastAsia="Arial" w:hAnsi="Arial"/>
          <w:sz w:val="17"/>
          <w:szCs w:val="17"/>
          <w:color w:val="auto"/>
        </w:rPr>
        <w:t xml:space="preserve">” means certificated Securities registered in the name of the Holder thereof and issued in accordance with Section 2.3(b) hereof,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except that each such Security shall not bear the Global Security Legend.</w:t>
      </w:r>
    </w:p>
    <w:p>
      <w:pPr>
        <w:spacing w:after="0" w:line="140" w:lineRule="exact"/>
        <w:rPr>
          <w:sz w:val="20"/>
          <w:szCs w:val="20"/>
          <w:color w:val="auto"/>
        </w:rPr>
      </w:pPr>
    </w:p>
    <w:p>
      <w:pPr>
        <w:ind w:left="4"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notwithstanding Section 3.03(h) of the Original Indenture, with respect to Securities issuable or issued in whole or in part in the form of one more Global Securities, DTC, together with any Person succeeding thereto by merger, consolidation or acquisition of all or substantially all of its assets, including substantially all of its securities payment and transfer operations.</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DTC</w:t>
      </w:r>
      <w:r>
        <w:rPr>
          <w:rFonts w:ascii="Arial" w:cs="Arial" w:eastAsia="Arial" w:hAnsi="Arial"/>
          <w:sz w:val="16"/>
          <w:szCs w:val="16"/>
          <w:color w:val="auto"/>
        </w:rPr>
        <w:t>” means The Depository Trust Company, a New York corporation, having a principal office at 55 Water Street, New York, New York 10041-0099.</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Termination Date</w:t>
      </w:r>
      <w:r>
        <w:rPr>
          <w:rFonts w:ascii="Arial" w:cs="Arial" w:eastAsia="Arial" w:hAnsi="Arial"/>
          <w:sz w:val="18"/>
          <w:szCs w:val="18"/>
          <w:color w:val="auto"/>
        </w:rPr>
        <w:t>” has the meaning given to such term in Section 4.4(a).</w:t>
      </w:r>
    </w:p>
    <w:p>
      <w:pPr>
        <w:spacing w:after="0" w:line="225" w:lineRule="exact"/>
        <w:rPr>
          <w:sz w:val="20"/>
          <w:szCs w:val="20"/>
          <w:color w:val="auto"/>
        </w:rPr>
      </w:pPr>
    </w:p>
    <w:p>
      <w:pPr>
        <w:ind w:left="4" w:right="6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Foreign Successor Issuer</w:t>
      </w:r>
      <w:r>
        <w:rPr>
          <w:rFonts w:ascii="Arial" w:cs="Arial" w:eastAsia="Arial" w:hAnsi="Arial"/>
          <w:sz w:val="16"/>
          <w:szCs w:val="16"/>
          <w:color w:val="auto"/>
        </w:rPr>
        <w:t>” means any entity that is organized in a jurisdiction other than the United States, any state thereof or the District of Columbia and becomes a successor of the Company as a result of a merger of the Company with and into such entity after the date hereof.</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 Legend</w:t>
      </w:r>
      <w:r>
        <w:rPr>
          <w:rFonts w:ascii="Arial" w:cs="Arial" w:eastAsia="Arial" w:hAnsi="Arial"/>
          <w:sz w:val="18"/>
          <w:szCs w:val="18"/>
          <w:color w:val="auto"/>
        </w:rPr>
        <w:t>” means the legend set forth in Section 3.03(g) of the Original Indenture.</w:t>
      </w:r>
    </w:p>
    <w:p>
      <w:pPr>
        <w:spacing w:after="0" w:line="225" w:lineRule="exact"/>
        <w:rPr>
          <w:sz w:val="20"/>
          <w:szCs w:val="20"/>
          <w:color w:val="auto"/>
        </w:rPr>
      </w:pPr>
    </w:p>
    <w:p>
      <w:pPr>
        <w:ind w:left="4"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any indebtedness (whether being principal, premium, interest or other amounts) for or in respect of any notes, bonds, debentures or other instruments for money borrowed or any borrowed money or any liability under or in respect of any banker’s acceptance (other than a daylight overdraft).</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0"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Indirect Participant</w:t>
      </w:r>
      <w:r>
        <w:rPr>
          <w:rFonts w:ascii="Arial" w:cs="Arial" w:eastAsia="Arial" w:hAnsi="Arial"/>
          <w:sz w:val="18"/>
          <w:szCs w:val="18"/>
          <w:color w:val="auto"/>
        </w:rPr>
        <w:t>” means a Person who holds a beneficial interest in a Global Security through a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June 21 and December 21 of each year.</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 Grade Rating</w:t>
      </w:r>
      <w:r>
        <w:rPr>
          <w:rFonts w:ascii="Arial" w:cs="Arial" w:eastAsia="Arial" w:hAnsi="Arial"/>
          <w:sz w:val="17"/>
          <w:szCs w:val="17"/>
          <w:color w:val="auto"/>
        </w:rPr>
        <w:t>” means a rating equal to or higher than Baa3 (or the equivalent) by Moody’s and BBB- (or the equivalent) by S&amp;P or the equivalent investment grade credit rating from any additional Rating Agency or Rating Agencies selected by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Issue Date</w:t>
      </w:r>
      <w:r>
        <w:rPr>
          <w:rFonts w:ascii="Arial" w:cs="Arial" w:eastAsia="Arial" w:hAnsi="Arial"/>
          <w:sz w:val="17"/>
          <w:szCs w:val="17"/>
          <w:color w:val="auto"/>
        </w:rPr>
        <w:t>” means December 21, 2020, the date on which the Senior Notes are originally issued under this Ninth Supplemental Indenture.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mortgage, deed of trust, hypothecation, pledge, security interest, charge or encumbrance of any kind.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Redemption Price</w:t>
      </w:r>
      <w:r>
        <w:rPr>
          <w:rFonts w:ascii="Arial" w:cs="Arial" w:eastAsia="Arial" w:hAnsi="Arial"/>
          <w:sz w:val="18"/>
          <w:szCs w:val="18"/>
          <w:color w:val="auto"/>
        </w:rPr>
        <w:t>” has the meaning given to such term in Section 4.1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 subsidiary of Moody’s Corporation, and its successors.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 Call Date</w:t>
      </w:r>
      <w:r>
        <w:rPr>
          <w:rFonts w:ascii="Arial" w:cs="Arial" w:eastAsia="Arial" w:hAnsi="Arial"/>
          <w:sz w:val="18"/>
          <w:szCs w:val="18"/>
          <w:color w:val="auto"/>
        </w:rPr>
        <w:t>” has the meaning given to such term in Section 4.1(a)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with respect to the Depositary, a Person who has an account with the Depositary.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121" w:lineRule="exact"/>
        <w:rPr>
          <w:sz w:val="20"/>
          <w:szCs w:val="20"/>
          <w:color w:val="auto"/>
        </w:rPr>
      </w:pPr>
    </w:p>
    <w:p>
      <w:pPr>
        <w:ind w:left="440" w:right="160" w:firstLine="419"/>
        <w:spacing w:after="0" w:line="342" w:lineRule="auto"/>
        <w:tabs>
          <w:tab w:leader="none" w:pos="1108" w:val="left"/>
        </w:tabs>
        <w:numPr>
          <w:ilvl w:val="0"/>
          <w:numId w:val="5"/>
        </w:numPr>
        <w:rPr>
          <w:rFonts w:ascii="Arial" w:cs="Arial" w:eastAsia="Arial" w:hAnsi="Arial"/>
          <w:sz w:val="16"/>
          <w:szCs w:val="16"/>
          <w:color w:val="auto"/>
        </w:rPr>
      </w:pPr>
      <w:r>
        <w:rPr>
          <w:rFonts w:ascii="Arial" w:cs="Arial" w:eastAsia="Arial" w:hAnsi="Arial"/>
          <w:sz w:val="16"/>
          <w:szCs w:val="16"/>
          <w:color w:val="auto"/>
        </w:rPr>
        <w:t>Liens imposed by law or any governmental authority for taxes, assessments, levies or charges that are not yet overdue by more than 60 days or are being contested in good faith (and, if necessary, by appropriate proceedings) or for commitments that have not been violated;</w:t>
      </w:r>
    </w:p>
    <w:p>
      <w:pPr>
        <w:spacing w:after="0" w:line="15" w:lineRule="exact"/>
        <w:rPr>
          <w:rFonts w:ascii="Arial" w:cs="Arial" w:eastAsia="Arial" w:hAnsi="Arial"/>
          <w:sz w:val="16"/>
          <w:szCs w:val="16"/>
          <w:color w:val="auto"/>
        </w:rPr>
      </w:pPr>
    </w:p>
    <w:p>
      <w:pPr>
        <w:ind w:left="440" w:firstLine="419"/>
        <w:spacing w:after="0" w:line="263" w:lineRule="auto"/>
        <w:tabs>
          <w:tab w:leader="none" w:pos="1118" w:val="left"/>
        </w:tabs>
        <w:numPr>
          <w:ilvl w:val="0"/>
          <w:numId w:val="5"/>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landlords’ and similar Liens imposed by law, or which arise by operation of law and which are incurred in the ordinary course of business or where the validity or amount thereof is being contested in good faith (and, if necessary, by appropriate proceedings);</w:t>
      </w:r>
    </w:p>
    <w:p>
      <w:pPr>
        <w:spacing w:after="0" w:line="75" w:lineRule="exact"/>
        <w:rPr>
          <w:rFonts w:ascii="Arial" w:cs="Arial" w:eastAsia="Arial" w:hAnsi="Arial"/>
          <w:sz w:val="18"/>
          <w:szCs w:val="18"/>
          <w:color w:val="auto"/>
        </w:rPr>
      </w:pPr>
    </w:p>
    <w:p>
      <w:pPr>
        <w:jc w:val="both"/>
        <w:ind w:left="440" w:right="20" w:firstLine="419"/>
        <w:spacing w:after="0" w:line="263" w:lineRule="auto"/>
        <w:tabs>
          <w:tab w:leader="none" w:pos="1108"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incurred or pledges or deposits made in compliance with workers’ compensation, pension liabilities, unemployment insurance and other social security laws or regulations or other insurance-related obligations (including, without limitation, pledges or deposits securing liability to insurance carriers under insurance or self-insurance arrangements);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0" w:right="499" w:bottom="1440" w:gutter="0" w:footer="0" w:header="0"/>
        </w:sectPr>
      </w:pPr>
    </w:p>
    <w:bookmarkStart w:id="11" w:name="page12"/>
    <w:bookmarkEnd w:id="11"/>
    <w:p>
      <w:pPr>
        <w:ind w:left="4" w:right="280" w:firstLine="419"/>
        <w:spacing w:after="0" w:line="263" w:lineRule="auto"/>
        <w:tabs>
          <w:tab w:leader="none" w:pos="681" w:val="left"/>
        </w:tabs>
        <w:numPr>
          <w:ilvl w:val="1"/>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Liens incurred or pledges or deposits made to secure the performance of bids, trade contracts, tenders, leases, statutory obligations, surety, customs and appeal bonds, performance bonds, customer deposits and other obligations of a similar nature, in each case in the ordinary course of business;</w:t>
      </w:r>
    </w:p>
    <w:p>
      <w:pPr>
        <w:spacing w:after="0" w:line="75" w:lineRule="exact"/>
        <w:rPr>
          <w:rFonts w:ascii="Arial" w:cs="Arial" w:eastAsia="Arial" w:hAnsi="Arial"/>
          <w:sz w:val="18"/>
          <w:szCs w:val="18"/>
          <w:color w:val="auto"/>
        </w:rPr>
      </w:pPr>
    </w:p>
    <w:p>
      <w:pPr>
        <w:ind w:left="4" w:right="420" w:firstLine="419"/>
        <w:spacing w:after="0" w:line="277" w:lineRule="auto"/>
        <w:tabs>
          <w:tab w:leader="none" w:pos="671" w:val="left"/>
        </w:tabs>
        <w:numPr>
          <w:ilvl w:val="1"/>
          <w:numId w:val="6"/>
        </w:numPr>
        <w:rPr>
          <w:rFonts w:ascii="Arial" w:cs="Arial" w:eastAsia="Arial" w:hAnsi="Arial"/>
          <w:sz w:val="18"/>
          <w:szCs w:val="18"/>
          <w:color w:val="auto"/>
        </w:rPr>
      </w:pPr>
      <w:r>
        <w:rPr>
          <w:rFonts w:ascii="Arial" w:cs="Arial" w:eastAsia="Arial" w:hAnsi="Arial"/>
          <w:sz w:val="18"/>
          <w:szCs w:val="18"/>
          <w:color w:val="auto"/>
        </w:rPr>
        <w:t>judgment Liens in respect of judgments, decrees, orders of any court or in connection with legal proceedings or actions at law or in equity that do not constitute an Event of Default under the Indenture;</w:t>
      </w:r>
    </w:p>
    <w:p>
      <w:pPr>
        <w:spacing w:after="0" w:line="62" w:lineRule="exact"/>
        <w:rPr>
          <w:rFonts w:ascii="Arial" w:cs="Arial" w:eastAsia="Arial" w:hAnsi="Arial"/>
          <w:sz w:val="18"/>
          <w:szCs w:val="18"/>
          <w:color w:val="auto"/>
        </w:rPr>
      </w:pPr>
    </w:p>
    <w:p>
      <w:pPr>
        <w:ind w:left="4" w:firstLine="419"/>
        <w:spacing w:after="0" w:line="257" w:lineRule="auto"/>
        <w:tabs>
          <w:tab w:leader="none" w:pos="651" w:val="left"/>
        </w:tabs>
        <w:numPr>
          <w:ilvl w:val="1"/>
          <w:numId w:val="6"/>
        </w:numPr>
        <w:rPr>
          <w:rFonts w:ascii="Arial" w:cs="Arial" w:eastAsia="Arial" w:hAnsi="Arial"/>
          <w:sz w:val="18"/>
          <w:szCs w:val="18"/>
          <w:color w:val="auto"/>
        </w:rPr>
      </w:pPr>
      <w:r>
        <w:rPr>
          <w:rFonts w:ascii="Arial" w:cs="Arial" w:eastAsia="Arial" w:hAnsi="Arial"/>
          <w:sz w:val="18"/>
          <w:szCs w:val="18"/>
          <w:color w:val="auto"/>
        </w:rPr>
        <w:t>Liens arising in connection with the operations of the Company or any Subsidiary relating to clearing, depository, matched principal, regulated exchange or settlement activities, including without limitation, Liens on securities sold by the Company or any of its Subsidiaries in repurchase agreements, reverse repurchase agreements, sell-buy-back and buy-sell-back agreements, securities lending and borrowing agreements and any other similar agreement or transaction entered into in the ordinary course of clearing, depository, matched principal and settlement operations or in the management of liabilities;</w:t>
      </w:r>
    </w:p>
    <w:p>
      <w:pPr>
        <w:spacing w:after="0" w:line="79" w:lineRule="exact"/>
        <w:rPr>
          <w:rFonts w:ascii="Arial" w:cs="Arial" w:eastAsia="Arial" w:hAnsi="Arial"/>
          <w:sz w:val="18"/>
          <w:szCs w:val="18"/>
          <w:color w:val="auto"/>
        </w:rPr>
      </w:pPr>
    </w:p>
    <w:p>
      <w:pPr>
        <w:ind w:left="684" w:hanging="261"/>
        <w:spacing w:after="0"/>
        <w:tabs>
          <w:tab w:leader="none" w:pos="684"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Liens on (1) any property or asset prior to the acquisition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 may only extend to such property or asset or</w:t>
      </w:r>
    </w:p>
    <w:p>
      <w:pPr>
        <w:spacing w:after="0" w:line="46" w:lineRule="exact"/>
        <w:rPr>
          <w:rFonts w:ascii="Arial" w:cs="Arial" w:eastAsia="Arial" w:hAnsi="Arial"/>
          <w:sz w:val="16"/>
          <w:szCs w:val="16"/>
          <w:color w:val="auto"/>
        </w:rPr>
      </w:pPr>
    </w:p>
    <w:p>
      <w:pPr>
        <w:ind w:left="4" w:right="120" w:hanging="4"/>
        <w:spacing w:after="0" w:line="281" w:lineRule="auto"/>
        <w:tabs>
          <w:tab w:leader="none" w:pos="258"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property of a Significant Subsidiary where (A) such Significant Subsidiary becomes a Subsidiary after December 7, 2020, (B)(i) the Lien exists at the time such Significant Subsidiary becomes a Subsidiary or (ii) was incurred pursuant to contractual commitments entered into before such Subsidiary became a Subsidiary, (C) the Lien was not created in contemplation of such Significant Subsidiary becoming a Subsidiary and</w:t>
      </w:r>
    </w:p>
    <w:p>
      <w:pPr>
        <w:spacing w:after="0" w:line="1" w:lineRule="exact"/>
        <w:rPr>
          <w:rFonts w:ascii="Arial" w:cs="Arial" w:eastAsia="Arial" w:hAnsi="Arial"/>
          <w:sz w:val="16"/>
          <w:szCs w:val="16"/>
          <w:color w:val="auto"/>
        </w:rPr>
      </w:pPr>
    </w:p>
    <w:p>
      <w:pPr>
        <w:ind w:left="4" w:right="500"/>
        <w:spacing w:after="0" w:line="260" w:lineRule="auto"/>
        <w:rPr>
          <w:rFonts w:ascii="Arial" w:cs="Arial" w:eastAsia="Arial" w:hAnsi="Arial"/>
          <w:sz w:val="16"/>
          <w:szCs w:val="16"/>
          <w:color w:val="auto"/>
        </w:rPr>
      </w:pPr>
      <w:r>
        <w:rPr>
          <w:rFonts w:ascii="Arial" w:cs="Arial" w:eastAsia="Arial" w:hAnsi="Arial"/>
          <w:sz w:val="18"/>
          <w:szCs w:val="18"/>
          <w:color w:val="auto"/>
        </w:rPr>
        <w:t>(D) the principal amount secured by the Lien at the time such Significant Subsidiary becomes a Subsidiary is not subsequently increased or extended to any other assets other than those owned by the entity becoming a Subsidiary;</w:t>
      </w:r>
    </w:p>
    <w:p>
      <w:pPr>
        <w:spacing w:after="0" w:line="77" w:lineRule="exact"/>
        <w:rPr>
          <w:rFonts w:ascii="Arial" w:cs="Arial" w:eastAsia="Arial" w:hAnsi="Arial"/>
          <w:sz w:val="16"/>
          <w:szCs w:val="16"/>
          <w:color w:val="auto"/>
        </w:rPr>
      </w:pPr>
    </w:p>
    <w:p>
      <w:pPr>
        <w:ind w:left="684" w:hanging="261"/>
        <w:spacing w:after="0"/>
        <w:tabs>
          <w:tab w:leader="none" w:pos="68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Lien existing on the Issue Date;</w:t>
      </w:r>
    </w:p>
    <w:p>
      <w:pPr>
        <w:spacing w:after="0" w:line="117" w:lineRule="exact"/>
        <w:rPr>
          <w:rFonts w:ascii="Arial" w:cs="Arial" w:eastAsia="Arial" w:hAnsi="Arial"/>
          <w:sz w:val="18"/>
          <w:szCs w:val="18"/>
          <w:color w:val="auto"/>
        </w:rPr>
      </w:pPr>
    </w:p>
    <w:p>
      <w:pPr>
        <w:ind w:left="4" w:right="100" w:firstLine="419"/>
        <w:spacing w:after="0" w:line="257" w:lineRule="auto"/>
        <w:tabs>
          <w:tab w:leader="none" w:pos="641"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Liens upon fixed, capital, real and/or tangible personal property acquired after December 7, 2020 (by purchase, construction, development, improvement, capital lease, Synthetic Lease or otherwise) by the Company or any Significant Subsidiary, each of which Liens was created for the purpose of securing Indebtedness representing, or incurred to finance, refinance or refund, the cost (including the cost of construction, development or improvement) of such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Lien shall extend to or cover any property other than the property so acquired and improvements thereon;</w:t>
      </w:r>
    </w:p>
    <w:p>
      <w:pPr>
        <w:spacing w:after="0" w:line="79" w:lineRule="exact"/>
        <w:rPr>
          <w:rFonts w:ascii="Arial" w:cs="Arial" w:eastAsia="Arial" w:hAnsi="Arial"/>
          <w:sz w:val="18"/>
          <w:szCs w:val="18"/>
          <w:color w:val="auto"/>
        </w:rPr>
      </w:pPr>
    </w:p>
    <w:p>
      <w:pPr>
        <w:ind w:left="644" w:hanging="221"/>
        <w:spacing w:after="0"/>
        <w:tabs>
          <w:tab w:leader="none" w:pos="644" w:val="left"/>
        </w:tabs>
        <w:numPr>
          <w:ilvl w:val="1"/>
          <w:numId w:val="7"/>
        </w:numPr>
        <w:rPr>
          <w:rFonts w:ascii="Arial" w:cs="Arial" w:eastAsia="Arial" w:hAnsi="Arial"/>
          <w:sz w:val="18"/>
          <w:szCs w:val="18"/>
          <w:color w:val="auto"/>
        </w:rPr>
      </w:pPr>
      <w:r>
        <w:rPr>
          <w:rFonts w:ascii="Arial" w:cs="Arial" w:eastAsia="Arial" w:hAnsi="Arial"/>
          <w:sz w:val="18"/>
          <w:szCs w:val="18"/>
          <w:color w:val="auto"/>
        </w:rPr>
        <w:t>Liens in favor of the Company or any Subsidiary;</w:t>
      </w:r>
    </w:p>
    <w:p>
      <w:pPr>
        <w:spacing w:after="0" w:line="117" w:lineRule="exact"/>
        <w:rPr>
          <w:rFonts w:ascii="Arial" w:cs="Arial" w:eastAsia="Arial" w:hAnsi="Arial"/>
          <w:sz w:val="18"/>
          <w:szCs w:val="18"/>
          <w:color w:val="auto"/>
        </w:rPr>
      </w:pPr>
    </w:p>
    <w:p>
      <w:pPr>
        <w:ind w:left="684" w:hanging="261"/>
        <w:spacing w:after="0"/>
        <w:tabs>
          <w:tab w:leader="none" w:pos="684" w:val="left"/>
        </w:tabs>
        <w:numPr>
          <w:ilvl w:val="1"/>
          <w:numId w:val="7"/>
        </w:numPr>
        <w:rPr>
          <w:rFonts w:ascii="Arial" w:cs="Arial" w:eastAsia="Arial" w:hAnsi="Arial"/>
          <w:sz w:val="18"/>
          <w:szCs w:val="18"/>
          <w:color w:val="auto"/>
        </w:rPr>
      </w:pPr>
      <w:r>
        <w:rPr>
          <w:rFonts w:ascii="Arial" w:cs="Arial" w:eastAsia="Arial" w:hAnsi="Arial"/>
          <w:sz w:val="18"/>
          <w:szCs w:val="18"/>
          <w:color w:val="auto"/>
        </w:rPr>
        <w:t>Liens arising from the sale of accounts receivable for which fair equivalent value is received;</w:t>
      </w:r>
    </w:p>
    <w:p>
      <w:pPr>
        <w:spacing w:after="0" w:line="117" w:lineRule="exact"/>
        <w:rPr>
          <w:rFonts w:ascii="Arial" w:cs="Arial" w:eastAsia="Arial" w:hAnsi="Arial"/>
          <w:sz w:val="18"/>
          <w:szCs w:val="18"/>
          <w:color w:val="auto"/>
        </w:rPr>
      </w:pPr>
    </w:p>
    <w:p>
      <w:pPr>
        <w:ind w:left="4" w:right="100" w:firstLine="419"/>
        <w:spacing w:after="0" w:line="279" w:lineRule="auto"/>
        <w:tabs>
          <w:tab w:leader="none" w:pos="641" w:val="left"/>
        </w:tabs>
        <w:numPr>
          <w:ilvl w:val="1"/>
          <w:numId w:val="7"/>
        </w:numPr>
        <w:rPr>
          <w:rFonts w:ascii="Arial" w:cs="Arial" w:eastAsia="Arial" w:hAnsi="Arial"/>
          <w:sz w:val="17"/>
          <w:szCs w:val="17"/>
          <w:color w:val="auto"/>
        </w:rPr>
      </w:pPr>
      <w:r>
        <w:rPr>
          <w:rFonts w:ascii="Arial" w:cs="Arial" w:eastAsia="Arial" w:hAnsi="Arial"/>
          <w:sz w:val="17"/>
          <w:szCs w:val="17"/>
          <w:color w:val="auto"/>
        </w:rPr>
        <w:t xml:space="preserve">any extension, renewal or replacement (or successive extensions, renewals or replacements) in whole or in part, of any Liens referred to in the foregoing clauses (f), (g), (h), (i), (j) and (k);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principal amount of Indebtedness secured thereby and not otherwise authorized as a Permitted Lien shall not exceed the principal amount of Indebtedness, plus any premium or fee payable in connection with any such extension, renewal or replacement, so secured at the time of such extension, renewal or replacement;</w:t>
      </w:r>
    </w:p>
    <w:p>
      <w:pPr>
        <w:spacing w:after="0" w:line="104"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24"/>
          </w:cols>
          <w:pgMar w:left="876" w:top="274" w:right="499" w:bottom="1440" w:gutter="0" w:footer="0" w:header="0"/>
        </w:sectPr>
      </w:pPr>
    </w:p>
    <w:bookmarkStart w:id="12" w:name="page13"/>
    <w:bookmarkEnd w:id="12"/>
    <w:p>
      <w:pPr>
        <w:ind w:left="440" w:right="400" w:firstLine="419"/>
        <w:spacing w:after="0" w:line="263" w:lineRule="auto"/>
        <w:tabs>
          <w:tab w:leader="none" w:pos="1168"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Liens securing obligations of the Company or any Subsidiary of the Company in respect of any swap agreements or other hedging arrangements entered into (1) in the ordinary course of business and for non-speculative purposes or (2) solely in order to serve clearing, depository, regulated exchange or settlement activities in respect thereof;</w:t>
      </w:r>
    </w:p>
    <w:p>
      <w:pPr>
        <w:spacing w:after="0" w:line="75" w:lineRule="exact"/>
        <w:rPr>
          <w:rFonts w:ascii="Arial" w:cs="Arial" w:eastAsia="Arial" w:hAnsi="Arial"/>
          <w:sz w:val="18"/>
          <w:szCs w:val="18"/>
          <w:color w:val="auto"/>
        </w:rPr>
      </w:pPr>
    </w:p>
    <w:p>
      <w:pPr>
        <w:ind w:left="440" w:firstLine="419"/>
        <w:spacing w:after="0" w:line="279" w:lineRule="auto"/>
        <w:tabs>
          <w:tab w:leader="none" w:pos="1118" w:val="left"/>
        </w:tabs>
        <w:numPr>
          <w:ilvl w:val="0"/>
          <w:numId w:val="8"/>
        </w:numPr>
        <w:rPr>
          <w:rFonts w:ascii="Arial" w:cs="Arial" w:eastAsia="Arial" w:hAnsi="Arial"/>
          <w:sz w:val="17"/>
          <w:szCs w:val="17"/>
          <w:color w:val="auto"/>
        </w:rPr>
      </w:pPr>
      <w:r>
        <w:rPr>
          <w:rFonts w:ascii="Arial" w:cs="Arial" w:eastAsia="Arial" w:hAnsi="Arial"/>
          <w:sz w:val="17"/>
          <w:szCs w:val="17"/>
          <w:color w:val="auto"/>
        </w:rPr>
        <w:t>easements, zoning restrictions, minor title defects, irregularities or imperfections, restrictions on use, rights of way, leases, subleases and similar charges and other similar encumbrances on real property imposed by law or arising in the ordinary course of business that do not secure any monetary obligations (other than customary maintenance requirements) and which could not reasonably be expected to have a material adverse effect on the business or financial condition of the Company and its Subsidiaries taken as a whole;</w:t>
      </w:r>
    </w:p>
    <w:p>
      <w:pPr>
        <w:spacing w:after="0" w:line="63" w:lineRule="exact"/>
        <w:rPr>
          <w:rFonts w:ascii="Arial" w:cs="Arial" w:eastAsia="Arial" w:hAnsi="Arial"/>
          <w:sz w:val="17"/>
          <w:szCs w:val="17"/>
          <w:color w:val="auto"/>
        </w:rPr>
      </w:pPr>
    </w:p>
    <w:p>
      <w:pPr>
        <w:ind w:left="440" w:right="120" w:firstLine="419"/>
        <w:spacing w:after="0" w:line="277" w:lineRule="auto"/>
        <w:tabs>
          <w:tab w:leader="none" w:pos="1118" w:val="left"/>
        </w:tabs>
        <w:numPr>
          <w:ilvl w:val="0"/>
          <w:numId w:val="8"/>
        </w:numPr>
        <w:rPr>
          <w:rFonts w:ascii="Arial" w:cs="Arial" w:eastAsia="Arial" w:hAnsi="Arial"/>
          <w:sz w:val="18"/>
          <w:szCs w:val="18"/>
          <w:color w:val="auto"/>
        </w:rPr>
      </w:pPr>
      <w:r>
        <w:rPr>
          <w:rFonts w:ascii="Arial" w:cs="Arial" w:eastAsia="Arial" w:hAnsi="Arial"/>
          <w:sz w:val="18"/>
          <w:szCs w:val="18"/>
          <w:color w:val="auto"/>
        </w:rPr>
        <w:t>Liens created in connection with any share repurchase program in favor of any broker, dealer, custodian, trustee or agent administering or effecting transactions pursuant to a share repurchase program; and</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8"/>
        </w:numPr>
        <w:rPr>
          <w:rFonts w:ascii="Arial" w:cs="Arial" w:eastAsia="Arial" w:hAnsi="Arial"/>
          <w:sz w:val="18"/>
          <w:szCs w:val="18"/>
          <w:color w:val="auto"/>
        </w:rPr>
      </w:pPr>
      <w:r>
        <w:rPr>
          <w:rFonts w:ascii="Arial" w:cs="Arial" w:eastAsia="Arial" w:hAnsi="Arial"/>
          <w:sz w:val="18"/>
          <w:szCs w:val="18"/>
          <w:color w:val="auto"/>
        </w:rPr>
        <w:t>Liens consisting of an agreement to sell, transfer or dispose of any asset or property (to the extent such sale, transfer or disposition is not prohibited by Section 6.04 of the Original Indenture).</w:t>
      </w:r>
    </w:p>
    <w:p>
      <w:pPr>
        <w:spacing w:after="0" w:line="16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firm, limited liability company, corporation, partnership, association, joint venture, tribunal, trust, government or political subdivision or agency or instrumentality thereof, or any other entity or organization and includes a “person” as used in Section 13(d)(3) of the Exchange Act.</w:t>
      </w:r>
    </w:p>
    <w:p>
      <w:pPr>
        <w:spacing w:after="0" w:line="17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 Property</w:t>
      </w:r>
      <w:r>
        <w:rPr>
          <w:rFonts w:ascii="Arial" w:cs="Arial" w:eastAsia="Arial" w:hAnsi="Arial"/>
          <w:sz w:val="16"/>
          <w:szCs w:val="16"/>
          <w:color w:val="auto"/>
        </w:rPr>
        <w:t>” means the land, improvements, buildings and fixtures (including any leasehold interest therein) constituting a corporate office, facility or other capital asset which is owned or leased by the Company or any of its Significant Subsidiaries the net book value of which on the date as of which the determination is being made exceeds 2% of Consolidated Net Tangible Assets, unless the Board of Directors has determined in good faith that such office, facility or capital asset is not of material importance to the total business conducted by the Company and its Significant Subsidiaries taken as a whole. With respect to any Sale and Lease-Back Transaction or series of related Sale and Lease-Back Transactions, the determination of whether any property is a Principal Property shall be determined by reference to all properties affected by such transaction or series of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a Reference Treasury Dealer appointed by the Company.</w:t>
      </w:r>
    </w:p>
    <w:p>
      <w:pPr>
        <w:spacing w:after="0" w:line="16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13" w:name="page14"/>
    <w:bookmarkEnd w:id="13"/>
    <w:p>
      <w:pPr>
        <w:ind w:right="20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Rating Agencies</w:t>
      </w:r>
      <w:r>
        <w:rPr>
          <w:rFonts w:ascii="Arial" w:cs="Arial" w:eastAsia="Arial" w:hAnsi="Arial"/>
          <w:sz w:val="18"/>
          <w:szCs w:val="18"/>
          <w:color w:val="auto"/>
        </w:rPr>
        <w:t>” means (a) each of Moody’s and S&amp;P and (b) if any of Moody’s or S&amp;P ceases to rate the Senior Notes or fails to make a rating of the Senior Notes publicly available for reasons outside of the Company’s control, a “nationally recognized statistical rating organization” within the meaning of Section 3(a)(62) of the Exchange Act, that the Company selects (as certified by an executive officer of the Company) as a replacement agency for Moody’s or S&amp;P, or both of them, as the case may be.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Record Date</w:t>
      </w:r>
      <w:r>
        <w:rPr>
          <w:rFonts w:ascii="Arial" w:cs="Arial" w:eastAsia="Arial" w:hAnsi="Arial"/>
          <w:sz w:val="17"/>
          <w:szCs w:val="17"/>
          <w:color w:val="auto"/>
        </w:rPr>
        <w:t>” means June 6 and December 6, whether or not a Business Day, immediately preceding the applicable Interest Payment Date.</w:t>
      </w:r>
    </w:p>
    <w:p>
      <w:pPr>
        <w:spacing w:after="0" w:line="23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means each of (i) J.P. Morgan Securities LLC, BofA Securities, Inc., Goldman Sachs &amp; Co. LLC and Morgan Stanley &amp; Co. LLC (or their respective affiliates that are primary U.S. Government securities dealers in New York City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any of the foregoing shall cease to be a Primary Treasury Dealer, the Company will substitute therefor another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Dealer; and (ii) any other Primary Treasury Dealer selected by the Company.</w:t>
      </w:r>
    </w:p>
    <w:p>
      <w:pPr>
        <w:spacing w:after="0" w:line="18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Taxing Jurisdiction</w:t>
      </w:r>
      <w:r>
        <w:rPr>
          <w:rFonts w:ascii="Arial" w:cs="Arial" w:eastAsia="Arial" w:hAnsi="Arial"/>
          <w:sz w:val="18"/>
          <w:szCs w:val="18"/>
          <w:color w:val="auto"/>
        </w:rPr>
        <w:t>” has the meaning given to such term in Section 3.1(a)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S&amp;P Global Ratings (a division of S&amp;P Global Inc.) or any successor to the rating agency business thereof.</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and Lease-Back Transaction</w:t>
      </w:r>
      <w:r>
        <w:rPr>
          <w:rFonts w:ascii="Arial" w:cs="Arial" w:eastAsia="Arial" w:hAnsi="Arial"/>
          <w:sz w:val="18"/>
          <w:szCs w:val="18"/>
          <w:color w:val="auto"/>
        </w:rPr>
        <w:t>” means any arrangement with any Person providing for the leasing by the Company or any of its Significant Subsidiaries of any Principal Property, whether now owned or hereafter acquired, which Principal Property has been or is to be sold or transferred by the Company or such Significant Subsidiary to such Person.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Notes</w:t>
      </w:r>
      <w:r>
        <w:rPr>
          <w:rFonts w:ascii="Arial" w:cs="Arial" w:eastAsia="Arial" w:hAnsi="Arial"/>
          <w:sz w:val="18"/>
          <w:szCs w:val="18"/>
          <w:color w:val="auto"/>
        </w:rPr>
        <w:t>” has the meaning given to such term in the preamble hereof.</w:t>
      </w:r>
    </w:p>
    <w:p>
      <w:pPr>
        <w:spacing w:after="0" w:line="22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Subsidiary</w:t>
      </w:r>
      <w:r>
        <w:rPr>
          <w:rFonts w:ascii="Arial" w:cs="Arial" w:eastAsia="Arial" w:hAnsi="Arial"/>
          <w:sz w:val="18"/>
          <w:szCs w:val="18"/>
          <w:color w:val="auto"/>
        </w:rPr>
        <w:t>” with respect to any Person, means any Subsidiary of such Person that satisfies the criteria for a “significant subsidiary” set forth in Rule l-02(w) of Regulation S-X under the Exchange 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Mandatory Redemption Date</w:t>
      </w:r>
      <w:r>
        <w:rPr>
          <w:rFonts w:ascii="Arial" w:cs="Arial" w:eastAsia="Arial" w:hAnsi="Arial"/>
          <w:sz w:val="18"/>
          <w:szCs w:val="18"/>
          <w:color w:val="auto"/>
        </w:rPr>
        <w:t>” has the meaning given to such term in Section 4.4(b).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Mandatory Redemption End Date</w:t>
      </w:r>
      <w:r>
        <w:rPr>
          <w:rFonts w:ascii="Arial" w:cs="Arial" w:eastAsia="Arial" w:hAnsi="Arial"/>
          <w:sz w:val="18"/>
          <w:szCs w:val="18"/>
          <w:color w:val="auto"/>
        </w:rPr>
        <w:t>” has the meaning given to such term in Section 4.4(a).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Mandatory Redemption Price</w:t>
      </w:r>
      <w:r>
        <w:rPr>
          <w:rFonts w:ascii="Arial" w:cs="Arial" w:eastAsia="Arial" w:hAnsi="Arial"/>
          <w:sz w:val="18"/>
          <w:szCs w:val="18"/>
          <w:color w:val="auto"/>
        </w:rPr>
        <w:t>” has the meaning given to such term in Section 4.4(a).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Mandatory Redemption Trigger Date</w:t>
      </w:r>
      <w:r>
        <w:rPr>
          <w:rFonts w:ascii="Arial" w:cs="Arial" w:eastAsia="Arial" w:hAnsi="Arial"/>
          <w:sz w:val="18"/>
          <w:szCs w:val="18"/>
          <w:color w:val="auto"/>
        </w:rPr>
        <w:t>” has the meaning given to such term in Section 4.4(a).</w:t>
      </w:r>
    </w:p>
    <w:p>
      <w:pPr>
        <w:spacing w:after="0" w:line="16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0"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Subject Lien</w:t>
      </w:r>
      <w:r>
        <w:rPr>
          <w:rFonts w:ascii="Arial" w:cs="Arial" w:eastAsia="Arial" w:hAnsi="Arial"/>
          <w:sz w:val="18"/>
          <w:szCs w:val="18"/>
          <w:color w:val="auto"/>
        </w:rPr>
        <w:t>” has the meaning given to such term in Section 3.2(a) hereof.</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limited liability company or other similar type of business entity in which the Company and/or one or more of its subsidiaries together own more than 50% of the total voting power of shares of Capital Stock entitled (without regard to the occurrence of any contingency) to vote in the election of the board of directors or similar governing body of such corporation, limited liability company or other similar type of business entity, directly or indirectly.</w:t>
      </w:r>
    </w:p>
    <w:p>
      <w:pPr>
        <w:spacing w:after="0" w:line="180" w:lineRule="exact"/>
        <w:rPr>
          <w:sz w:val="20"/>
          <w:szCs w:val="20"/>
          <w:color w:val="auto"/>
        </w:rPr>
      </w:pPr>
    </w:p>
    <w:p>
      <w:pPr>
        <w:jc w:val="both"/>
        <w:ind w:right="2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Substitute Rating Agency</w:t>
      </w:r>
      <w:r>
        <w:rPr>
          <w:rFonts w:ascii="Arial" w:cs="Arial" w:eastAsia="Arial" w:hAnsi="Arial"/>
          <w:sz w:val="17"/>
          <w:szCs w:val="17"/>
          <w:color w:val="auto"/>
        </w:rPr>
        <w:t>” means, in the Company’s discretion at any time and from time to time, Fitch, Inc. or any other “nationally recognized statistical rating organization” within the meaning of Section 3(a)(62) of the Exchange Act selected by the Company (as certified to the Trustee by a resolution of the Board of Directors) as a replacement agency for Moody’s or S&amp;P, or either of them, as the case may be.</w:t>
      </w:r>
    </w:p>
    <w:p>
      <w:pPr>
        <w:spacing w:after="0" w:line="158" w:lineRule="exact"/>
        <w:rPr>
          <w:sz w:val="20"/>
          <w:szCs w:val="20"/>
          <w:color w:val="auto"/>
        </w:rPr>
      </w:pPr>
    </w:p>
    <w:p>
      <w:pPr>
        <w:ind w:right="52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Synthetic Lease</w:t>
      </w:r>
      <w:r>
        <w:rPr>
          <w:rFonts w:ascii="Arial" w:cs="Arial" w:eastAsia="Arial" w:hAnsi="Arial"/>
          <w:sz w:val="17"/>
          <w:szCs w:val="17"/>
          <w:color w:val="auto"/>
        </w:rPr>
        <w:t>” means any tax retention or other synthetic lease which is treated as an operating lease under United States generally accepted accounting principles, but the liabilities under which are or would be characterized as indebtedness for tax purposes.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has the meaning given to such term in Section 3.1(a) hereof.</w:t>
      </w:r>
    </w:p>
    <w:p>
      <w:pPr>
        <w:spacing w:after="0" w:line="225"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Verafin Transaction</w:t>
      </w:r>
      <w:r>
        <w:rPr>
          <w:rFonts w:ascii="Arial" w:cs="Arial" w:eastAsia="Arial" w:hAnsi="Arial"/>
          <w:sz w:val="18"/>
          <w:szCs w:val="18"/>
          <w:color w:val="auto"/>
        </w:rPr>
        <w:t>” means the Company’s acquisition of Verafin.</w:t>
      </w:r>
    </w:p>
    <w:p>
      <w:pPr>
        <w:spacing w:after="0" w:line="225"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Verafin Transaction Agreement</w:t>
      </w:r>
      <w:r>
        <w:rPr>
          <w:rFonts w:ascii="Arial" w:cs="Arial" w:eastAsia="Arial" w:hAnsi="Arial"/>
          <w:sz w:val="17"/>
          <w:szCs w:val="17"/>
          <w:color w:val="auto"/>
        </w:rPr>
        <w:t>” means that certain Share Purchase Agreement, dated as of November 18, 2020, among the Company, Osprey Acquisition Corporation, a wholly owned subsidiary of the Company, Verafin Holdings Inc. (“</w:t>
      </w:r>
      <w:r>
        <w:rPr>
          <w:rFonts w:ascii="Arial" w:cs="Arial" w:eastAsia="Arial" w:hAnsi="Arial"/>
          <w:sz w:val="17"/>
          <w:szCs w:val="17"/>
          <w:b w:val="1"/>
          <w:bCs w:val="1"/>
          <w:color w:val="auto"/>
        </w:rPr>
        <w:t>Verafin</w:t>
      </w:r>
      <w:r>
        <w:rPr>
          <w:rFonts w:ascii="Arial" w:cs="Arial" w:eastAsia="Arial" w:hAnsi="Arial"/>
          <w:sz w:val="17"/>
          <w:szCs w:val="17"/>
          <w:color w:val="auto"/>
        </w:rPr>
        <w:t>”), certain shareholders of Verafin, and Shareholder Representative Services LLC, solely in its capacity as the representative of the selling shareholders.</w:t>
      </w:r>
    </w:p>
    <w:p>
      <w:pPr>
        <w:spacing w:after="0" w:line="15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of any specified Person as of any date means the capital stock of such Person that is at the time entitled to vote generally in the election of the board of directors of such Person.</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TWO</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TERMS AND ISSUANCE OF THE SENIOR NOTES</w:t>
      </w:r>
    </w:p>
    <w:p>
      <w:pPr>
        <w:spacing w:after="0" w:line="225" w:lineRule="exact"/>
        <w:rPr>
          <w:sz w:val="20"/>
          <w:szCs w:val="20"/>
          <w:color w:val="auto"/>
        </w:rPr>
      </w:pPr>
    </w:p>
    <w:p>
      <w:pPr>
        <w:jc w:val="both"/>
        <w:ind w:right="440" w:firstLine="440"/>
        <w:spacing w:after="0" w:line="26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Issue of Senior Notes</w:t>
      </w:r>
      <w:r>
        <w:rPr>
          <w:rFonts w:ascii="Arial" w:cs="Arial" w:eastAsia="Arial" w:hAnsi="Arial"/>
          <w:sz w:val="18"/>
          <w:szCs w:val="18"/>
          <w:color w:val="auto"/>
        </w:rPr>
        <w:t>. A series of Securities which shall be designated the “0.445% Senior Notes due 2022” shall be executed, authenticated and delivered in accordance with the provisions of, and shall in all respects be subject to the terms, conditions and covenants of, the Original Indenture and this Ninth Supplemental Indenture (including the form of such</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40" w:top="270" w:right="539" w:bottom="1440" w:gutter="0" w:footer="0" w:header="0"/>
        </w:sectPr>
      </w:pPr>
    </w:p>
    <w:bookmarkStart w:id="15" w:name="page16"/>
    <w:bookmarkEnd w:id="15"/>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Senior Notes set forth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aggregate principal amount of Senior Notes which may be authenticated and delivered under this Ninth Supplemental Indenture shall not, except as permitted by the provisions of the Original Indenture, initially exceed $600,000,000;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may from time to time or at any time, without the consent of the Holders of the Senior Notes, issue additional Senior Notes of the same or a different series in an unlimited aggregate principal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such additional Senior Notes are not fungible with the Senior Notes (or any other tranche of additional Senior Notes) for U.S. federal income tax purposes, then such additional Senior Notes will have different CUSIP numbers than the Senior Notes (or any such other tranche of additional Senior Notes).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2.2. Interest Rate Adjustment</w:t>
      </w:r>
    </w:p>
    <w:p>
      <w:pPr>
        <w:spacing w:after="0" w:line="225" w:lineRule="exact"/>
        <w:rPr>
          <w:sz w:val="20"/>
          <w:szCs w:val="20"/>
          <w:color w:val="auto"/>
        </w:rPr>
      </w:pPr>
    </w:p>
    <w:p>
      <w:pPr>
        <w:ind w:right="80" w:firstLine="436"/>
        <w:spacing w:after="0" w:line="342" w:lineRule="auto"/>
        <w:tabs>
          <w:tab w:leader="none" w:pos="68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interest rate payable on the Senior Notes will be subject to adjustment from time to time if either Moody’s or S&amp;P, or, in either case, any Substitute Rating Agency downgrades (or subsequently upgrades) the credit rating assigned to the Senior Notes, in the manner described below.</w:t>
      </w:r>
    </w:p>
    <w:p>
      <w:pPr>
        <w:spacing w:after="0" w:line="123" w:lineRule="exact"/>
        <w:rPr>
          <w:rFonts w:ascii="Arial" w:cs="Arial" w:eastAsia="Arial" w:hAnsi="Arial"/>
          <w:sz w:val="16"/>
          <w:szCs w:val="16"/>
          <w:color w:val="auto"/>
        </w:rPr>
      </w:pPr>
    </w:p>
    <w:p>
      <w:pPr>
        <w:ind w:right="80" w:firstLine="436"/>
        <w:spacing w:after="0" w:line="263"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rating from Moody’s (or any Substitute Rating Agency) of the Senior Notes is decreased to a rating set forth in the immediately following table, the interest rate on the Senior Notes will increase such that it will equal the interest rate payable on the Senior Notes on the Issue Date plus the percentage set forth opposite the ratings from the table below:</w:t>
      </w:r>
    </w:p>
    <w:p>
      <w:pPr>
        <w:spacing w:after="0" w:line="202"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Moody’s Rating*</w:t>
            </w:r>
          </w:p>
        </w:tc>
        <w:tc>
          <w:tcPr>
            <w:tcW w:w="566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Percentage</w:t>
            </w:r>
          </w:p>
        </w:tc>
      </w:tr>
      <w:tr>
        <w:trPr>
          <w:trHeight w:val="203"/>
        </w:trPr>
        <w:tc>
          <w:tcPr>
            <w:tcW w:w="10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Ba1</w:t>
            </w:r>
          </w:p>
        </w:tc>
        <w:tc>
          <w:tcPr>
            <w:tcW w:w="56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0.25%</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Ba2</w:t>
            </w:r>
          </w:p>
        </w:tc>
        <w:tc>
          <w:tcPr>
            <w:tcW w:w="6400" w:type="dxa"/>
            <w:vAlign w:val="bottom"/>
            <w:gridSpan w:val="3"/>
          </w:tcPr>
          <w:p>
            <w:pPr>
              <w:jc w:val="right"/>
              <w:ind w:right="60"/>
              <w:spacing w:after="0"/>
              <w:rPr>
                <w:sz w:val="20"/>
                <w:szCs w:val="20"/>
                <w:color w:val="auto"/>
              </w:rPr>
            </w:pPr>
            <w:r>
              <w:rPr>
                <w:rFonts w:ascii="Arial" w:cs="Arial" w:eastAsia="Arial" w:hAnsi="Arial"/>
                <w:sz w:val="18"/>
                <w:szCs w:val="18"/>
                <w:color w:val="auto"/>
              </w:rPr>
              <w:t>0.50%</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Ba3</w:t>
            </w:r>
          </w:p>
        </w:tc>
        <w:tc>
          <w:tcPr>
            <w:tcW w:w="6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B1 or below</w:t>
            </w:r>
          </w:p>
        </w:tc>
        <w:tc>
          <w:tcPr>
            <w:tcW w:w="64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bl>
    <w:p>
      <w:pPr>
        <w:spacing w:after="0" w:line="214" w:lineRule="exact"/>
        <w:rPr>
          <w:sz w:val="20"/>
          <w:szCs w:val="20"/>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Including the equivalent ratings of any Substitute Rating Agency.</w:t>
      </w:r>
    </w:p>
    <w:p>
      <w:pPr>
        <w:spacing w:after="0" w:line="225" w:lineRule="exact"/>
        <w:rPr>
          <w:rFonts w:ascii="Arial" w:cs="Arial" w:eastAsia="Arial" w:hAnsi="Arial"/>
          <w:sz w:val="18"/>
          <w:szCs w:val="18"/>
          <w:color w:val="auto"/>
        </w:rPr>
      </w:pPr>
    </w:p>
    <w:p>
      <w:pPr>
        <w:jc w:val="both"/>
        <w:ind w:right="160" w:firstLine="436"/>
        <w:spacing w:after="0" w:line="263" w:lineRule="auto"/>
        <w:tabs>
          <w:tab w:leader="none" w:pos="685"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the rating from S&amp;P (or any Substitute Rating Agency) of the Senior Notes is decreased to a rating set forth in the immediately following table, the interest rate on the Senior Notes will increase such that it will equal the interest rate payable on the Senior Notes on the Issue Date plus the percentage set forth opposite the ratings from the table below:</w:t>
      </w:r>
    </w:p>
    <w:p>
      <w:pPr>
        <w:spacing w:after="0" w:line="202"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S&amp;P Rating*</w:t>
            </w:r>
          </w:p>
        </w:tc>
        <w:tc>
          <w:tcPr>
            <w:tcW w:w="59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Percentage</w:t>
            </w:r>
          </w:p>
        </w:tc>
      </w:tr>
      <w:tr>
        <w:trPr>
          <w:trHeight w:val="203"/>
        </w:trPr>
        <w:tc>
          <w:tcPr>
            <w:tcW w:w="6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BB+</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0.25%</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BB</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B+ or below</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bl>
    <w:p>
      <w:pPr>
        <w:spacing w:after="0" w:line="214" w:lineRule="exact"/>
        <w:rPr>
          <w:sz w:val="20"/>
          <w:szCs w:val="20"/>
          <w:color w:val="auto"/>
        </w:rPr>
      </w:pPr>
    </w:p>
    <w:p>
      <w:pPr>
        <w:jc w:val="right"/>
        <w:ind w:left="5360" w:right="5220" w:hanging="4932"/>
        <w:spacing w:after="0" w:line="535" w:lineRule="auto"/>
        <w:tabs>
          <w:tab w:leader="none" w:pos="974"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Including the equivalent ratings of any Substitute Rating Agency. -10-</w:t>
      </w:r>
    </w:p>
    <w:p>
      <w:pPr>
        <w:sectPr>
          <w:pgSz w:w="11900" w:h="16838" w:orient="portrait"/>
          <w:cols w:equalWidth="0" w:num="1">
            <w:col w:w="10900"/>
          </w:cols>
          <w:pgMar w:left="440" w:top="274" w:right="559" w:bottom="1440" w:gutter="0" w:footer="0" w:header="0"/>
        </w:sectPr>
      </w:pPr>
    </w:p>
    <w:bookmarkStart w:id="16" w:name="page17"/>
    <w:bookmarkEnd w:id="16"/>
    <w:p>
      <w:pPr>
        <w:ind w:left="4" w:firstLine="436"/>
        <w:spacing w:after="0" w:line="269" w:lineRule="auto"/>
        <w:tabs>
          <w:tab w:leader="none" w:pos="699" w:val="left"/>
        </w:tabs>
        <w:numPr>
          <w:ilvl w:val="1"/>
          <w:numId w:val="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at any time the interest rate on the Senior Notes has been adjusted upward and either Moody’s or S&amp;P (or, in either case, a Substitute Rating Agency), as the case may be, subsequently increases its rating of the Senior Notes to any of the threshold ratings set forth above, the interest rate on the Senior Notes shall be decreased such that the interest rate for the Senior Notes shall equal the interest rate payable on the Senior Notes on the Issue Date plus the percentages set forth opposite the ratings from the tables in Sections 2.2(b) and (c) in effect immediately following the increase in rating. If Moody’s (or any Substitute Rating Agency) subsequently increases its rating of the Senior Notes to Baa3 (or its equivalent, in the case of a Substitute Rating Agency) or higher, and S&amp;P (or any Substitute Rating Agency) increases its rating to BBB- (or its equivalent, in the case of a Substitute Rating Agency) or higher, the interest rate on the Senior Notes will be decreased to the interest rate payable on the Senior Notes on the Issue Date. In addition, the interest rate on the Senior Notes will permanently cease to be subject to any adjustment described above (notwithstanding any subsequent decrease in the ratings by either or both Rating Agencies (or any Substitute Rating Agency)) if the Senior Notes become rated Baa1 and BBB+ (or the equivalent of either such rating, in the case of a Substitute Rating Agency) or higher by each of Moody’s and S&amp;P (or, in either case, a Substitute Rating Agency thereof), respectively (or by one Rating Agency in the event the Senior Notes are only rated by one Rating Agency and the Company has not obtained ratings from a Substitute Rating Agency).</w:t>
      </w:r>
    </w:p>
    <w:p>
      <w:pPr>
        <w:spacing w:after="0" w:line="70" w:lineRule="exact"/>
        <w:rPr>
          <w:rFonts w:ascii="Arial" w:cs="Arial" w:eastAsia="Arial" w:hAnsi="Arial"/>
          <w:sz w:val="17"/>
          <w:szCs w:val="17"/>
          <w:color w:val="auto"/>
        </w:rPr>
      </w:pPr>
    </w:p>
    <w:p>
      <w:pPr>
        <w:ind w:left="4" w:right="100" w:firstLine="436"/>
        <w:spacing w:after="0" w:line="279" w:lineRule="auto"/>
        <w:tabs>
          <w:tab w:leader="none" w:pos="689" w:val="left"/>
        </w:tabs>
        <w:numPr>
          <w:ilvl w:val="1"/>
          <w:numId w:val="12"/>
        </w:numPr>
        <w:rPr>
          <w:rFonts w:ascii="Arial" w:cs="Arial" w:eastAsia="Arial" w:hAnsi="Arial"/>
          <w:sz w:val="17"/>
          <w:szCs w:val="17"/>
          <w:color w:val="auto"/>
        </w:rPr>
      </w:pPr>
      <w:r>
        <w:rPr>
          <w:rFonts w:ascii="Arial" w:cs="Arial" w:eastAsia="Arial" w:hAnsi="Arial"/>
          <w:sz w:val="17"/>
          <w:szCs w:val="17"/>
          <w:color w:val="auto"/>
        </w:rPr>
        <w:t>Each adjustment required by any decrease or increase in a rating set forth above, whether occasioned by the action of Moody’s or S&amp;P (or, in either case, a Substitute Rating Agency), shall be made independent of any and all other adjustments, provided, however, that in no event shall (1) the interest rate for the Senior Notes be reduced to below the interest rate payable on the Senior Notes on the Issue Date or (2) the total increase in the interest rate on the Senior Notes exceed 2.00% above the interest rate payable on the Senior Notes on the Issue Date.</w:t>
      </w:r>
    </w:p>
    <w:p>
      <w:pPr>
        <w:spacing w:after="0" w:line="63" w:lineRule="exact"/>
        <w:rPr>
          <w:rFonts w:ascii="Arial" w:cs="Arial" w:eastAsia="Arial" w:hAnsi="Arial"/>
          <w:sz w:val="17"/>
          <w:szCs w:val="17"/>
          <w:color w:val="auto"/>
        </w:rPr>
      </w:pPr>
    </w:p>
    <w:p>
      <w:pPr>
        <w:ind w:left="4" w:right="120" w:firstLine="436"/>
        <w:spacing w:after="0" w:line="285" w:lineRule="auto"/>
        <w:tabs>
          <w:tab w:leader="none" w:pos="669" w:val="left"/>
        </w:tabs>
        <w:numPr>
          <w:ilvl w:val="1"/>
          <w:numId w:val="12"/>
        </w:numPr>
        <w:rPr>
          <w:rFonts w:ascii="Arial" w:cs="Arial" w:eastAsia="Arial" w:hAnsi="Arial"/>
          <w:sz w:val="16"/>
          <w:szCs w:val="16"/>
          <w:color w:val="auto"/>
        </w:rPr>
      </w:pPr>
      <w:r>
        <w:rPr>
          <w:rFonts w:ascii="Arial" w:cs="Arial" w:eastAsia="Arial" w:hAnsi="Arial"/>
          <w:sz w:val="16"/>
          <w:szCs w:val="16"/>
          <w:color w:val="auto"/>
        </w:rPr>
        <w:t>No adjustments in the interest rate of the Senior Notes shall be made solely as a result of a Rating Agency ceasing to provide a rating of the Senior Notes. If at any time Moody’s or S&amp;P ceases to provide a rating of the Senior Notes for any reason, the Company will use its commercially reasonable efforts to obtain a rating of the Senior Notes from a Substitute Rating Agency, to the extent one exists, and if a Substitute Rating Agency exists, for purposes of determining any increase or decrease in the interest rate on the Senior Notes pursuant to the tables above, (a) such Substitute Rating Agency will be substituted for the last Rating Agency to provide a rating of the Senior Notes but which has since ceased to provide such rating,</w:t>
      </w:r>
    </w:p>
    <w:p>
      <w:pPr>
        <w:spacing w:after="0" w:line="1" w:lineRule="exact"/>
        <w:rPr>
          <w:rFonts w:ascii="Arial" w:cs="Arial" w:eastAsia="Arial" w:hAnsi="Arial"/>
          <w:sz w:val="16"/>
          <w:szCs w:val="16"/>
          <w:color w:val="auto"/>
        </w:rPr>
      </w:pPr>
    </w:p>
    <w:p>
      <w:pPr>
        <w:ind w:left="4" w:right="180" w:hanging="4"/>
        <w:spacing w:after="0" w:line="287" w:lineRule="auto"/>
        <w:tabs>
          <w:tab w:leader="none" w:pos="25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relative rating scale used by such Substitute Rating Agency to assign ratings to senior unsecured debt will be determined in good faith by an independent investment banking institution of national standing appointed by the Company and, for purposes of determining the applicable ratings included in the applicable table above with respect to such Substitute Rating Agency, such ratings will be deemed to be the equivalent ratings used by Moody’s or S&amp;P, as applicable, in such table and (c) the interest rate on the Senior Notes will increase or decrease, as the case may be, such that the interest rate equals the interest rate payable on the Senior Notes on the Issue Date plus the appropriate percentage, if any, set forth opposite the rating from such Substitute Rating Agency in the applicable table above (taking into account the provisions of clause (b) above) (plus any applicable percentage resulting from a decreased rating by the other Rating Agency). For so long as only one of Moody’s or S&amp;P provides a rating of the Senior Notes and no Substitute Rating Agency is offered to replace the other Rating Agency, any</w:t>
      </w:r>
    </w:p>
    <w:p>
      <w:pPr>
        <w:spacing w:after="0" w:line="10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4"/>
          </w:cols>
          <w:pgMar w:left="436" w:top="274" w:right="499" w:bottom="1440" w:gutter="0" w:footer="0" w:header="0"/>
        </w:sectPr>
      </w:pPr>
    </w:p>
    <w:bookmarkStart w:id="17" w:name="page18"/>
    <w:bookmarkEnd w:id="1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subsequent increase or decrease in the interest rate of the Senior Notes necessitated by a reduction or increase in the rating by the agency providing the rating shall be twice the percentage set forth in the applicable table above. For so long as none of Moody’s, S&amp;P or a Substitute Rating Agency provides a rating of the Senior Notes, the interest rate on the Senior Notes will increase to, or remain at, as the case may be, 2.00% above the interest rate payable on the Senior Notes on the Issue Date.</w:t>
      </w:r>
    </w:p>
    <w:p>
      <w:pPr>
        <w:spacing w:after="0" w:line="79" w:lineRule="exact"/>
        <w:rPr>
          <w:sz w:val="20"/>
          <w:szCs w:val="20"/>
          <w:color w:val="auto"/>
        </w:rPr>
      </w:pPr>
    </w:p>
    <w:p>
      <w:pPr>
        <w:ind w:right="140" w:firstLine="436"/>
        <w:spacing w:after="0" w:line="277"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interest rate increase or decrease described in this Section 2.2 will take effect on the next Business Day after the day on which the rating change has occurred.</w:t>
      </w:r>
    </w:p>
    <w:p>
      <w:pPr>
        <w:spacing w:after="0" w:line="62" w:lineRule="exact"/>
        <w:rPr>
          <w:rFonts w:ascii="Arial" w:cs="Arial" w:eastAsia="Arial" w:hAnsi="Arial"/>
          <w:sz w:val="18"/>
          <w:szCs w:val="18"/>
          <w:color w:val="auto"/>
        </w:rPr>
      </w:pPr>
    </w:p>
    <w:p>
      <w:pPr>
        <w:ind w:right="220" w:firstLine="436"/>
        <w:spacing w:after="0" w:line="277"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interest rate payable on the Senior Notes is increased as described above, the term “interest,” as used with respect to the Senior Notes, will be deemed to include any such additional interest unless the context otherwise requires.</w:t>
      </w:r>
    </w:p>
    <w:p>
      <w:pPr>
        <w:spacing w:after="0" w:line="62" w:lineRule="exact"/>
        <w:rPr>
          <w:rFonts w:ascii="Arial" w:cs="Arial" w:eastAsia="Arial" w:hAnsi="Arial"/>
          <w:sz w:val="18"/>
          <w:szCs w:val="18"/>
          <w:color w:val="auto"/>
        </w:rPr>
      </w:pPr>
    </w:p>
    <w:p>
      <w:pPr>
        <w:ind w:right="80" w:firstLine="436"/>
        <w:spacing w:after="0" w:line="275"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shall promptly notify the Paying Agent on becoming aware of any decrease in the rating assigned to the Senior Notes by either Moody’s or S&amp;P (or any Substitute Rating Agency). The Trustee shall not be responsible for and makes no representation as to any act or omission of any Rating Agency or any rating with respect to the Senior Notes or the selection of a Substitute Rating agency. The Trustee shall have no obligation to independently determine or verify if an event has occurred or notify the holders of any event dependent upon the rating of the Senior Notes, or if the rating on the Senior Notes has been changed, suspended or withdrawn by any Rating Agency.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Form of Senior Notes; Incorporation of Terms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3" w:lineRule="auto"/>
        <w:tabs>
          <w:tab w:leader="none" w:pos="685"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Each of the Senior Notes shall be issued initially in the form of one or more Global Securities and, together with the Authenticating Agent’s certificate of authentication thereon, shall be in substantially the form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The Senior Notes may have such notations, legends or endorsements approved as to form by the Company and required, as applicable, by law, stock exchange or depository rules and agreements to which the Company is subject and/or usage. The terms of the Senior Notes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are herein incorporated by reference and are part of the terms of this Ninth Supplemental Indenture. The Senior Notes shall be issued in fully registered form without coupons only in minimum denominations of $2,000 and integral multiples of $1,000 in excess thereof.</w:t>
      </w:r>
    </w:p>
    <w:p>
      <w:pPr>
        <w:spacing w:after="0" w:line="69" w:lineRule="exact"/>
        <w:rPr>
          <w:rFonts w:ascii="Arial" w:cs="Arial" w:eastAsia="Arial" w:hAnsi="Arial"/>
          <w:sz w:val="17"/>
          <w:szCs w:val="17"/>
          <w:color w:val="auto"/>
        </w:rPr>
      </w:pPr>
    </w:p>
    <w:p>
      <w:pPr>
        <w:ind w:right="60" w:firstLine="436"/>
        <w:spacing w:after="0" w:line="290" w:lineRule="auto"/>
        <w:tabs>
          <w:tab w:leader="none" w:pos="6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Each of the Senior Notes issued in global form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(including the Global Security Legend thereon). Senior Notes issued in definitive certificated form in accordance with the terms of the Original Indenture and this Ninth Supplemental Indenture, if any,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(but without the Global Security Legend thereon). Each Global Security shall represent such of the outstanding Senior Notes as shall be specified therein and each shall provide that it shall represent the aggregate principal amount of Outstanding Senior Notes from time to time endorsed thereon and that the aggregate principal amount of outstanding Senior Notes represented thereby may from time to time be reduced or increased, as appropriate, to reflect exchanges and redemptions. Any endorsement of a Global Security to reflect the amount of any increase or decrease in the aggregate principal amount of Outstanding Senior Notes represented thereby shall be made by the Transfer Agent in accordance with instructions given by the Holder thereof as required by Section 2.9 hereof.</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8" w:name="page19"/>
    <w:bookmarkEnd w:id="18"/>
    <w:p>
      <w:pPr>
        <w:ind w:right="2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2.4. </w:t>
      </w:r>
      <w:r>
        <w:rPr>
          <w:rFonts w:ascii="Arial" w:cs="Arial" w:eastAsia="Arial" w:hAnsi="Arial"/>
          <w:sz w:val="17"/>
          <w:szCs w:val="17"/>
          <w:i w:val="1"/>
          <w:iCs w:val="1"/>
          <w:color w:val="auto"/>
        </w:rPr>
        <w:t>Execution and Authentication</w:t>
      </w:r>
      <w:r>
        <w:rPr>
          <w:rFonts w:ascii="Arial" w:cs="Arial" w:eastAsia="Arial" w:hAnsi="Arial"/>
          <w:sz w:val="17"/>
          <w:szCs w:val="17"/>
          <w:color w:val="auto"/>
        </w:rPr>
        <w:t>. The Trustee, upon a Company Order and pursuant to the terms of the Original Indenture and this Ninth Supplemental Indenture, shall authenticate and deliver the Senior Notes for original issue in an initial aggregate principal amount of $600,000,000. Such Company Order shall specify the amount of the Senior Notes to be authenticated, the date on which the original issue of Senior Notes is to be authenticated and the aggregate principal amount of Senior Notes outstanding on the date of authentication. All of the Senior Notes issued under this Ninth Supplemental Indenture shall be treated as a single series for all purposes under the Original Indenture and this Ninth Supplemental Indenture, including, without limitation, waivers, amendments and offers to purchase.</w:t>
      </w:r>
    </w:p>
    <w:p>
      <w:pPr>
        <w:spacing w:after="0" w:line="178"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i w:val="1"/>
          <w:iCs w:val="1"/>
          <w:color w:val="auto"/>
        </w:rPr>
        <w:t>Depositary for Global Securities</w:t>
      </w:r>
      <w:r>
        <w:rPr>
          <w:rFonts w:ascii="Arial" w:cs="Arial" w:eastAsia="Arial" w:hAnsi="Arial"/>
          <w:sz w:val="18"/>
          <w:szCs w:val="18"/>
          <w:color w:val="auto"/>
        </w:rPr>
        <w:t>. The Depositary for the Senior Notes issued under this Ninth Supplemental Indenture shall be DTC in the City of New York.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i w:val="1"/>
          <w:iCs w:val="1"/>
          <w:color w:val="auto"/>
        </w:rPr>
        <w:t>[Reserved].</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i w:val="1"/>
          <w:iCs w:val="1"/>
          <w:color w:val="auto"/>
        </w:rPr>
        <w:t>Place of Payment</w:t>
      </w:r>
      <w:r>
        <w:rPr>
          <w:rFonts w:ascii="Arial" w:cs="Arial" w:eastAsia="Arial" w:hAnsi="Arial"/>
          <w:sz w:val="18"/>
          <w:szCs w:val="18"/>
          <w:color w:val="auto"/>
        </w:rPr>
        <w:t>. The Place of Payment in respect of the Senior Notes shall initially be at the office or agency of the Paying Agent at 150 East 42nd Street, 40</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10017, until such time as the Company designates an alternate place of payment. The Paying Agent for the Senior Notes shall be the Trustee.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i w:val="1"/>
          <w:iCs w:val="1"/>
          <w:color w:val="auto"/>
        </w:rPr>
        <w:t>Transfer and Exchange</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68" w:lineRule="auto"/>
        <w:tabs>
          <w:tab w:leader="none" w:pos="68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transfer and exchange of beneficial interests in the Global Securities shall be effected through the Depositary, in accordance with the provisions of the Original Indenture, this Ninth Supplemental Indenture and the then applicable procedures of the Depositary (the “</w:t>
      </w:r>
      <w:r>
        <w:rPr>
          <w:rFonts w:ascii="Arial" w:cs="Arial" w:eastAsia="Arial" w:hAnsi="Arial"/>
          <w:sz w:val="17"/>
          <w:szCs w:val="17"/>
          <w:b w:val="1"/>
          <w:bCs w:val="1"/>
          <w:color w:val="auto"/>
        </w:rPr>
        <w:t>Applicable</w:t>
      </w:r>
      <w:r>
        <w:rPr>
          <w:rFonts w:ascii="Arial" w:cs="Arial" w:eastAsia="Arial" w:hAnsi="Arial"/>
          <w:sz w:val="17"/>
          <w:szCs w:val="17"/>
          <w:color w:val="auto"/>
        </w:rPr>
        <w:t xml:space="preserve"> </w:t>
      </w:r>
      <w:r>
        <w:rPr>
          <w:rFonts w:ascii="Arial" w:cs="Arial" w:eastAsia="Arial" w:hAnsi="Arial"/>
          <w:sz w:val="17"/>
          <w:szCs w:val="17"/>
          <w:b w:val="1"/>
          <w:bCs w:val="1"/>
          <w:color w:val="auto"/>
        </w:rPr>
        <w:t>Procedures</w:t>
      </w:r>
      <w:r>
        <w:rPr>
          <w:rFonts w:ascii="Arial" w:cs="Arial" w:eastAsia="Arial" w:hAnsi="Arial"/>
          <w:sz w:val="17"/>
          <w:szCs w:val="17"/>
          <w:color w:val="auto"/>
        </w:rPr>
        <w:t>”). In connection with all transfers and exchanges of beneficial interests, the transferor of such beneficial interest must deliver to the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Agent either (A)(1) a written order from a Participant or an Indirect Participant given to the Depositary in accordance with the Applicable Procedures directing the Depositary to credit or cause to be credited a beneficial interest in another Global Security in an amount equal to the beneficial interest to be transferred or exchanged and (2) instructions given in accordance with the Applicable Procedures containing information regarding the Participant account to be credited with such increase or, if Definitive Securities are at such time permitted to be issued pursuant to this Ninth Supplemental Indenture and the Original Indenture, (B)(1) a written order from a Participant or an Indirect Participant given to the Depositary in accordance with the Applicable Procedures directing the Depositary to cause to be issued a Definitive Security in an amount equal to the beneficial interest to be transferred or exchanged and (2) instructions given by the Depositary to the Registrar containing information regarding the Person in whose name such Definitive Security shall be registered to effect the transfer or exchange referred to in (1) above. Upon satisfaction of all of the requirements for transfer or exchange of beneficial interests in Global Securities contained in the Original Indenture, this Ninth Supplemental Indenture and the Senior Notes or otherwise applicable under the Securities Act, the Registrar shall adjust the principal amount of the relevant Global Securities pursuant to Section 2.9 hereof.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9" w:name="page20"/>
    <w:bookmarkEnd w:id="19"/>
    <w:p>
      <w:pPr>
        <w:ind w:right="40" w:firstLine="436"/>
        <w:spacing w:after="0" w:line="269" w:lineRule="auto"/>
        <w:tabs>
          <w:tab w:leader="none" w:pos="695" w:val="left"/>
        </w:tabs>
        <w:numPr>
          <w:ilvl w:val="0"/>
          <w:numId w:val="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request by a Holder of Definitive Securities and such Holder’s compliance with the provisions of this Section 2.8(b), the Registrar shall register the transfer or exchange of Definitive Securities. Prior to such registration of transfer or exchange, the requesting Holder shall present or surrender to the Transfer Agent the Definitive Securities duly endorsed or accompanied by a written instruction of transfer in form satisfactory to the Registrar duly executed by such Holder or by its attorney, duly authorized in writing. The Authenticating Agent shall cancel any such Definitive Securities so surrendered, and the Company shall execute and, upon receipt of a Company Order pursuant to Section 2.01 of the Original Indenture, the Authenticating Agent shall authenticate and deliver to the Person designated in the instructions a new Definitive Security in the appropriate principal amount. Any Definitive Security issued pursuant to this Section 2.8(b) shall be registered in such name or names and in such authorized denomination or denominations as the Holder of such beneficial interest shall instruct the Registrar through instructions from the Depositary and the Participant or Indirect Participant. The Paying Agent shall deliver such Definitive Securities to the Persons in whose names such Definitive Securities are so registered. In addition, the requesting Holder shall provide any additional certifications, documents and information, as applicable, required pursuant to Section 3.06 of the Original Indenture.</w:t>
      </w:r>
    </w:p>
    <w:p>
      <w:pPr>
        <w:spacing w:after="0" w:line="73" w:lineRule="exact"/>
        <w:rPr>
          <w:rFonts w:ascii="Arial" w:cs="Arial" w:eastAsia="Arial" w:hAnsi="Arial"/>
          <w:sz w:val="17"/>
          <w:szCs w:val="17"/>
          <w:color w:val="auto"/>
        </w:rPr>
      </w:pPr>
    </w:p>
    <w:p>
      <w:pPr>
        <w:ind w:right="500" w:firstLine="436"/>
        <w:spacing w:after="0" w:line="277" w:lineRule="auto"/>
        <w:tabs>
          <w:tab w:leader="none" w:pos="6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hereby appoints the Trustee as the Registrar for the Senior Notes issued under this Ninth Supplemental Indenture and the Trustee accepts such appointment.</w:t>
      </w:r>
    </w:p>
    <w:p>
      <w:pPr>
        <w:spacing w:after="0" w:line="17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i w:val="1"/>
          <w:iCs w:val="1"/>
          <w:color w:val="auto"/>
        </w:rPr>
        <w:t>Cancellation and/or Adjustment of Global Securities</w:t>
      </w:r>
      <w:r>
        <w:rPr>
          <w:rFonts w:ascii="Arial" w:cs="Arial" w:eastAsia="Arial" w:hAnsi="Arial"/>
          <w:sz w:val="16"/>
          <w:szCs w:val="16"/>
          <w:color w:val="auto"/>
        </w:rPr>
        <w:t>. At such time as all beneficial interests in a particular Global Security have been exchanged for Definitive Securities or a particular Global Security has been redeemed, repurchased or canceled in whole and not in part, each such Global Security shall be returned to or retained and canceled by the Registrar in accordance with Section 3.09 of the Original Indenture. At any time prior to such cancellation, if any beneficial interest in a Global Security is exchanged for or transferred to a Person who will take delivery thereof in the form of a beneficial interest in another Global Security or for Definitive Securities, the principal amount of Securities represented by such Global Security shall be reduced accordingly and an endorsement shall be made on such Global Security by the Registrar or by the Depositary at the direction of the Trustee to reflect such reduction; and if the beneficial interest is being exchanged for or transferred to a Person who will take delivery thereof in the form of a beneficial interest in another Global Security, such other Global Security shall be increased accordingly and an endorsement shall be made on such Global Security by the Registrar or by the Depositary at the direction of the Registrar to reflect such increase.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right="700" w:firstLine="436"/>
        <w:spacing w:after="0" w:line="277" w:lineRule="auto"/>
        <w:tabs>
          <w:tab w:leader="none" w:pos="6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provisions of Section 7.01 of the Original Indenture as they relate to the Senior Notes, shall be replaced in their entirety with the following: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40" w:top="274" w:right="519" w:bottom="1440" w:gutter="0" w:footer="0" w:header="0"/>
        </w:sectPr>
      </w:pPr>
    </w:p>
    <w:bookmarkStart w:id="20" w:name="page21"/>
    <w:bookmarkEnd w:id="20"/>
    <w:p>
      <w:pPr>
        <w:ind w:right="2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7.01. </w:t>
      </w:r>
      <w:r>
        <w:rPr>
          <w:rFonts w:ascii="Arial" w:cs="Arial" w:eastAsia="Arial" w:hAnsi="Arial"/>
          <w:sz w:val="16"/>
          <w:szCs w:val="16"/>
          <w:i w:val="1"/>
          <w:iCs w:val="1"/>
          <w:color w:val="auto"/>
        </w:rPr>
        <w:t>Events of Default</w:t>
      </w:r>
      <w:r>
        <w:rPr>
          <w:rFonts w:ascii="Arial" w:cs="Arial" w:eastAsia="Arial" w:hAnsi="Arial"/>
          <w:sz w:val="16"/>
          <w:szCs w:val="16"/>
          <w:color w:val="auto"/>
        </w:rPr>
        <w:t>. Except where otherwise indicated by the context or where the term is otherwise defined for a specific purpose, the term “</w:t>
      </w:r>
      <w:r>
        <w:rPr>
          <w:rFonts w:ascii="Arial" w:cs="Arial" w:eastAsia="Arial" w:hAnsi="Arial"/>
          <w:sz w:val="16"/>
          <w:szCs w:val="16"/>
          <w:b w:val="1"/>
          <w:bCs w:val="1"/>
          <w:color w:val="auto"/>
        </w:rPr>
        <w:t>Event of Default</w:t>
      </w:r>
      <w:r>
        <w:rPr>
          <w:rFonts w:ascii="Arial" w:cs="Arial" w:eastAsia="Arial" w:hAnsi="Arial"/>
          <w:sz w:val="16"/>
          <w:szCs w:val="16"/>
          <w:color w:val="auto"/>
        </w:rPr>
        <w:t>” as used in this Indenture with respect to Securities of any series shall mean one of the following described events unless it is either inapplicable to a particular series or it is specifically deleted or modified in the manner contemplated in Section 3.01 hereof:</w:t>
      </w:r>
    </w:p>
    <w:p>
      <w:pPr>
        <w:spacing w:after="0" w:line="41" w:lineRule="exact"/>
        <w:rPr>
          <w:sz w:val="20"/>
          <w:szCs w:val="20"/>
          <w:color w:val="auto"/>
        </w:rPr>
      </w:pPr>
    </w:p>
    <w:p>
      <w:pPr>
        <w:ind w:left="1200" w:hanging="252"/>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does not pay interest on any of the Senior Notes within 30 days of their due date;</w:t>
      </w:r>
    </w:p>
    <w:p>
      <w:pPr>
        <w:spacing w:after="0" w:line="117" w:lineRule="exact"/>
        <w:rPr>
          <w:rFonts w:ascii="Arial" w:cs="Arial" w:eastAsia="Arial" w:hAnsi="Arial"/>
          <w:sz w:val="18"/>
          <w:szCs w:val="18"/>
          <w:color w:val="auto"/>
        </w:rPr>
      </w:pPr>
    </w:p>
    <w:p>
      <w:pPr>
        <w:ind w:left="540" w:firstLine="408"/>
        <w:spacing w:after="0" w:line="277" w:lineRule="auto"/>
        <w:tabs>
          <w:tab w:leader="none" w:pos="11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fails to pay the principal (or premium, if any) of any Senior Notes when such principal becomes due and payable, at Maturity, upon acceleration, upon redemption or otherwise;</w:t>
      </w:r>
    </w:p>
    <w:p>
      <w:pPr>
        <w:spacing w:after="0" w:line="62" w:lineRule="exact"/>
        <w:rPr>
          <w:rFonts w:ascii="Arial" w:cs="Arial" w:eastAsia="Arial" w:hAnsi="Arial"/>
          <w:sz w:val="18"/>
          <w:szCs w:val="18"/>
          <w:color w:val="auto"/>
        </w:rPr>
      </w:pPr>
    </w:p>
    <w:p>
      <w:pPr>
        <w:ind w:left="1200" w:hanging="252"/>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obligations under Section 6.04 hereof;</w:t>
      </w:r>
    </w:p>
    <w:p>
      <w:pPr>
        <w:spacing w:after="0" w:line="117" w:lineRule="exact"/>
        <w:rPr>
          <w:rFonts w:ascii="Arial" w:cs="Arial" w:eastAsia="Arial" w:hAnsi="Arial"/>
          <w:sz w:val="18"/>
          <w:szCs w:val="18"/>
          <w:color w:val="auto"/>
        </w:rPr>
      </w:pPr>
    </w:p>
    <w:p>
      <w:pPr>
        <w:ind w:left="540" w:right="20" w:firstLine="408"/>
        <w:spacing w:after="0" w:line="311" w:lineRule="auto"/>
        <w:tabs>
          <w:tab w:leader="none" w:pos="11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remains in breach of a covenant or warranty in respect of this Indenture or the Senior Notes (other than a covenant included in this Indenture solely for the benefit of debt securities of another series) for 90 days after the Company receives a written notice of default, which notice must be sent by either the Trustee or Holders of at least 25% in principal amount of the Outstanding Senior Notes;</w:t>
      </w:r>
    </w:p>
    <w:p>
      <w:pPr>
        <w:spacing w:after="0" w:line="40" w:lineRule="exact"/>
        <w:rPr>
          <w:rFonts w:ascii="Arial" w:cs="Arial" w:eastAsia="Arial" w:hAnsi="Arial"/>
          <w:sz w:val="16"/>
          <w:szCs w:val="16"/>
          <w:color w:val="auto"/>
        </w:rPr>
      </w:pPr>
    </w:p>
    <w:p>
      <w:pPr>
        <w:ind w:left="540" w:right="40" w:firstLine="408"/>
        <w:spacing w:after="0" w:line="275" w:lineRule="auto"/>
        <w:tabs>
          <w:tab w:leader="none" w:pos="118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entry by a court having jurisdiction in the premises of a decree or order for relief in respect of the Company in an involuntary case under the federal Bankruptcy Laws, as now or hereafter constituted, or any other applicable federal or state bankruptcy, insolvency or other similar law now or hereafter in effect, or appointing a receiver, liquidator, assignee, custodian, trustee or sequestrator (or similar official) of the Company or of substantially all the property of the Company or ordering the winding-up or liquidation of its affairs and such decree or order shall remain unstayed and in effect for a period of 60 consecutive days;</w:t>
      </w:r>
    </w:p>
    <w:p>
      <w:pPr>
        <w:spacing w:after="0" w:line="68" w:lineRule="exact"/>
        <w:rPr>
          <w:rFonts w:ascii="Arial" w:cs="Arial" w:eastAsia="Arial" w:hAnsi="Arial"/>
          <w:sz w:val="17"/>
          <w:szCs w:val="17"/>
          <w:color w:val="auto"/>
        </w:rPr>
      </w:pPr>
    </w:p>
    <w:p>
      <w:pPr>
        <w:ind w:left="540" w:right="20" w:firstLine="408"/>
        <w:spacing w:after="0" w:line="293" w:lineRule="auto"/>
        <w:tabs>
          <w:tab w:leader="none" w:pos="116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commencement by the Company of a voluntary case under the federal Bankruptcy Laws, as now or hereafter constituted, or any other applicable federal or state bankruptcy, insolvency or other similar law now or hereafter in effect, or the consent by the Company to the entry of an order for relief in an involuntary case under any such law, or the consent by the Company to the appointment of or taking possession by a receiver, liquidator, assignee, trustee, custodian or sequestrator (or similar official) of the Company or of substantially all the property of the Company or the making by it of an assignment for the benefit of creditors or the admission by it in writing of its inability to pay its debts generally as they become due, or the taking of corporate action by the Company in furtherance of any action;</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21" w:name="page22"/>
    <w:bookmarkEnd w:id="21"/>
    <w:p>
      <w:pPr>
        <w:ind w:left="980" w:right="20" w:firstLine="408"/>
        <w:spacing w:after="0" w:line="279" w:lineRule="auto"/>
        <w:tabs>
          <w:tab w:leader="none" w:pos="1636" w:val="left"/>
        </w:tabs>
        <w:numPr>
          <w:ilvl w:val="1"/>
          <w:numId w:val="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or any Significant Subsidiary defaults on any of its indebtedness having an aggregate amount of at least $200,000,000, constituting a default either of payment of principal when due and payable or which results in acceleration of the indebtedness unless the default has been cured or waived or the indebtedness discharged in full within 60 days after the Company has been notified of the default by the Trustee or Holders of at least 25% in principal amount of the outstanding Senior Notes; or</w:t>
      </w:r>
    </w:p>
    <w:p>
      <w:pPr>
        <w:spacing w:after="0" w:line="63" w:lineRule="exact"/>
        <w:rPr>
          <w:rFonts w:ascii="Arial" w:cs="Arial" w:eastAsia="Arial" w:hAnsi="Arial"/>
          <w:sz w:val="17"/>
          <w:szCs w:val="17"/>
          <w:color w:val="auto"/>
        </w:rPr>
      </w:pPr>
    </w:p>
    <w:p>
      <w:pPr>
        <w:ind w:left="980" w:right="580" w:firstLine="408"/>
        <w:spacing w:after="0" w:line="286" w:lineRule="auto"/>
        <w:tabs>
          <w:tab w:leader="none" w:pos="1636" w:val="left"/>
        </w:tabs>
        <w:numPr>
          <w:ilvl w:val="1"/>
          <w:numId w:val="20"/>
        </w:numPr>
        <w:rPr>
          <w:rFonts w:ascii="Arial" w:cs="Arial" w:eastAsia="Arial" w:hAnsi="Arial"/>
          <w:sz w:val="17"/>
          <w:szCs w:val="17"/>
          <w:color w:val="auto"/>
        </w:rPr>
      </w:pPr>
      <w:r>
        <w:rPr>
          <w:rFonts w:ascii="Arial" w:cs="Arial" w:eastAsia="Arial" w:hAnsi="Arial"/>
          <w:sz w:val="17"/>
          <w:szCs w:val="17"/>
          <w:color w:val="auto"/>
        </w:rPr>
        <w:t>one or more final judgments for the payment of money in an aggregate amount in excess of $200,000,000 above available insurance or indemnity coverage shall be rendered against the Company or any Significant Subsidiary and the same shall remain undischarged for a period of 60 consecutive days during which execution shall not be effectively stayed.”</w:t>
      </w:r>
    </w:p>
    <w:p>
      <w:pPr>
        <w:spacing w:after="0" w:line="57" w:lineRule="exact"/>
        <w:rPr>
          <w:rFonts w:ascii="Arial" w:cs="Arial" w:eastAsia="Arial" w:hAnsi="Arial"/>
          <w:sz w:val="17"/>
          <w:szCs w:val="17"/>
          <w:color w:val="auto"/>
        </w:rPr>
      </w:pPr>
    </w:p>
    <w:p>
      <w:pPr>
        <w:ind w:right="560" w:firstLine="436"/>
        <w:spacing w:after="0" w:line="277"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provisions of Section 7.02(a) of the Original Indenture as they relate to the Senior Notes, shall be replaced in their entirety with the following:</w:t>
      </w:r>
    </w:p>
    <w:p>
      <w:pPr>
        <w:spacing w:after="0" w:line="62" w:lineRule="exact"/>
        <w:rPr>
          <w:sz w:val="20"/>
          <w:szCs w:val="20"/>
          <w:color w:val="auto"/>
        </w:rPr>
      </w:pPr>
    </w:p>
    <w:p>
      <w:pPr>
        <w:ind w:left="440" w:firstLine="423"/>
        <w:spacing w:after="0" w:line="283" w:lineRule="auto"/>
        <w:rPr>
          <w:sz w:val="20"/>
          <w:szCs w:val="20"/>
          <w:color w:val="auto"/>
        </w:rPr>
      </w:pPr>
      <w:r>
        <w:rPr>
          <w:rFonts w:ascii="Arial" w:cs="Arial" w:eastAsia="Arial" w:hAnsi="Arial"/>
          <w:sz w:val="16"/>
          <w:szCs w:val="16"/>
          <w:color w:val="auto"/>
        </w:rPr>
        <w:t>“(a) Except as otherwise provided as contemplated by Section 3.01 hereof with respect to any series of Securities, if any one or more of the above-described Events of Default (other than an Event of Default specified in Section 7.01(e) or 7.01(f) hereof) shall happen with respect to Securities of any series at the time Outstanding, then, and in each and every such case, during the continuance of any such Event of Default, the Trustee or the Holders of 25% or more in principal amount of the Securities of such series then Outstanding may declare the principal (or premium if any) (or, if the Securities of that series are Original Issue Discount Securities, such portion of the principal amount as may be specified in the terms of that series) of and all accrued but unpaid interest on all the Securities of such series then Outstanding to be due and payable immediately by a notice in writing to the Company (and to the Trustee if given by Holders), and upon any such declaration such principal amount (or specified amount) shall become immediately due and payable. If an Event of Default specified in Section 7.01(e) or 7.01(f) hereof occurs and is continuing, then in every such case, the principal amount of all of the Securities of that series then Outstanding shall automatically, and without any declaration or any other action on the part of the Trustee or any Holder, become due and payable immediately. Upon payment of such amounts in the Currency in which such Securities are denominated (subject to Section 7.01 hereof and except as otherwise provided pursuant to</w:t>
      </w:r>
    </w:p>
    <w:p>
      <w:pPr>
        <w:spacing w:after="0" w:line="4" w:lineRule="exact"/>
        <w:rPr>
          <w:sz w:val="20"/>
          <w:szCs w:val="20"/>
          <w:color w:val="auto"/>
        </w:rPr>
      </w:pPr>
    </w:p>
    <w:p>
      <w:pPr>
        <w:ind w:left="440" w:right="320"/>
        <w:spacing w:after="0" w:line="260" w:lineRule="auto"/>
        <w:rPr>
          <w:sz w:val="20"/>
          <w:szCs w:val="20"/>
          <w:color w:val="auto"/>
        </w:rPr>
      </w:pPr>
      <w:r>
        <w:rPr>
          <w:rFonts w:ascii="Arial" w:cs="Arial" w:eastAsia="Arial" w:hAnsi="Arial"/>
          <w:sz w:val="18"/>
          <w:szCs w:val="18"/>
          <w:color w:val="auto"/>
        </w:rPr>
        <w:t>Section 3.01 hereof), all obligations of the Company in respect of the payment of principal of and interest on the Securities of such series shall terminate.”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THREE</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Payments of Additional Amounts by a Foreign Successor Issuer.</w:t>
      </w:r>
    </w:p>
    <w:p>
      <w:pPr>
        <w:spacing w:after="0" w:line="117" w:lineRule="exact"/>
        <w:rPr>
          <w:sz w:val="20"/>
          <w:szCs w:val="20"/>
          <w:color w:val="auto"/>
        </w:rPr>
      </w:pPr>
    </w:p>
    <w:p>
      <w:pPr>
        <w:ind w:left="-60" w:firstLine="436"/>
        <w:spacing w:after="0" w:line="286" w:lineRule="auto"/>
        <w:tabs>
          <w:tab w:leader="none" w:pos="625"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payments made under or with respect to the Senior Notes by any Foreign Successor Issuer will be made free and clear of and without withholding or deduction for or on account of any present or future tax, duty, levy, impost, assessment or other governmental charge (including, without limitation, penalties, interest and other similar liabilities related thereto) of whatever nature (collectively, “</w:t>
      </w:r>
      <w:r>
        <w:rPr>
          <w:rFonts w:ascii="Arial" w:cs="Arial" w:eastAsia="Arial" w:hAnsi="Arial"/>
          <w:sz w:val="16"/>
          <w:szCs w:val="16"/>
          <w:b w:val="1"/>
          <w:bCs w:val="1"/>
          <w:color w:val="auto"/>
        </w:rPr>
        <w:t>Taxes</w:t>
      </w:r>
      <w:r>
        <w:rPr>
          <w:rFonts w:ascii="Arial" w:cs="Arial" w:eastAsia="Arial" w:hAnsi="Arial"/>
          <w:sz w:val="16"/>
          <w:szCs w:val="16"/>
          <w:color w:val="auto"/>
        </w:rPr>
        <w:t>”) imposed or levied by or on behalf of any jurisdiction in which such Foreign Successor Issuer is organized, resident or doing business for tax purposes or from or through which such Foreign Successor Issuer makes any payment on the Senior Notes, or, in each case, any department or political subdivision thereof (each, a “</w:t>
      </w:r>
      <w:r>
        <w:rPr>
          <w:rFonts w:ascii="Arial" w:cs="Arial" w:eastAsia="Arial" w:hAnsi="Arial"/>
          <w:sz w:val="16"/>
          <w:szCs w:val="16"/>
          <w:b w:val="1"/>
          <w:bCs w:val="1"/>
          <w:color w:val="auto"/>
        </w:rPr>
        <w:t>Relevant Taxing</w:t>
      </w:r>
      <w:r>
        <w:rPr>
          <w:rFonts w:ascii="Arial" w:cs="Arial" w:eastAsia="Arial" w:hAnsi="Arial"/>
          <w:sz w:val="16"/>
          <w:szCs w:val="16"/>
          <w:color w:val="auto"/>
        </w:rPr>
        <w:t xml:space="preserve"> </w:t>
      </w:r>
      <w:r>
        <w:rPr>
          <w:rFonts w:ascii="Arial" w:cs="Arial" w:eastAsia="Arial" w:hAnsi="Arial"/>
          <w:sz w:val="16"/>
          <w:szCs w:val="16"/>
          <w:b w:val="1"/>
          <w:bCs w:val="1"/>
          <w:color w:val="auto"/>
        </w:rPr>
        <w:t>Jurisdiction</w:t>
      </w:r>
      <w:r>
        <w:rPr>
          <w:rFonts w:ascii="Arial" w:cs="Arial" w:eastAsia="Arial" w:hAnsi="Arial"/>
          <w:sz w:val="16"/>
          <w:szCs w:val="16"/>
          <w:color w:val="auto"/>
        </w:rPr>
        <w:t>”), unless such Foreign Successor Issuer or any other applicable withholding agent is required to withhold or deduct Taxes by law.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avoidance of doubt a Relevant Taxing Jurisdiction shall not include the United States, any state thereof or the District of Columbia. If a Foreign Successor Issuer or any other applicable withholding agent is required by law to make any such withholding or deduction, the Foreign Successor Issuer, subject to the exceptions listed below, will pay such additional amounts (“</w:t>
      </w:r>
      <w:r>
        <w:rPr>
          <w:rFonts w:ascii="Arial" w:cs="Arial" w:eastAsia="Arial" w:hAnsi="Arial"/>
          <w:sz w:val="16"/>
          <w:szCs w:val="16"/>
          <w:b w:val="1"/>
          <w:bCs w:val="1"/>
          <w:color w:val="auto"/>
        </w:rPr>
        <w:t>Additional Amounts</w:t>
      </w:r>
      <w:r>
        <w:rPr>
          <w:rFonts w:ascii="Arial" w:cs="Arial" w:eastAsia="Arial" w:hAnsi="Arial"/>
          <w:sz w:val="16"/>
          <w:szCs w:val="16"/>
          <w:color w:val="auto"/>
        </w:rPr>
        <w:t>”) as may be necessary to ensure that the net amount received by each beneficial owner of the Senior Notes after such withholding or deduction (including withholding or deduction attributable to Additional Amounts payable hereunder) will not be less than the amount the beneficial owner would have received if such Taxes had not been withheld or deducted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applicable withholding agent is a Person other than a Foreign Successor Issuer, the Additional Amounts payable by the Foreign Successor Issuer under this Section 3.1 shall not exceed the Additional Amounts that would have been payable by the Foreign Successor Issuer under this Section 3.1 had the Foreign Successor Issuer been the applicable withholding agent (</w:t>
      </w:r>
      <w:r>
        <w:rPr>
          <w:rFonts w:ascii="Arial" w:cs="Arial" w:eastAsia="Arial" w:hAnsi="Arial"/>
          <w:sz w:val="16"/>
          <w:szCs w:val="16"/>
          <w:i w:val="1"/>
          <w:iCs w:val="1"/>
          <w:color w:val="auto"/>
        </w:rPr>
        <w:t>i.e.</w:t>
      </w:r>
      <w:r>
        <w:rPr>
          <w:rFonts w:ascii="Arial" w:cs="Arial" w:eastAsia="Arial" w:hAnsi="Arial"/>
          <w:sz w:val="16"/>
          <w:szCs w:val="16"/>
          <w:color w:val="auto"/>
        </w:rPr>
        <w:t>, had the Foreign Successor Issuer made payments directly to the applicable beneficial owner of the Senior Notes)).</w:t>
      </w:r>
    </w:p>
    <w:p>
      <w:pPr>
        <w:spacing w:after="0" w:line="59" w:lineRule="exact"/>
        <w:rPr>
          <w:rFonts w:ascii="Arial" w:cs="Arial" w:eastAsia="Arial" w:hAnsi="Arial"/>
          <w:sz w:val="16"/>
          <w:szCs w:val="16"/>
          <w:color w:val="auto"/>
        </w:rPr>
      </w:pPr>
    </w:p>
    <w:p>
      <w:pPr>
        <w:ind w:left="640" w:hanging="26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Foreign Successor Issuer will not, however, pay Additional Amounts to a Holder or beneficial owner of Senior Notes:</w:t>
      </w:r>
    </w:p>
    <w:p>
      <w:pPr>
        <w:spacing w:after="0" w:line="117" w:lineRule="exact"/>
        <w:rPr>
          <w:rFonts w:ascii="Arial" w:cs="Arial" w:eastAsia="Arial" w:hAnsi="Arial"/>
          <w:sz w:val="18"/>
          <w:szCs w:val="18"/>
          <w:color w:val="auto"/>
        </w:rPr>
      </w:pPr>
    </w:p>
    <w:p>
      <w:pPr>
        <w:ind w:left="380" w:right="100" w:firstLine="419"/>
        <w:spacing w:after="0" w:line="259" w:lineRule="auto"/>
        <w:tabs>
          <w:tab w:leader="none" w:pos="1018"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the extent the Taxes giving rise to such Additional Amounts would not have been imposed, withheld or deducted but for the Holder’s or beneficial owner’s present or former connection with the Relevant Taxing Jurisdiction (other than any connection resulting from the acquisition, ownership, holding or disposition of Senior Notes, the receipt of payments thereunder and/or the exercise or enforcement of rights under any Senior Notes);</w:t>
      </w:r>
    </w:p>
    <w:p>
      <w:pPr>
        <w:spacing w:after="0" w:line="78" w:lineRule="exact"/>
        <w:rPr>
          <w:rFonts w:ascii="Arial" w:cs="Arial" w:eastAsia="Arial" w:hAnsi="Arial"/>
          <w:sz w:val="18"/>
          <w:szCs w:val="18"/>
          <w:color w:val="auto"/>
        </w:rPr>
      </w:pPr>
    </w:p>
    <w:p>
      <w:pPr>
        <w:ind w:left="380" w:firstLine="419"/>
        <w:spacing w:after="0" w:line="286" w:lineRule="auto"/>
        <w:tabs>
          <w:tab w:leader="none" w:pos="1068" w:val="left"/>
        </w:tabs>
        <w:numPr>
          <w:ilvl w:val="1"/>
          <w:numId w:val="22"/>
        </w:numPr>
        <w:rPr>
          <w:rFonts w:ascii="Arial" w:cs="Arial" w:eastAsia="Arial" w:hAnsi="Arial"/>
          <w:sz w:val="17"/>
          <w:szCs w:val="17"/>
          <w:color w:val="auto"/>
        </w:rPr>
      </w:pPr>
      <w:r>
        <w:rPr>
          <w:rFonts w:ascii="Arial" w:cs="Arial" w:eastAsia="Arial" w:hAnsi="Arial"/>
          <w:sz w:val="17"/>
          <w:szCs w:val="17"/>
          <w:color w:val="auto"/>
        </w:rPr>
        <w:t>to the extent the Taxes giving rise to such Additional Amounts would not have been imposed, withheld or deducted but for the failure of the Holder or beneficial owner of Senior Notes, following the Foreign Successor Issuer’s written request addressed to the Holder or beneficial owner, to the extent such Holder or beneficial owner is legally eligible to do so, to comply with any certification,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80"/>
          </w:cols>
          <w:pgMar w:left="500" w:top="274" w:right="519" w:bottom="1440" w:gutter="0" w:footer="0" w:header="0"/>
        </w:sectPr>
      </w:pPr>
    </w:p>
    <w:bookmarkStart w:id="23" w:name="page24"/>
    <w:bookmarkEnd w:id="23"/>
    <w:p>
      <w:pPr>
        <w:ind w:left="40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identification, information or other reporting requirements, whether required by statute, treaty, regulation or administrative practice of a Relevant Taxing Jurisdiction, as a precondition to exemption from, or reduction in the rate of deduction or withholding of, Taxes imposed by the Relevant Taxing Jurisdiction (including, without limitation, a certification that the Holder or beneficial owner is not resident in the Relevant Taxing Jurisdiction);</w:t>
      </w:r>
    </w:p>
    <w:p>
      <w:pPr>
        <w:spacing w:after="0" w:line="79" w:lineRule="exact"/>
        <w:rPr>
          <w:sz w:val="20"/>
          <w:szCs w:val="20"/>
          <w:color w:val="auto"/>
        </w:rPr>
      </w:pPr>
    </w:p>
    <w:p>
      <w:pPr>
        <w:ind w:left="1140" w:hanging="321"/>
        <w:spacing w:after="0"/>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with respect to any estate, inheritance, gift, sales, transfer, personal property, wealth or any similar Taxes;</w:t>
      </w:r>
    </w:p>
    <w:p>
      <w:pPr>
        <w:spacing w:after="0" w:line="117" w:lineRule="exact"/>
        <w:rPr>
          <w:rFonts w:ascii="Arial" w:cs="Arial" w:eastAsia="Arial" w:hAnsi="Arial"/>
          <w:sz w:val="18"/>
          <w:szCs w:val="18"/>
          <w:color w:val="auto"/>
        </w:rPr>
      </w:pPr>
    </w:p>
    <w:p>
      <w:pPr>
        <w:ind w:left="400" w:firstLine="419"/>
        <w:spacing w:after="0" w:line="257" w:lineRule="auto"/>
        <w:tabs>
          <w:tab w:leader="none" w:pos="1128"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such Holder is a fiduciary or partnership or Person other than the sole beneficial owner of such payment and the Taxes giving rise to such Additional Amounts would not have been imposed on such payment had the Holder been the beneficiary, partner or sole beneficial owner, as the case may be, of such Senior Note (but only if there is no material cost or expense associated with transferring such Senior Note to such beneficiary, partner or sole beneficial owner and no restriction on such transfer that is outside the control of such beneficiary, partner or sole beneficial owner);</w:t>
      </w:r>
    </w:p>
    <w:p>
      <w:pPr>
        <w:spacing w:after="0" w:line="79" w:lineRule="exact"/>
        <w:rPr>
          <w:rFonts w:ascii="Arial" w:cs="Arial" w:eastAsia="Arial" w:hAnsi="Arial"/>
          <w:sz w:val="18"/>
          <w:szCs w:val="18"/>
          <w:color w:val="auto"/>
        </w:rPr>
      </w:pPr>
    </w:p>
    <w:p>
      <w:pPr>
        <w:ind w:left="1080" w:hanging="261"/>
        <w:spacing w:after="0"/>
        <w:tabs>
          <w:tab w:leader="none" w:pos="10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to the extent the Taxes giving rise to such Additional Amounts would not have been imposed, withheld or deducted but for the</w:t>
      </w:r>
    </w:p>
    <w:p>
      <w:pPr>
        <w:spacing w:after="0" w:line="34" w:lineRule="exact"/>
        <w:rPr>
          <w:rFonts w:ascii="Arial" w:cs="Arial" w:eastAsia="Arial" w:hAnsi="Arial"/>
          <w:sz w:val="17"/>
          <w:szCs w:val="17"/>
          <w:color w:val="auto"/>
        </w:rPr>
      </w:pPr>
    </w:p>
    <w:p>
      <w:pPr>
        <w:ind w:left="400" w:right="100"/>
        <w:spacing w:after="0" w:line="323" w:lineRule="auto"/>
        <w:rPr>
          <w:rFonts w:ascii="Arial" w:cs="Arial" w:eastAsia="Arial" w:hAnsi="Arial"/>
          <w:sz w:val="17"/>
          <w:szCs w:val="17"/>
          <w:color w:val="auto"/>
        </w:rPr>
      </w:pPr>
      <w:r>
        <w:rPr>
          <w:rFonts w:ascii="Arial" w:cs="Arial" w:eastAsia="Arial" w:hAnsi="Arial"/>
          <w:sz w:val="16"/>
          <w:szCs w:val="16"/>
          <w:color w:val="auto"/>
        </w:rPr>
        <w:t>presentation by the Holder or beneficial owner of any Senior Note, where presentation is required, for payment on a date more than 30 days after the date on which payment became due and payable or the date on which payment thereof is duly provided for, whichever occurs later;</w:t>
      </w:r>
    </w:p>
    <w:p>
      <w:pPr>
        <w:spacing w:after="0" w:line="30" w:lineRule="exact"/>
        <w:rPr>
          <w:rFonts w:ascii="Arial" w:cs="Arial" w:eastAsia="Arial" w:hAnsi="Arial"/>
          <w:sz w:val="17"/>
          <w:szCs w:val="17"/>
          <w:color w:val="auto"/>
        </w:rPr>
      </w:pPr>
    </w:p>
    <w:p>
      <w:pPr>
        <w:ind w:left="400" w:right="40" w:firstLine="419"/>
        <w:spacing w:after="0" w:line="275" w:lineRule="auto"/>
        <w:tabs>
          <w:tab w:leader="none" w:pos="1128" w:val="left"/>
        </w:tabs>
        <w:numPr>
          <w:ilvl w:val="1"/>
          <w:numId w:val="23"/>
        </w:numPr>
        <w:rPr>
          <w:rFonts w:ascii="Arial" w:cs="Arial" w:eastAsia="Arial" w:hAnsi="Arial"/>
          <w:sz w:val="17"/>
          <w:szCs w:val="17"/>
          <w:color w:val="auto"/>
        </w:rPr>
      </w:pPr>
      <w:r>
        <w:rPr>
          <w:rFonts w:ascii="Arial" w:cs="Arial" w:eastAsia="Arial" w:hAnsi="Arial"/>
          <w:sz w:val="17"/>
          <w:szCs w:val="17"/>
          <w:color w:val="auto"/>
        </w:rPr>
        <w:t>with respect to any withholding or deduction required pursuant to Sections 1471 through 1474 of the Code (or any amended or successor version that is substantively comparable and not materially more onerous to comply with), any current or future regulations or official interpretations thereof, any agreement entered into pursuant to current Section 1471(b) of the Code (or any amended or successor version as described above) or any related fiscal or regulatory legislation, rules or official administrative practice adopted pursuant to any intergovernmental agreement entered into in connection with implementing any of the foregoing; or</w:t>
      </w:r>
    </w:p>
    <w:p>
      <w:pPr>
        <w:spacing w:after="0" w:line="68" w:lineRule="exact"/>
        <w:rPr>
          <w:rFonts w:ascii="Arial" w:cs="Arial" w:eastAsia="Arial" w:hAnsi="Arial"/>
          <w:sz w:val="17"/>
          <w:szCs w:val="17"/>
          <w:color w:val="auto"/>
        </w:rPr>
      </w:pPr>
    </w:p>
    <w:p>
      <w:pPr>
        <w:ind w:left="1180" w:hanging="361"/>
        <w:spacing w:after="0"/>
        <w:tabs>
          <w:tab w:leader="none" w:pos="11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combination of items (i), (ii), (iii), (iv), (v) and (vi).</w:t>
      </w:r>
    </w:p>
    <w:p>
      <w:pPr>
        <w:spacing w:after="0" w:line="117" w:lineRule="exact"/>
        <w:rPr>
          <w:rFonts w:ascii="Arial" w:cs="Arial" w:eastAsia="Arial" w:hAnsi="Arial"/>
          <w:sz w:val="18"/>
          <w:szCs w:val="18"/>
          <w:color w:val="auto"/>
        </w:rPr>
      </w:pPr>
    </w:p>
    <w:p>
      <w:pPr>
        <w:ind w:left="-40" w:firstLine="436"/>
        <w:spacing w:after="0" w:line="293" w:lineRule="auto"/>
        <w:tabs>
          <w:tab w:leader="none" w:pos="64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Foreign Successor Issuer will (i) make any such withholding or deduction required by applicable law and (ii) remit the full amount deducted or withheld to the relevant authority in accordance with applicable law. The Foreign Successor Issuer will make reasonable efforts to obtain certified copies of tax receipts evidencing the payment of any Taxes so deducted or withheld from each Relevant Taxing Jurisdiction imposing such Taxes. The Foreign Successor Issuer will provide to the Trustee, within a reasonable time after the date the payment of any Taxes so deducted or withheld are due pursuant to applicable law, either a certified copy of tax receipts evidencing such payment, or, if such tax receipts are not reasonably available to the Foreign Successor Issuer, such other documentation that provides reasonable evidence of such payment by the Foreign Successor Issuer.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480" w:top="274" w:right="499" w:bottom="1440" w:gutter="0" w:footer="0" w:header="0"/>
        </w:sectPr>
      </w:pPr>
    </w:p>
    <w:bookmarkStart w:id="24" w:name="page25"/>
    <w:bookmarkEnd w:id="24"/>
    <w:p>
      <w:pPr>
        <w:ind w:left="-20" w:firstLine="436"/>
        <w:spacing w:after="0" w:line="272" w:lineRule="auto"/>
        <w:tabs>
          <w:tab w:leader="none" w:pos="675" w:val="left"/>
        </w:tabs>
        <w:numPr>
          <w:ilvl w:val="0"/>
          <w:numId w:val="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least 30 calendar days prior to each date on which any payment under or with respect to the Senior Notes is due and payable, if the Foreign Successor Issuer will be obligated to pay Additional Amounts with respect to such payment (unless such obligation to pay Additional Amounts arises after the 35th day prior to the date on which payment under or with respect to the Senior Notes is due and payable, in which case it will be promptly thereafter), the Foreign Successor Issuer will deliver to the Trustee an Officers’ Certificate stating that such Additional Amounts will be payable and the amounts so payable and will set forth such other information necessary to enable the Trustee to pay such Additional Amounts to Holders on the payment date. The Foreign Successor Issuer will promptly publish a notice in accordance with the Section 16.04 of the Original Indenture stating that such Additional Amounts will be payable and describing the obligation to pay such amounts.</w:t>
      </w:r>
    </w:p>
    <w:p>
      <w:pPr>
        <w:spacing w:after="0" w:line="69" w:lineRule="exact"/>
        <w:rPr>
          <w:rFonts w:ascii="Arial" w:cs="Arial" w:eastAsia="Arial" w:hAnsi="Arial"/>
          <w:sz w:val="17"/>
          <w:szCs w:val="17"/>
          <w:color w:val="auto"/>
        </w:rPr>
      </w:pPr>
    </w:p>
    <w:p>
      <w:pPr>
        <w:ind w:left="-20" w:firstLine="436"/>
        <w:spacing w:after="0" w:line="296" w:lineRule="auto"/>
        <w:tabs>
          <w:tab w:leader="none" w:pos="6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addition, a Foreign Successor Issuer will pay any stamp, issue, registration, court, documentation, excise or other similar taxes, charges and duties, including interest and penalties with respect thereto, imposed by any Relevant Taxing Jurisdiction at any time after the merger described above in respect of the execution, issuance, registration or delivery of the Senior Notes or any other document or instrument referred to thereunder and any such taxes, charges or duties imposed by any Relevant Taxing Jurisdiction at any time after the merger described above as a result of, or in connection with, any payments made pursuant to the Senior Notes and/or the enforcement of the Senior Notes and/or any other such document or instrument.</w:t>
      </w:r>
    </w:p>
    <w:p>
      <w:pPr>
        <w:spacing w:after="0" w:line="161" w:lineRule="exact"/>
        <w:rPr>
          <w:rFonts w:ascii="Arial" w:cs="Arial" w:eastAsia="Arial" w:hAnsi="Arial"/>
          <w:sz w:val="16"/>
          <w:szCs w:val="16"/>
          <w:color w:val="auto"/>
        </w:rPr>
      </w:pPr>
    </w:p>
    <w:p>
      <w:pPr>
        <w:ind w:left="-20" w:right="160" w:firstLine="436"/>
        <w:spacing w:after="0" w:line="257" w:lineRule="auto"/>
        <w:tabs>
          <w:tab w:leader="none" w:pos="6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obligations described under this heading will survive any termination, defeasance or discharge of the Indenture and will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mutandis </w:t>
      </w:r>
      <w:r>
        <w:rPr>
          <w:rFonts w:ascii="Arial" w:cs="Arial" w:eastAsia="Arial" w:hAnsi="Arial"/>
          <w:sz w:val="18"/>
          <w:szCs w:val="18"/>
          <w:color w:val="auto"/>
        </w:rPr>
        <w:t>to any successor Person to any Foreign Successor Issuer (other than a Person organized under the laws of the United States, any state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or the District of Columbia) and to any jurisdiction in which such successor Person is organized, resident or doing business for tax purposes or any jurisdiction from or through which payment is made by such successor or its respective agents or, in each case, any department or political subdivision thereof.</w:t>
      </w:r>
    </w:p>
    <w:p>
      <w:pPr>
        <w:spacing w:after="0" w:line="187" w:lineRule="exact"/>
        <w:rPr>
          <w:rFonts w:ascii="Arial" w:cs="Arial" w:eastAsia="Arial" w:hAnsi="Arial"/>
          <w:sz w:val="18"/>
          <w:szCs w:val="18"/>
          <w:color w:val="auto"/>
        </w:rPr>
      </w:pPr>
    </w:p>
    <w:p>
      <w:pPr>
        <w:ind w:left="-20" w:right="80" w:firstLine="436"/>
        <w:spacing w:after="0" w:line="286" w:lineRule="auto"/>
        <w:tabs>
          <w:tab w:leader="none" w:pos="675" w:val="left"/>
        </w:tabs>
        <w:numPr>
          <w:ilvl w:val="0"/>
          <w:numId w:val="25"/>
        </w:numPr>
        <w:rPr>
          <w:rFonts w:ascii="Arial" w:cs="Arial" w:eastAsia="Arial" w:hAnsi="Arial"/>
          <w:sz w:val="17"/>
          <w:szCs w:val="17"/>
          <w:color w:val="auto"/>
        </w:rPr>
      </w:pPr>
      <w:r>
        <w:rPr>
          <w:rFonts w:ascii="Arial" w:cs="Arial" w:eastAsia="Arial" w:hAnsi="Arial"/>
          <w:sz w:val="17"/>
          <w:szCs w:val="17"/>
          <w:color w:val="auto"/>
        </w:rPr>
        <w:t>Whenever this Indenture or the Senior Notes refer to, in any context, the payment of principal, premium, if any, interest or any other amount payable under or with respect to any Senior Note, such reference includes the payment of Additional Amounts as described hereunder, to the extent that in such context Additional Amounts are, were or would be payable in respect thereof pursuant to this Section 3.1.</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Limitations on Liens</w:t>
      </w:r>
      <w:r>
        <w:rPr>
          <w:rFonts w:ascii="Arial" w:cs="Arial" w:eastAsia="Arial" w:hAnsi="Arial"/>
          <w:sz w:val="18"/>
          <w:szCs w:val="18"/>
          <w:color w:val="auto"/>
        </w:rPr>
        <w:t>.</w:t>
      </w:r>
    </w:p>
    <w:p>
      <w:pPr>
        <w:spacing w:after="0" w:line="117" w:lineRule="exact"/>
        <w:rPr>
          <w:sz w:val="20"/>
          <w:szCs w:val="20"/>
          <w:color w:val="auto"/>
        </w:rPr>
      </w:pPr>
    </w:p>
    <w:p>
      <w:pPr>
        <w:ind w:left="-20" w:firstLine="436"/>
        <w:spacing w:after="0" w:line="296" w:lineRule="auto"/>
        <w:tabs>
          <w:tab w:leader="none" w:pos="66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shall not (nor shall it permit any of its Significant Subsidiaries to) create or permit to exist any Lien on any Principal Property of the Company or any of its Significant Subsidiaries (or on any stock of a Significant Subsidiary), whether owned on the Issue Date or thereafter acquired, to secure any Indebtedness (any such Lien, a “</w:t>
      </w:r>
      <w:r>
        <w:rPr>
          <w:rFonts w:ascii="Arial" w:cs="Arial" w:eastAsia="Arial" w:hAnsi="Arial"/>
          <w:sz w:val="16"/>
          <w:szCs w:val="16"/>
          <w:b w:val="1"/>
          <w:bCs w:val="1"/>
          <w:color w:val="auto"/>
        </w:rPr>
        <w:t>Subject Lien</w:t>
      </w:r>
      <w:r>
        <w:rPr>
          <w:rFonts w:ascii="Arial" w:cs="Arial" w:eastAsia="Arial" w:hAnsi="Arial"/>
          <w:sz w:val="16"/>
          <w:szCs w:val="16"/>
          <w:color w:val="auto"/>
        </w:rPr>
        <w:t>”), unless the Company contemporaneously secures the Senior Notes (together with, if the Company so determines, any other Indebtedness of or guaranty by the Company or such Significant Subsidiary then existing or thereafter created that is not subordinated to the Senior Notes) equally and ratably with (or, at the option of the Company, prior to) that obligation.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60" w:top="274" w:right="459" w:bottom="1440" w:gutter="0" w:footer="0" w:header="0"/>
        </w:sectPr>
      </w:pPr>
    </w:p>
    <w:bookmarkStart w:id="25" w:name="page26"/>
    <w:bookmarkEnd w:id="25"/>
    <w:p>
      <w:pPr>
        <w:ind w:right="100" w:firstLine="436"/>
        <w:spacing w:after="0" w:line="275" w:lineRule="auto"/>
        <w:tabs>
          <w:tab w:leader="none" w:pos="695" w:val="left"/>
        </w:tabs>
        <w:numPr>
          <w:ilvl w:val="0"/>
          <w:numId w:val="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restriction, however, shall not apply to (i) Permitted Liens and (ii) Liens securing Indebtedness if at the time of determination, after giving effect to the incurrence of such Indebtedness and to the retirement of Indebtedness which is being retired substantially concurrently therewith, the sum of (1) the aggregate principal amount of all Indebtedness of the Company and its Subsidiaries secured by Subject Liens (other than Permitted Liens) and (2) the Attributable Debt in respect of all Sale and Lease-Back Transactions not otherwise permitted under the first sentence of Section 3.3 hereof does not exceed fifteen percent of Consolidated Net Tangible Assets.</w:t>
      </w:r>
    </w:p>
    <w:p>
      <w:pPr>
        <w:spacing w:after="0" w:line="17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i w:val="1"/>
          <w:iCs w:val="1"/>
          <w:color w:val="auto"/>
        </w:rPr>
        <w:t>Limitations on Sale and Lease-Back Transactions</w:t>
      </w:r>
      <w:r>
        <w:rPr>
          <w:rFonts w:ascii="Arial" w:cs="Arial" w:eastAsia="Arial" w:hAnsi="Arial"/>
          <w:sz w:val="18"/>
          <w:szCs w:val="18"/>
          <w:color w:val="auto"/>
        </w:rPr>
        <w:t>. The Company shall not, and shall not permit any of its Significant Subsidiaries to, enter into any Sale and Lease-Back Transaction with respect to any Principal Property, other than (x) any such Sale and Lease-Back Transaction involving a lease for a term of not more than three years or (y) any such Sale and Lease-Back Transaction between the Company and one of its Subsidiaries or between its Subsidiaries, unless:</w:t>
      </w:r>
    </w:p>
    <w:p>
      <w:pPr>
        <w:spacing w:after="0" w:line="79" w:lineRule="exact"/>
        <w:rPr>
          <w:sz w:val="20"/>
          <w:szCs w:val="20"/>
          <w:color w:val="auto"/>
        </w:rPr>
      </w:pPr>
    </w:p>
    <w:p>
      <w:pPr>
        <w:ind w:right="80" w:firstLine="436"/>
        <w:spacing w:after="0" w:line="263" w:lineRule="auto"/>
        <w:tabs>
          <w:tab w:leader="none" w:pos="6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or such Significant Subsidiary would be entitled to incur Indebtedness secured by a Lien on the Principal Property involved in such Sale and Lease-Back Transaction at least equal in amount to the Attributable Debt with respect to such Sale and Lease-Back Transaction, without equally and ratably securing the Senior Notes, pursuant to Section 3.2 hereof; or</w:t>
      </w:r>
    </w:p>
    <w:p>
      <w:pPr>
        <w:spacing w:after="0" w:line="75" w:lineRule="exact"/>
        <w:rPr>
          <w:rFonts w:ascii="Arial" w:cs="Arial" w:eastAsia="Arial" w:hAnsi="Arial"/>
          <w:sz w:val="18"/>
          <w:szCs w:val="18"/>
          <w:color w:val="auto"/>
        </w:rPr>
      </w:pPr>
    </w:p>
    <w:p>
      <w:pPr>
        <w:ind w:right="580" w:firstLine="436"/>
        <w:spacing w:after="0" w:line="286" w:lineRule="auto"/>
        <w:tabs>
          <w:tab w:leader="none" w:pos="69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proceeds of such Sale and Lease-Back Transaction are at least equal to the fair market value of the affected Principal Property (as determined in good faith by the Board of Directors) and the Company applies an amount equal to the net proceeds of such Sale and Lease-Back Transaction within 365 days of such Sale and Lease-Back Transaction to any (or a combination) of:</w:t>
      </w:r>
    </w:p>
    <w:p>
      <w:pPr>
        <w:spacing w:after="0" w:line="57" w:lineRule="exact"/>
        <w:rPr>
          <w:rFonts w:ascii="Arial" w:cs="Arial" w:eastAsia="Arial" w:hAnsi="Arial"/>
          <w:sz w:val="17"/>
          <w:szCs w:val="17"/>
          <w:color w:val="auto"/>
        </w:rPr>
      </w:pPr>
    </w:p>
    <w:p>
      <w:pPr>
        <w:ind w:left="1080" w:hanging="221"/>
        <w:spacing w:after="0"/>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prepayment or retirement of the Senior Notes;</w:t>
      </w:r>
    </w:p>
    <w:p>
      <w:pPr>
        <w:spacing w:after="0" w:line="117" w:lineRule="exact"/>
        <w:rPr>
          <w:rFonts w:ascii="Arial" w:cs="Arial" w:eastAsia="Arial" w:hAnsi="Arial"/>
          <w:sz w:val="18"/>
          <w:szCs w:val="18"/>
          <w:color w:val="auto"/>
        </w:rPr>
      </w:pPr>
    </w:p>
    <w:p>
      <w:pPr>
        <w:ind w:left="440" w:right="80" w:firstLine="419"/>
        <w:spacing w:after="0" w:line="301" w:lineRule="auto"/>
        <w:tabs>
          <w:tab w:leader="none" w:pos="1128"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prepayment or retirement (other than any mandatory retirement, mandatory prepayment or sinking fund payment or by payment at Maturity) of other Indebtedness of the Company or of one of its Subsidiaries (other than Indebtedness that is subordinated to the Senior Notes or Indebtedness owed to the Company or one of its Subsidiaries) that matures more than 12 months after its creation (including any such Indebtedness that by its terms is renewable or extendible beyond 12 months from the date of its creation, at the option of the Company); or</w:t>
      </w:r>
    </w:p>
    <w:p>
      <w:pPr>
        <w:spacing w:after="0" w:line="49" w:lineRule="exact"/>
        <w:rPr>
          <w:rFonts w:ascii="Arial" w:cs="Arial" w:eastAsia="Arial" w:hAnsi="Arial"/>
          <w:sz w:val="16"/>
          <w:szCs w:val="16"/>
          <w:color w:val="auto"/>
        </w:rPr>
      </w:pPr>
    </w:p>
    <w:p>
      <w:pPr>
        <w:ind w:left="1180" w:hanging="321"/>
        <w:spacing w:after="0"/>
        <w:tabs>
          <w:tab w:leader="none" w:pos="11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purchase, construction, development, expansion or improvement of other comparable property.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440" w:top="274" w:right="539" w:bottom="1440" w:gutter="0" w:footer="0" w:header="0"/>
        </w:sectPr>
      </w:pPr>
    </w:p>
    <w:bookmarkStart w:id="26" w:name="page27"/>
    <w:bookmarkEnd w:id="26"/>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the Company and its Significant Subsidiaries shall be allowed to enter into any Sale and Lease-Back Transaction if, after giving effect to such Sale and Lease-Back Transaction, the sum of (i) the aggregate principal amount of all Indebtedness of the Company and its Subsidiaries secured by Subject Liens (other than Permitted Liens) and (ii) the Attributable Debt in respect of all Sale and Lease-Back Transactions not otherwise permitted under the first sentence of this Section 3.3, does not exceed fifteen percent of Consolidated Net Tangible Assets.</w:t>
      </w:r>
    </w:p>
    <w:p>
      <w:pPr>
        <w:spacing w:after="0" w:line="15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i w:val="1"/>
          <w:iCs w:val="1"/>
          <w:color w:val="auto"/>
        </w:rPr>
        <w:t>Limitations on Mergers and Other Transactions</w:t>
      </w:r>
      <w:r>
        <w:rPr>
          <w:rFonts w:ascii="Arial" w:cs="Arial" w:eastAsia="Arial" w:hAnsi="Arial"/>
          <w:sz w:val="18"/>
          <w:szCs w:val="18"/>
          <w:color w:val="auto"/>
        </w:rPr>
        <w:t>. With respect to the Senior Notes, the provisions of Section 6.04 of the Original Indenture shall be replaced in its entirety with the following:</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Company May Consolidate, Etc., Only on Certain Terms</w:t>
      </w:r>
      <w:r>
        <w:rPr>
          <w:rFonts w:ascii="Arial" w:cs="Arial" w:eastAsia="Arial" w:hAnsi="Arial"/>
          <w:sz w:val="18"/>
          <w:szCs w:val="18"/>
          <w:color w:val="auto"/>
        </w:rPr>
        <w:t>.</w:t>
      </w:r>
    </w:p>
    <w:p>
      <w:pPr>
        <w:spacing w:after="0" w:line="117" w:lineRule="exact"/>
        <w:rPr>
          <w:sz w:val="20"/>
          <w:szCs w:val="20"/>
          <w:color w:val="auto"/>
        </w:rPr>
      </w:pPr>
    </w:p>
    <w:p>
      <w:pPr>
        <w:ind w:left="440" w:right="140" w:firstLine="419"/>
        <w:spacing w:after="0" w:line="277" w:lineRule="auto"/>
        <w:tabs>
          <w:tab w:leader="none" w:pos="110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shall not consolidate or merge with another entity or sell, transfer or otherwise convey all or substantially all of its assets to another entity, unless in each case:</w:t>
      </w:r>
    </w:p>
    <w:p>
      <w:pPr>
        <w:spacing w:after="0" w:line="62" w:lineRule="exact"/>
        <w:rPr>
          <w:rFonts w:ascii="Arial" w:cs="Arial" w:eastAsia="Arial" w:hAnsi="Arial"/>
          <w:sz w:val="18"/>
          <w:szCs w:val="18"/>
          <w:color w:val="auto"/>
        </w:rPr>
      </w:pPr>
    </w:p>
    <w:p>
      <w:pPr>
        <w:ind w:left="980" w:right="260" w:firstLine="408"/>
        <w:spacing w:after="0" w:line="286" w:lineRule="auto"/>
        <w:tabs>
          <w:tab w:leader="none" w:pos="1636"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resulting entity (if other than the Company) (x) is a Person organized under the laws of any U.S. jurisdiction, the United Kingdom or any country that is a member of the European Union on the Issue Date and (y) delivers a supplemental indenture by which such surviving entity expressly assumes the Company’s obligations under the Indenture; and</w:t>
      </w:r>
    </w:p>
    <w:p>
      <w:pPr>
        <w:spacing w:after="0" w:line="57" w:lineRule="exact"/>
        <w:rPr>
          <w:rFonts w:ascii="Arial" w:cs="Arial" w:eastAsia="Arial" w:hAnsi="Arial"/>
          <w:sz w:val="17"/>
          <w:szCs w:val="17"/>
          <w:color w:val="auto"/>
        </w:rPr>
      </w:pPr>
    </w:p>
    <w:p>
      <w:pPr>
        <w:ind w:left="980" w:right="440" w:firstLine="408"/>
        <w:spacing w:after="0" w:line="308" w:lineRule="auto"/>
        <w:tabs>
          <w:tab w:leader="none" w:pos="1636" w:val="left"/>
        </w:tabs>
        <w:numPr>
          <w:ilvl w:val="1"/>
          <w:numId w:val="29"/>
        </w:numPr>
        <w:rPr>
          <w:rFonts w:ascii="Arial" w:cs="Arial" w:eastAsia="Arial" w:hAnsi="Arial"/>
          <w:sz w:val="17"/>
          <w:szCs w:val="17"/>
          <w:color w:val="auto"/>
        </w:rPr>
      </w:pPr>
      <w:r>
        <w:rPr>
          <w:rFonts w:ascii="Arial" w:cs="Arial" w:eastAsia="Arial" w:hAnsi="Arial"/>
          <w:sz w:val="17"/>
          <w:szCs w:val="17"/>
          <w:color w:val="auto"/>
        </w:rPr>
        <w:t>immediately following the consolidation, merger, sale or conveyance, no Event of Default (as defined below) (and no event which, after notice or lapse of time or both, would become an Event of Default) shall have occurred and be continuing.</w:t>
      </w:r>
    </w:p>
    <w:p>
      <w:pPr>
        <w:spacing w:after="0" w:line="38" w:lineRule="exact"/>
        <w:rPr>
          <w:rFonts w:ascii="Arial" w:cs="Arial" w:eastAsia="Arial" w:hAnsi="Arial"/>
          <w:sz w:val="17"/>
          <w:szCs w:val="17"/>
          <w:color w:val="auto"/>
        </w:rPr>
      </w:pPr>
    </w:p>
    <w:p>
      <w:pPr>
        <w:ind w:left="440" w:firstLine="419"/>
        <w:spacing w:after="0" w:line="273" w:lineRule="auto"/>
        <w:tabs>
          <w:tab w:leader="none" w:pos="1118" w:val="left"/>
        </w:tabs>
        <w:numPr>
          <w:ilvl w:val="0"/>
          <w:numId w:val="29"/>
        </w:numPr>
        <w:rPr>
          <w:rFonts w:ascii="Arial" w:cs="Arial" w:eastAsia="Arial" w:hAnsi="Arial"/>
          <w:sz w:val="17"/>
          <w:szCs w:val="17"/>
          <w:color w:val="auto"/>
        </w:rPr>
      </w:pPr>
      <w:r>
        <w:rPr>
          <w:rFonts w:ascii="Arial" w:cs="Arial" w:eastAsia="Arial" w:hAnsi="Arial"/>
          <w:sz w:val="17"/>
          <w:szCs w:val="17"/>
          <w:color w:val="auto"/>
        </w:rPr>
        <w:t>Upon any consolidation of the Company with, or merger of the Company into, any other Person or any conveyance, transfer or lease of the properties and assets of the Company substantially as an entirety to another Person in accordance with Section 6.04(a) hereof, the successor Person formed by such consolidation or into which the Company is merged or to which such merger, sale or conveyance,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i w:val="1"/>
          <w:iCs w:val="1"/>
          <w:color w:val="auto"/>
        </w:rPr>
        <w:t>Repurchase upon Change of Control Triggering Event</w:t>
      </w:r>
      <w:r>
        <w:rPr>
          <w:rFonts w:ascii="Arial" w:cs="Arial" w:eastAsia="Arial" w:hAnsi="Arial"/>
          <w:sz w:val="18"/>
          <w:szCs w:val="18"/>
          <w:color w:val="auto"/>
        </w:rPr>
        <w:t>.</w:t>
      </w:r>
    </w:p>
    <w:p>
      <w:pPr>
        <w:spacing w:after="0" w:line="117" w:lineRule="exact"/>
        <w:rPr>
          <w:sz w:val="20"/>
          <w:szCs w:val="20"/>
          <w:color w:val="auto"/>
        </w:rPr>
      </w:pPr>
    </w:p>
    <w:p>
      <w:pPr>
        <w:ind w:right="120" w:firstLine="436"/>
        <w:spacing w:after="0" w:line="296" w:lineRule="auto"/>
        <w:tabs>
          <w:tab w:leader="none" w:pos="685"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a Change of Control Triggering Event occurs with respect to the Senior Notes, unless the Company has exercised its right pursuant to Section 4.1, Section 4.2 or Section 4.4 hereof to redeem the Senior Notes, the Company will make an offer to each Holder of the Senior Notes to repurchase all or, at such Holder’s option, any part (equal to $2,000 or any integral multiple of $1,000 in excess thereof) of such Holder’s Senior Notes (the “</w:t>
      </w:r>
      <w:r>
        <w:rPr>
          <w:rFonts w:ascii="Arial" w:cs="Arial" w:eastAsia="Arial" w:hAnsi="Arial"/>
          <w:sz w:val="16"/>
          <w:szCs w:val="16"/>
          <w:b w:val="1"/>
          <w:bCs w:val="1"/>
          <w:color w:val="auto"/>
        </w:rPr>
        <w:t>Change of Control Offer</w:t>
      </w:r>
      <w:r>
        <w:rPr>
          <w:rFonts w:ascii="Arial" w:cs="Arial" w:eastAsia="Arial" w:hAnsi="Arial"/>
          <w:sz w:val="16"/>
          <w:szCs w:val="16"/>
          <w:color w:val="auto"/>
        </w:rPr>
        <w:t>”) for payment in cash equal to 101% of the aggregate principal amount of the Senior Notes repurchased plus accrued and unpaid interest, if any, on the Senior Notes repurchased to, but not including, the date of purchase (the “</w:t>
      </w:r>
      <w:r>
        <w:rPr>
          <w:rFonts w:ascii="Arial" w:cs="Arial" w:eastAsia="Arial" w:hAnsi="Arial"/>
          <w:sz w:val="16"/>
          <w:szCs w:val="16"/>
          <w:b w:val="1"/>
          <w:bCs w:val="1"/>
          <w:color w:val="auto"/>
        </w:rPr>
        <w:t>Change of Control Payment</w:t>
      </w:r>
      <w:r>
        <w:rPr>
          <w:rFonts w:ascii="Arial" w:cs="Arial" w:eastAsia="Arial" w:hAnsi="Arial"/>
          <w:sz w:val="16"/>
          <w:szCs w:val="16"/>
          <w:color w:val="auto"/>
        </w:rPr>
        <w: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27" w:name="page28"/>
    <w:bookmarkEnd w:id="27"/>
    <w:p>
      <w:pPr>
        <w:ind w:firstLine="436"/>
        <w:spacing w:after="0" w:line="270" w:lineRule="auto"/>
        <w:tabs>
          <w:tab w:leader="none" w:pos="695" w:val="left"/>
        </w:tabs>
        <w:numPr>
          <w:ilvl w:val="0"/>
          <w:numId w:val="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Within 30 days following any Change of Control Triggering Event with respect to the Senior Notes or, at the Company’s option, prior to any Change of Control but after the public announcement of the transaction or transactions that constitute or may constitute a Change of Control, the Company will mail a notice to Holders of the Senior Notes, with a copy to the Trustee, describing the transaction or transactions that constitute or may constitute the Change of Control Triggering Event and offering to repurchase such Senior Notes on the date specified in the notice, which date will be no earlier than 30 and no later than 60 days from the date such notice is mailed (the “</w:t>
      </w:r>
      <w:r>
        <w:rPr>
          <w:rFonts w:ascii="Arial" w:cs="Arial" w:eastAsia="Arial" w:hAnsi="Arial"/>
          <w:sz w:val="17"/>
          <w:szCs w:val="17"/>
          <w:b w:val="1"/>
          <w:bCs w:val="1"/>
          <w:color w:val="auto"/>
        </w:rPr>
        <w:t>Change of Control Payment Date</w:t>
      </w:r>
      <w:r>
        <w:rPr>
          <w:rFonts w:ascii="Arial" w:cs="Arial" w:eastAsia="Arial" w:hAnsi="Arial"/>
          <w:sz w:val="17"/>
          <w:szCs w:val="17"/>
          <w:color w:val="auto"/>
        </w:rPr>
        <w:t>”), pursuant to the procedures required by such Senior Notes and described in such notice. The notice shall, if mailed prior to the date of consummation of the Change of Control, state that the offer to purchase is conditioned on the Change of Control Triggering Event occurring on or prior to the Change of Control Payment Date. Upon ten (10) Business Days’ advance written notice to the Trustee, the Company may request the Trustee to send the notice to Holders described in this Section 3.5(b) in the name of and at the expense of the Company.</w:t>
      </w:r>
    </w:p>
    <w:p>
      <w:pPr>
        <w:spacing w:after="0" w:line="72" w:lineRule="exact"/>
        <w:rPr>
          <w:rFonts w:ascii="Arial" w:cs="Arial" w:eastAsia="Arial" w:hAnsi="Arial"/>
          <w:sz w:val="17"/>
          <w:szCs w:val="17"/>
          <w:color w:val="auto"/>
        </w:rPr>
      </w:pPr>
    </w:p>
    <w:p>
      <w:pPr>
        <w:ind w:right="60" w:firstLine="436"/>
        <w:spacing w:after="0" w:line="257" w:lineRule="auto"/>
        <w:tabs>
          <w:tab w:leader="none" w:pos="68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will comply with the requirements of Rule 14e-1 under the Exchange Act and any other securities laws and regulations thereunder to the extent those laws and regulations are applicable in connection with the repurchase of such Senior Notes as a result of a Change of Control Triggering Event. To the extent that the provisions of any such securities laws or regulations conflict with the Senior Notes or the Indenture, the Company will comply with those securities laws and regulations and will not be deemed to have breached its obligations under the Senior Notes or the Indenture by virtue of such conflict.</w:t>
      </w:r>
    </w:p>
    <w:p>
      <w:pPr>
        <w:spacing w:after="0" w:line="79" w:lineRule="exact"/>
        <w:rPr>
          <w:rFonts w:ascii="Arial" w:cs="Arial" w:eastAsia="Arial" w:hAnsi="Arial"/>
          <w:sz w:val="18"/>
          <w:szCs w:val="18"/>
          <w:color w:val="auto"/>
        </w:rPr>
      </w:pPr>
    </w:p>
    <w:p>
      <w:pPr>
        <w:ind w:left="700" w:hanging="264"/>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shall, to the extent lawful:</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accept for payment all Senior Notes or portions of Senior Notes properly tendered pursuant to the Change of Control Offer;</w:t>
      </w:r>
    </w:p>
    <w:p>
      <w:pPr>
        <w:spacing w:after="0" w:line="117" w:lineRule="exact"/>
        <w:rPr>
          <w:rFonts w:ascii="Arial" w:cs="Arial" w:eastAsia="Arial" w:hAnsi="Arial"/>
          <w:sz w:val="18"/>
          <w:szCs w:val="18"/>
          <w:color w:val="auto"/>
        </w:rPr>
      </w:pPr>
    </w:p>
    <w:p>
      <w:pPr>
        <w:ind w:left="440" w:right="280" w:firstLine="419"/>
        <w:spacing w:after="0" w:line="277" w:lineRule="auto"/>
        <w:tabs>
          <w:tab w:leader="none" w:pos="112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Senior Notes or portions of Senior Notes properly tendered; and</w:t>
      </w:r>
    </w:p>
    <w:p>
      <w:pPr>
        <w:spacing w:after="0" w:line="62" w:lineRule="exact"/>
        <w:rPr>
          <w:rFonts w:ascii="Arial" w:cs="Arial" w:eastAsia="Arial" w:hAnsi="Arial"/>
          <w:sz w:val="18"/>
          <w:szCs w:val="18"/>
          <w:color w:val="auto"/>
        </w:rPr>
      </w:pPr>
    </w:p>
    <w:p>
      <w:pPr>
        <w:ind w:left="440" w:right="240" w:firstLine="419"/>
        <w:spacing w:after="0" w:line="277" w:lineRule="auto"/>
        <w:tabs>
          <w:tab w:leader="none" w:pos="117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deliver or cause to be delivered to the Trustee or the Paying Agent properly accepted together with an Officer’s Certificate stating the aggregate principal amount of Senior Notes or portions of Senior Notes being purchased by the Company.</w:t>
      </w:r>
    </w:p>
    <w:p>
      <w:pPr>
        <w:spacing w:after="0" w:line="62" w:lineRule="exact"/>
        <w:rPr>
          <w:rFonts w:ascii="Arial" w:cs="Arial" w:eastAsia="Arial" w:hAnsi="Arial"/>
          <w:sz w:val="18"/>
          <w:szCs w:val="18"/>
          <w:color w:val="auto"/>
        </w:rPr>
      </w:pPr>
    </w:p>
    <w:p>
      <w:pPr>
        <w:jc w:val="both"/>
        <w:ind w:right="100" w:firstLine="436"/>
        <w:spacing w:after="0" w:line="259" w:lineRule="auto"/>
        <w:tabs>
          <w:tab w:leader="none" w:pos="68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Paying Agent shall promptly mail, to each Holder who properly tendered Senior Notes, the purchase price for such Senior Notes, and the Trustee shall promptly authenticate and mail (or cause to be transferred by book entry) to each such Holder a new Security equal in principal amount to any unpurchased portion of the Senior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Security will be in a principal amount of $2,000 or an integral multiple of $1,000 in excess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8" w:name="page29"/>
    <w:bookmarkEnd w:id="28"/>
    <w:p>
      <w:pPr>
        <w:ind w:right="20" w:firstLine="436"/>
        <w:spacing w:after="0" w:line="296" w:lineRule="auto"/>
        <w:tabs>
          <w:tab w:leader="none" w:pos="665" w:val="left"/>
        </w:tabs>
        <w:numPr>
          <w:ilvl w:val="0"/>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will not be required to make a Change of Control Offer upon a Change of Control Triggering Event if a third party makes such a Change of Control Offer in the manner, at the times and otherwise in compliance with the requirements set forth in this Ninth Supplemental Indenture applicable to a Change of Control Offer made by the Company and such third party purchases all Senior Notes properly tendered and not withdrawn under its Change of Control Offer. In the event that such third party terminates or defaults on its Change of Control Offer, the Company shall make a Change of Control Offer treating the date of such termination or default as though it were the date of the Change of Control Triggering Event.</w:t>
      </w:r>
    </w:p>
    <w:p>
      <w:pPr>
        <w:spacing w:after="0" w:line="161" w:lineRule="exact"/>
        <w:rPr>
          <w:rFonts w:ascii="Arial" w:cs="Arial" w:eastAsia="Arial" w:hAnsi="Arial"/>
          <w:sz w:val="16"/>
          <w:szCs w:val="16"/>
          <w:color w:val="auto"/>
        </w:rPr>
      </w:pPr>
    </w:p>
    <w:p>
      <w:pPr>
        <w:ind w:right="100" w:firstLine="436"/>
        <w:spacing w:after="0" w:line="277"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will not purchase any Senior Notes if there has occurred and is continuing on the Change of Control Payment Date an Event of Default under the Indenture, other than a default in the payment of the Change of Control Payment.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FOUR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Optional Redemption by Company</w:t>
      </w:r>
      <w:r>
        <w:rPr>
          <w:rFonts w:ascii="Arial" w:cs="Arial" w:eastAsia="Arial" w:hAnsi="Arial"/>
          <w:sz w:val="18"/>
          <w:szCs w:val="18"/>
          <w:color w:val="auto"/>
        </w:rPr>
        <w:t>.</w:t>
      </w:r>
    </w:p>
    <w:p>
      <w:pPr>
        <w:spacing w:after="0" w:line="117" w:lineRule="exact"/>
        <w:rPr>
          <w:sz w:val="20"/>
          <w:szCs w:val="20"/>
          <w:color w:val="auto"/>
        </w:rPr>
      </w:pPr>
    </w:p>
    <w:p>
      <w:pPr>
        <w:jc w:val="both"/>
        <w:ind w:right="60" w:firstLine="436"/>
        <w:spacing w:after="0" w:line="342" w:lineRule="auto"/>
        <w:tabs>
          <w:tab w:leader="none" w:pos="68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 shall have the right to redeem the Senior Notes, in whole, at any time, or in part, from time to time, prior to December 21, 2021 (twelve months before their maturity date (the “</w:t>
      </w:r>
      <w:r>
        <w:rPr>
          <w:rFonts w:ascii="Arial" w:cs="Arial" w:eastAsia="Arial" w:hAnsi="Arial"/>
          <w:sz w:val="16"/>
          <w:szCs w:val="16"/>
          <w:b w:val="1"/>
          <w:bCs w:val="1"/>
          <w:color w:val="auto"/>
        </w:rPr>
        <w:t>Par Call Date</w:t>
      </w:r>
      <w:r>
        <w:rPr>
          <w:rFonts w:ascii="Arial" w:cs="Arial" w:eastAsia="Arial" w:hAnsi="Arial"/>
          <w:sz w:val="16"/>
          <w:szCs w:val="16"/>
          <w:color w:val="auto"/>
        </w:rPr>
        <w:t>”)) at a redemption price (the “</w:t>
      </w:r>
      <w:r>
        <w:rPr>
          <w:rFonts w:ascii="Arial" w:cs="Arial" w:eastAsia="Arial" w:hAnsi="Arial"/>
          <w:sz w:val="16"/>
          <w:szCs w:val="16"/>
          <w:b w:val="1"/>
          <w:bCs w:val="1"/>
          <w:color w:val="auto"/>
        </w:rPr>
        <w:t>Make-Whole Redemption Price</w:t>
      </w:r>
      <w:r>
        <w:rPr>
          <w:rFonts w:ascii="Arial" w:cs="Arial" w:eastAsia="Arial" w:hAnsi="Arial"/>
          <w:sz w:val="16"/>
          <w:szCs w:val="16"/>
          <w:color w:val="auto"/>
        </w:rPr>
        <w:t>”) equal to the greater of:</w:t>
      </w:r>
    </w:p>
    <w:p>
      <w:pPr>
        <w:spacing w:after="0" w:line="15" w:lineRule="exact"/>
        <w:rPr>
          <w:rFonts w:ascii="Arial" w:cs="Arial" w:eastAsia="Arial" w:hAnsi="Arial"/>
          <w:sz w:val="16"/>
          <w:szCs w:val="16"/>
          <w:color w:val="auto"/>
        </w:rPr>
      </w:pPr>
    </w:p>
    <w:p>
      <w:pPr>
        <w:ind w:left="1080" w:hanging="221"/>
        <w:spacing w:after="0"/>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100% of the principal amount of the Senior Notes to be redeemed; and</w:t>
      </w:r>
    </w:p>
    <w:p>
      <w:pPr>
        <w:spacing w:after="0" w:line="117" w:lineRule="exact"/>
        <w:rPr>
          <w:rFonts w:ascii="Arial" w:cs="Arial" w:eastAsia="Arial" w:hAnsi="Arial"/>
          <w:sz w:val="18"/>
          <w:szCs w:val="18"/>
          <w:color w:val="auto"/>
        </w:rPr>
      </w:pPr>
    </w:p>
    <w:p>
      <w:pPr>
        <w:ind w:left="440" w:right="60" w:firstLine="419"/>
        <w:spacing w:after="0" w:line="301" w:lineRule="auto"/>
        <w:tabs>
          <w:tab w:leader="none" w:pos="1128" w:val="left"/>
        </w:tabs>
        <w:numPr>
          <w:ilvl w:val="1"/>
          <w:numId w:val="33"/>
        </w:numPr>
        <w:rPr>
          <w:rFonts w:ascii="Arial" w:cs="Arial" w:eastAsia="Arial" w:hAnsi="Arial"/>
          <w:sz w:val="16"/>
          <w:szCs w:val="16"/>
          <w:color w:val="auto"/>
        </w:rPr>
      </w:pPr>
      <w:r>
        <w:rPr>
          <w:rFonts w:ascii="Arial" w:cs="Arial" w:eastAsia="Arial" w:hAnsi="Arial"/>
          <w:sz w:val="16"/>
          <w:szCs w:val="16"/>
          <w:color w:val="auto"/>
        </w:rPr>
        <w:t>as determined by the Quotation Agent, the sum of the present values of the remaining scheduled payments of principal and interest in respect of the Senior Notes to be redeemed (assuming the Senior Notes matured on the Par Call Date and exclusive of interest accrued and unpaid as of the Redemption Date) discounted to the Redemption Date on a semi-annual basis (assuming a 360-day year consisting of twelve 30-day months), at a rate equal to the Treasury Rate plus 5 basis points, plus accrued and unpaid interest thereon to the Redemption Date.</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If the Redemption Date is after a Record Date and on or prior to a corresponding Interest Payment Date, interest will be paid on the Redemption Date to the holder of record on the Record Date. On and after a Redemption Date, interest will cease to accrue on the Senior Notes called for redemption (unless the Company defaults in the payment of the Make-Whole Redemption Price and accrued interest). On or before a Redemption Date, the Company will deposit with the Paying Agent (or the Trustee) money sufficient to pay the Make-Whole Redemption Price of and accrued interest on the Senior Notes to be redeemed on that date. If less than all of the Senior Notes are to be redeemed, the Senior Notes to be redeemed shall be selected by the Trustee pro rata or by lot or by a method the Trustee deems to be fair and appropriate;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the time of redemption the Senior Notes to be redeemed are registered as one or more Global Securities, the Depositary shall determine, in accordance with its procedures, the principal amount of the Senior Notes to be redeemed held by each Holder of such Senior Notes.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9" w:name="page30"/>
    <w:bookmarkEnd w:id="29"/>
    <w:p>
      <w:pPr>
        <w:ind w:right="220" w:firstLine="436"/>
        <w:spacing w:after="0" w:line="263"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at any time on or after the Par Call Date, the Company shall have the right to redeem the Senior Notes, in whole, at any time, or in part, from time to time, at a redemption price equal to 100% of the principal amount of the Senior Notes to be redeemed plus accrued and unpaid interest thereon to, but excluding, the Redemption Date.</w:t>
      </w:r>
    </w:p>
    <w:p>
      <w:pPr>
        <w:spacing w:after="0" w:line="183" w:lineRule="exact"/>
        <w:rPr>
          <w:rFonts w:ascii="Arial" w:cs="Arial" w:eastAsia="Arial" w:hAnsi="Arial"/>
          <w:sz w:val="18"/>
          <w:szCs w:val="18"/>
          <w:color w:val="auto"/>
        </w:rPr>
      </w:pPr>
    </w:p>
    <w:p>
      <w:pPr>
        <w:ind w:right="20" w:firstLine="436"/>
        <w:spacing w:after="0" w:line="271" w:lineRule="auto"/>
        <w:tabs>
          <w:tab w:leader="none" w:pos="685"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Notice of any redemption pursuant to this Section 4.1 shall be given as provided in Section 4.03 of the Original Indenture, with a copy to the Paying Agent; provided, that, with respect to the Senior Notes, the number “30” referenced in Section 4.03(a) of the Original Indenture shall be replaced with the number “10”. Any notice of redemption will be given prior to the applicable Redemption Date and any such notice of redemption may, at the Company’s discretion, be subject to one or more conditions precedent, including, but not limited to, completion of securities offerings or other corporate transactions. If the Company requests the Trustee to provide such notice of redemption pursuant to Section 4.03 of the Original Indenture, the Trustee shall receive written notice from the Company at least 10 days prior to when such notice of redemption is to be delivered (unless a shorter period is agreed by the Trustee). The Trustee shall not be responsible for the calculation of such Make-Whole Redemption Price. The Company shall calculate such Make-Whole Redemption Price and promptly notify the Trustee in writing thereof.</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Tax Redemption</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as a result of:</w:t>
      </w:r>
    </w:p>
    <w:p>
      <w:pPr>
        <w:spacing w:after="0" w:line="117" w:lineRule="exact"/>
        <w:rPr>
          <w:sz w:val="20"/>
          <w:szCs w:val="20"/>
          <w:color w:val="auto"/>
        </w:rPr>
      </w:pPr>
    </w:p>
    <w:p>
      <w:pPr>
        <w:jc w:val="both"/>
        <w:ind w:left="440" w:firstLine="419"/>
        <w:spacing w:after="0" w:line="286" w:lineRule="auto"/>
        <w:tabs>
          <w:tab w:leader="none" w:pos="1078"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amendment to, or change in, the laws (or regulations or rulings promulgated thereunder) of any Relevant Taxing Jurisdiction which is announced and becomes effective after the date on which a Foreign Successor Issuer becomes a Foreign Successor Issuer (or, where a jurisdiction in question does not become a Relevant Taxing Jurisdiction until a later date, such later date); or</w:t>
      </w:r>
    </w:p>
    <w:p>
      <w:pPr>
        <w:spacing w:after="0" w:line="57" w:lineRule="exact"/>
        <w:rPr>
          <w:rFonts w:ascii="Arial" w:cs="Arial" w:eastAsia="Arial" w:hAnsi="Arial"/>
          <w:sz w:val="17"/>
          <w:szCs w:val="17"/>
          <w:color w:val="auto"/>
        </w:rPr>
      </w:pPr>
    </w:p>
    <w:p>
      <w:pPr>
        <w:ind w:left="440" w:right="220" w:firstLine="419"/>
        <w:spacing w:after="0" w:line="311" w:lineRule="auto"/>
        <w:tabs>
          <w:tab w:leader="none" w:pos="1128"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amendment to, or change in, the official application or official interpretation of the laws, regulations or rulings of any Relevant Taxing Jurisdiction which is announced and becomes effective after the date on which a Foreign Successor Issuer becomes a Foreign Successor Issuer (or, where a jurisdiction in question does not become a Relevant Taxing Jurisdiction until a later date, such later date),</w:t>
      </w:r>
    </w:p>
    <w:p>
      <w:pPr>
        <w:spacing w:after="0" w:line="149"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such Foreign Successor Issuer would be obligated to pay, on the next date for any payment, Additional Amounts pursuant to Section 3.1 hereof with respect to the Relevant Taxing Jurisdiction, which such Foreign Successor Issuer reasonably determines it cannot avoid by the use of reasonable measures available to it, then such Foreign Successor Issuer may redeem all, but not less than all, of the Senior Notes, at any time thereafter, upon not less than 30 nor more than 60 days’ notice, at a redemption price of 100% of their principal amount, plus accrued and unpaid interest, if any, to the Redemption Date. Prior to the giving of any notice of redemption described in this paragraph, a Foreign Successor Issuer will deliver to the Trustee: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0" w:name="page31"/>
    <w:bookmarkEnd w:id="30"/>
    <w:p>
      <w:pPr>
        <w:ind w:left="444" w:right="300" w:firstLine="419"/>
        <w:spacing w:after="0" w:line="277" w:lineRule="auto"/>
        <w:tabs>
          <w:tab w:leader="none" w:pos="1082"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certificate signed by an officer of such Foreign Successor Issuer stating that the obligation to pay the Additional Amounts cannot be avoided by such Foreign Successor Issuer’s taking reasonable measures available to it; and</w:t>
      </w:r>
    </w:p>
    <w:p>
      <w:pPr>
        <w:spacing w:after="0" w:line="62" w:lineRule="exact"/>
        <w:rPr>
          <w:rFonts w:ascii="Arial" w:cs="Arial" w:eastAsia="Arial" w:hAnsi="Arial"/>
          <w:sz w:val="18"/>
          <w:szCs w:val="18"/>
          <w:color w:val="auto"/>
        </w:rPr>
      </w:pPr>
    </w:p>
    <w:p>
      <w:pPr>
        <w:ind w:left="444" w:right="260" w:firstLine="419"/>
        <w:spacing w:after="0" w:line="263" w:lineRule="auto"/>
        <w:tabs>
          <w:tab w:leader="none" w:pos="11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written opinion of independent legal counsel to such Foreign Successor Issuer of recognized standing to the effect that such Foreign Successor Issuer has or will become obligated to pay such Additional Amounts as a result of a change, amendment, official interpretation or application described above.</w:t>
      </w:r>
    </w:p>
    <w:p>
      <w:pPr>
        <w:spacing w:after="0" w:line="184" w:lineRule="exact"/>
        <w:rPr>
          <w:sz w:val="20"/>
          <w:szCs w:val="20"/>
          <w:color w:val="auto"/>
        </w:rPr>
      </w:pPr>
    </w:p>
    <w:p>
      <w:pPr>
        <w:ind w:left="4" w:right="200" w:firstLine="440"/>
        <w:spacing w:after="0" w:line="296"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i w:val="1"/>
          <w:iCs w:val="1"/>
          <w:color w:val="auto"/>
        </w:rPr>
        <w:t>Notice of Redemption</w:t>
      </w:r>
      <w:r>
        <w:rPr>
          <w:rFonts w:ascii="Arial" w:cs="Arial" w:eastAsia="Arial" w:hAnsi="Arial"/>
          <w:sz w:val="16"/>
          <w:szCs w:val="16"/>
          <w:color w:val="auto"/>
        </w:rPr>
        <w:t>. A Foreign Successor Issuer will deliver a notice of any optional redemption of the Senior Notes described above to each registered holder of the Senior Notes in accordance with Section 4.03 of the Original Indenture. No such notice of redemption may be given more than 60 days before or 365 days after the Foreign Successor Issuer first becomes liable to pay any Additional Amounts. If the Foreign Successor Issuer requests the Trustee to provide the notice in accordance with Section 4.03 of the Original Indenture, the Trustee shall receive written notice from the Company at least 10 days prior to when such notice of redemption is to be delivered (unless a shorter period is agreed by the Trustee).</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Special Mandatory Redemption</w:t>
      </w:r>
      <w:r>
        <w:rPr>
          <w:rFonts w:ascii="Arial" w:cs="Arial" w:eastAsia="Arial" w:hAnsi="Arial"/>
          <w:sz w:val="18"/>
          <w:szCs w:val="18"/>
          <w:color w:val="auto"/>
        </w:rPr>
        <w:t>.</w:t>
      </w:r>
    </w:p>
    <w:p>
      <w:pPr>
        <w:spacing w:after="0" w:line="113" w:lineRule="exact"/>
        <w:rPr>
          <w:sz w:val="20"/>
          <w:szCs w:val="20"/>
          <w:color w:val="auto"/>
        </w:rPr>
      </w:pPr>
    </w:p>
    <w:p>
      <w:pPr>
        <w:ind w:left="684" w:hanging="244"/>
        <w:spacing w:after="0"/>
        <w:tabs>
          <w:tab w:leader="none" w:pos="684" w:val="left"/>
        </w:tabs>
        <w:numPr>
          <w:ilvl w:val="1"/>
          <w:numId w:val="37"/>
        </w:numPr>
        <w:rPr>
          <w:rFonts w:ascii="Arial" w:cs="Arial" w:eastAsia="Arial" w:hAnsi="Arial"/>
          <w:sz w:val="17"/>
          <w:szCs w:val="17"/>
          <w:color w:val="auto"/>
        </w:rPr>
      </w:pPr>
      <w:r>
        <w:rPr>
          <w:rFonts w:ascii="Arial" w:cs="Arial" w:eastAsia="Arial" w:hAnsi="Arial"/>
          <w:sz w:val="17"/>
          <w:szCs w:val="17"/>
          <w:color w:val="auto"/>
        </w:rPr>
        <w:t>If (x) the consummation of the Verafin Transaction does not occur on or before February 18, 2022 (the “</w:t>
      </w:r>
      <w:r>
        <w:rPr>
          <w:rFonts w:ascii="Arial" w:cs="Arial" w:eastAsia="Arial" w:hAnsi="Arial"/>
          <w:sz w:val="17"/>
          <w:szCs w:val="17"/>
          <w:b w:val="1"/>
          <w:bCs w:val="1"/>
          <w:color w:val="auto"/>
        </w:rPr>
        <w:t>Extended Termination Date</w:t>
      </w:r>
      <w:r>
        <w:rPr>
          <w:rFonts w:ascii="Arial" w:cs="Arial" w:eastAsia="Arial" w:hAnsi="Arial"/>
          <w:sz w:val="17"/>
          <w:szCs w:val="17"/>
          <w:color w:val="auto"/>
        </w:rPr>
        <w:t>”) or</w:t>
      </w:r>
    </w:p>
    <w:p>
      <w:pPr>
        <w:spacing w:after="0" w:line="38" w:lineRule="exact"/>
        <w:rPr>
          <w:rFonts w:ascii="Arial" w:cs="Arial" w:eastAsia="Arial" w:hAnsi="Arial"/>
          <w:sz w:val="17"/>
          <w:szCs w:val="17"/>
          <w:color w:val="auto"/>
        </w:rPr>
      </w:pPr>
    </w:p>
    <w:p>
      <w:pPr>
        <w:ind w:left="4" w:hanging="4"/>
        <w:spacing w:after="0" w:line="252" w:lineRule="auto"/>
        <w:tabs>
          <w:tab w:leader="none" w:pos="25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notifies the Trustee that (i) the Verafin Transaction Agreement has been terminated in accordance with its terms prior to the consummation of the Verafin Transaction or (ii) the Company will not pursue the consummation of the Verafin Transaction (the earlier of the date of delivery of such notice described in clause (y) and the Extended Termination Date, the “</w:t>
      </w:r>
      <w:r>
        <w:rPr>
          <w:rFonts w:ascii="Arial" w:cs="Arial" w:eastAsia="Arial" w:hAnsi="Arial"/>
          <w:sz w:val="18"/>
          <w:szCs w:val="18"/>
          <w:b w:val="1"/>
          <w:bCs w:val="1"/>
          <w:color w:val="auto"/>
        </w:rPr>
        <w:t>Special Mandatory Redemption Trigger Date</w:t>
      </w:r>
      <w:r>
        <w:rPr>
          <w:rFonts w:ascii="Arial" w:cs="Arial" w:eastAsia="Arial" w:hAnsi="Arial"/>
          <w:sz w:val="18"/>
          <w:szCs w:val="18"/>
          <w:color w:val="auto"/>
        </w:rPr>
        <w:t>”), the Company will be required to redeem all and not less than all of the Senior Notes then outstanding by a date no later than ten (10) Business Days after the Special Mandatory Redemption Trigger Date (the “</w:t>
      </w:r>
      <w:r>
        <w:rPr>
          <w:rFonts w:ascii="Arial" w:cs="Arial" w:eastAsia="Arial" w:hAnsi="Arial"/>
          <w:sz w:val="18"/>
          <w:szCs w:val="18"/>
          <w:b w:val="1"/>
          <w:bCs w:val="1"/>
          <w:color w:val="auto"/>
        </w:rPr>
        <w:t>Special Mandatory Redemption End Date</w:t>
      </w:r>
      <w:r>
        <w:rPr>
          <w:rFonts w:ascii="Arial" w:cs="Arial" w:eastAsia="Arial" w:hAnsi="Arial"/>
          <w:sz w:val="18"/>
          <w:szCs w:val="18"/>
          <w:color w:val="auto"/>
        </w:rPr>
        <w:t>”) at a redemption price equal to 101% of the principal amount of the Senior Notes to be redeemed plus accrued and unpaid interest thereon to, but excluding, the Special Mandatory Redemption Date (the “</w:t>
      </w:r>
      <w:r>
        <w:rPr>
          <w:rFonts w:ascii="Arial" w:cs="Arial" w:eastAsia="Arial" w:hAnsi="Arial"/>
          <w:sz w:val="18"/>
          <w:szCs w:val="18"/>
          <w:b w:val="1"/>
          <w:bCs w:val="1"/>
          <w:color w:val="auto"/>
        </w:rPr>
        <w:t>Special Mandatory Redemption Price</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4" w:right="80" w:firstLine="436"/>
        <w:spacing w:after="0" w:line="254" w:lineRule="auto"/>
        <w:tabs>
          <w:tab w:leader="none" w:pos="699"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 the event that the Company becomes obligated to redeem the Senior Notes pursuant to Section 4.4(a), the Company will promptly, and in any event not more than five (5) Business Days after the Special Mandatory Redemption Trigger Date, deliver notice to the Trustee of the special mandatory redemption and the date upon which the Senior Notes will be redeemed (the “</w:t>
      </w:r>
      <w:r>
        <w:rPr>
          <w:rFonts w:ascii="Arial" w:cs="Arial" w:eastAsia="Arial" w:hAnsi="Arial"/>
          <w:sz w:val="18"/>
          <w:szCs w:val="18"/>
          <w:b w:val="1"/>
          <w:bCs w:val="1"/>
          <w:color w:val="auto"/>
        </w:rPr>
        <w:t>Special Mandatory Redemption Date</w:t>
      </w:r>
      <w:r>
        <w:rPr>
          <w:rFonts w:ascii="Arial" w:cs="Arial" w:eastAsia="Arial" w:hAnsi="Arial"/>
          <w:sz w:val="18"/>
          <w:szCs w:val="18"/>
          <w:color w:val="auto"/>
        </w:rPr>
        <w:t>,” which date shall be no later than the Special Mandatory Redemption End Date). The Trustee will then promptly deliver such notice to each holder of Senior Notes at its registered address. Unless the Company defaults in payment of the Special Mandatory Redemption Price, on and after such Special Mandatory Redemption Date, interest will cease to accrue on the Senior Notes and the Indenture will be discharged and cease to be of further effect as to all Senior Notes.</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FIVE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RANKING</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Senior in Right of Payment</w:t>
      </w:r>
      <w:r>
        <w:rPr>
          <w:rFonts w:ascii="Arial" w:cs="Arial" w:eastAsia="Arial" w:hAnsi="Arial"/>
          <w:sz w:val="18"/>
          <w:szCs w:val="18"/>
          <w:color w:val="auto"/>
        </w:rPr>
        <w:t xml:space="preserve">. The Senior Notes shall be direct senior obligations of the Company and shall rank (a) senior in right of payment to all existing and future indebtedness that is, by its terms, expressly subordinated in right of payment to the Senior Notes and (b)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senior indebtedness of the Company.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SIX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Amendments</w:t>
      </w:r>
      <w:r>
        <w:rPr>
          <w:rFonts w:ascii="Arial" w:cs="Arial" w:eastAsia="Arial" w:hAnsi="Arial"/>
          <w:sz w:val="18"/>
          <w:szCs w:val="18"/>
          <w:color w:val="auto"/>
        </w:rPr>
        <w:t>. The Original Indenture is hereby amended, with respect to the Senior Notes, by the following:</w:t>
      </w:r>
    </w:p>
    <w:p>
      <w:pPr>
        <w:spacing w:after="0" w:line="117" w:lineRule="exact"/>
        <w:rPr>
          <w:sz w:val="20"/>
          <w:szCs w:val="20"/>
          <w:color w:val="auto"/>
        </w:rPr>
      </w:pPr>
    </w:p>
    <w:p>
      <w:pPr>
        <w:ind w:right="100" w:firstLine="436"/>
        <w:spacing w:after="0" w:line="277" w:lineRule="auto"/>
        <w:tabs>
          <w:tab w:leader="none" w:pos="6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Original Indenture is hereby amended, with respect to the Senior Notes, by replacing the text of Sections 14.02(a)(i)-(iv) thereof with the following text:</w:t>
      </w:r>
    </w:p>
    <w:p>
      <w:pPr>
        <w:spacing w:after="0" w:line="62" w:lineRule="exact"/>
        <w:rPr>
          <w:sz w:val="20"/>
          <w:szCs w:val="20"/>
          <w:color w:val="auto"/>
        </w:rPr>
      </w:pPr>
    </w:p>
    <w:p>
      <w:pPr>
        <w:ind w:left="440" w:right="20" w:firstLine="423"/>
        <w:spacing w:after="0" w:line="263" w:lineRule="auto"/>
        <w:rPr>
          <w:sz w:val="20"/>
          <w:szCs w:val="20"/>
          <w:color w:val="auto"/>
        </w:rPr>
      </w:pPr>
      <w:r>
        <w:rPr>
          <w:rFonts w:ascii="Arial" w:cs="Arial" w:eastAsia="Arial" w:hAnsi="Arial"/>
          <w:sz w:val="18"/>
          <w:szCs w:val="18"/>
          <w:color w:val="auto"/>
        </w:rPr>
        <w:t>“(i) reduce the percentage in principal amount of Outstanding Senior Notes, the consent of whose Holders is required for any amendment of this Indenture or the consent of whose Holders is required for any waiver of compliance with provisions of this Indenture or Defaults under this Indenture;</w:t>
      </w:r>
    </w:p>
    <w:p>
      <w:pPr>
        <w:spacing w:after="0" w:line="76" w:lineRule="exact"/>
        <w:rPr>
          <w:sz w:val="20"/>
          <w:szCs w:val="20"/>
          <w:color w:val="auto"/>
        </w:rPr>
      </w:pPr>
    </w:p>
    <w:p>
      <w:pPr>
        <w:ind w:left="1120" w:hanging="261"/>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rate of interest on any Senior Note or change the time for payment of interest;</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principal, or premium, if any, due on, the Senior Notes or change the Stated Maturity thereof;</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change the Place of Payment where, or the Currency in which, any Senior Note or any premium or interest thereon is payable;</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 the provisions relating to waiver of defaults under this Indenture (including, without limitation, Sections 6.06 and 7.06 hereof);</w:t>
      </w:r>
    </w:p>
    <w:p>
      <w:pPr>
        <w:spacing w:after="0" w:line="140" w:lineRule="exact"/>
        <w:rPr>
          <w:rFonts w:ascii="Arial" w:cs="Arial" w:eastAsia="Arial" w:hAnsi="Arial"/>
          <w:sz w:val="16"/>
          <w:szCs w:val="16"/>
          <w:color w:val="auto"/>
        </w:rPr>
      </w:pPr>
    </w:p>
    <w:p>
      <w:pPr>
        <w:ind w:left="1160" w:hanging="301"/>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modify the provisions of this Indenture relating to the ranking of the Senior Notes in a manner adverse to Holders;</w:t>
      </w:r>
    </w:p>
    <w:p>
      <w:pPr>
        <w:spacing w:after="0" w:line="117" w:lineRule="exact"/>
        <w:rPr>
          <w:rFonts w:ascii="Arial" w:cs="Arial" w:eastAsia="Arial" w:hAnsi="Arial"/>
          <w:sz w:val="18"/>
          <w:szCs w:val="18"/>
          <w:color w:val="auto"/>
        </w:rPr>
      </w:pPr>
    </w:p>
    <w:p>
      <w:pPr>
        <w:ind w:left="440" w:firstLine="419"/>
        <w:spacing w:after="0" w:line="277" w:lineRule="auto"/>
        <w:tabs>
          <w:tab w:leader="none" w:pos="121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impair the right of Holders to institute suit for the enforcement of any payment on or after the Stated Maturity thereof (or, in the case of redemption, on or after the Redemption Date); or</w:t>
      </w:r>
    </w:p>
    <w:p>
      <w:pPr>
        <w:spacing w:after="0" w:line="62" w:lineRule="exact"/>
        <w:rPr>
          <w:rFonts w:ascii="Arial" w:cs="Arial" w:eastAsia="Arial" w:hAnsi="Arial"/>
          <w:sz w:val="18"/>
          <w:szCs w:val="18"/>
          <w:color w:val="auto"/>
        </w:rPr>
      </w:pPr>
    </w:p>
    <w:p>
      <w:pPr>
        <w:ind w:left="440" w:right="440" w:firstLine="419"/>
        <w:spacing w:after="0" w:line="342" w:lineRule="auto"/>
        <w:tabs>
          <w:tab w:leader="none" w:pos="1268" w:val="left"/>
        </w:tabs>
        <w:numPr>
          <w:ilvl w:val="0"/>
          <w:numId w:val="40"/>
        </w:numPr>
        <w:rPr>
          <w:rFonts w:ascii="Arial" w:cs="Arial" w:eastAsia="Arial" w:hAnsi="Arial"/>
          <w:sz w:val="16"/>
          <w:szCs w:val="16"/>
          <w:color w:val="auto"/>
        </w:rPr>
      </w:pPr>
      <w:r>
        <w:rPr>
          <w:rFonts w:ascii="Arial" w:cs="Arial" w:eastAsia="Arial" w:hAnsi="Arial"/>
          <w:sz w:val="16"/>
          <w:szCs w:val="16"/>
          <w:color w:val="auto"/>
        </w:rPr>
        <w:t>modify any of the provisions of this Section 14.02(a), or, except to increase any such percentage or to provide that certain other provisions of this Indenture cannot be modified or waived without the consent of the Holder of each Outstanding Security affected thereby.”</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4" w:right="499" w:bottom="1440" w:gutter="0" w:footer="0" w:header="0"/>
        </w:sectPr>
      </w:pPr>
    </w:p>
    <w:bookmarkStart w:id="32" w:name="page33"/>
    <w:bookmarkEnd w:id="32"/>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 The Original Indenture is hereby amended, with respect to the Senior Notes, by adding the following text as new Section 11.01(o):</w:t>
      </w:r>
    </w:p>
    <w:p>
      <w:pPr>
        <w:spacing w:after="0" w:line="129" w:lineRule="exact"/>
        <w:rPr>
          <w:sz w:val="20"/>
          <w:szCs w:val="20"/>
          <w:color w:val="auto"/>
        </w:rPr>
      </w:pPr>
    </w:p>
    <w:p>
      <w:pPr>
        <w:ind w:left="440" w:right="420" w:firstLine="423"/>
        <w:spacing w:after="0" w:line="263" w:lineRule="auto"/>
        <w:rPr>
          <w:sz w:val="20"/>
          <w:szCs w:val="20"/>
          <w:color w:val="auto"/>
        </w:rPr>
      </w:pPr>
      <w:r>
        <w:rPr>
          <w:rFonts w:ascii="Arial" w:cs="Arial" w:eastAsia="Arial" w:hAnsi="Arial"/>
          <w:sz w:val="18"/>
          <w:szCs w:val="18"/>
          <w:color w:val="auto"/>
        </w:rPr>
        <w:t>“(o)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SEVEN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DEFEASANCE/SATISFACTION AND DISCHARGE</w:t>
      </w:r>
    </w:p>
    <w:p>
      <w:pPr>
        <w:spacing w:after="0" w:line="225"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i w:val="1"/>
          <w:iCs w:val="1"/>
          <w:color w:val="auto"/>
        </w:rPr>
        <w:t>Satisfaction and Discharge of Indenture/Defeasance.</w:t>
      </w:r>
      <w:r>
        <w:rPr>
          <w:rFonts w:ascii="Arial" w:cs="Arial" w:eastAsia="Arial" w:hAnsi="Arial"/>
          <w:sz w:val="17"/>
          <w:szCs w:val="17"/>
          <w:color w:val="auto"/>
        </w:rPr>
        <w:t xml:space="preserve"> The Senior Notes will be subject to Article 12 of the Original Indenture;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in connection with any deposit of funds with the Trustee pursuant to Section 12.02 of the Original Indenture upon any</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 that requires the payment of a premium, the amount deposited shall be sufficient to the extent that an amount is deposited with the Trustee equal to the premium calculated as of the date of the notice of redemption, with any deficit on the Redemption Date (any such amount, the “</w:t>
      </w:r>
      <w:r>
        <w:rPr>
          <w:rFonts w:ascii="Arial" w:cs="Arial" w:eastAsia="Arial" w:hAnsi="Arial"/>
          <w:sz w:val="17"/>
          <w:szCs w:val="17"/>
          <w:b w:val="1"/>
          <w:bCs w:val="1"/>
          <w:color w:val="auto"/>
        </w:rPr>
        <w:t>Applicable</w:t>
      </w:r>
      <w:r>
        <w:rPr>
          <w:rFonts w:ascii="Arial" w:cs="Arial" w:eastAsia="Arial" w:hAnsi="Arial"/>
          <w:sz w:val="17"/>
          <w:szCs w:val="17"/>
          <w:color w:val="auto"/>
        </w:rPr>
        <w:t xml:space="preserve"> </w:t>
      </w:r>
      <w:r>
        <w:rPr>
          <w:rFonts w:ascii="Arial" w:cs="Arial" w:eastAsia="Arial" w:hAnsi="Arial"/>
          <w:sz w:val="17"/>
          <w:szCs w:val="17"/>
          <w:b w:val="1"/>
          <w:bCs w:val="1"/>
          <w:color w:val="auto"/>
        </w:rPr>
        <w:t>Premium Deficit</w:t>
      </w:r>
      <w:r>
        <w:rPr>
          <w:rFonts w:ascii="Arial" w:cs="Arial" w:eastAsia="Arial" w:hAnsi="Arial"/>
          <w:sz w:val="17"/>
          <w:szCs w:val="17"/>
          <w:color w:val="auto"/>
        </w:rPr>
        <w:t>”) only required to be deposited with the Trustee at or prior to 11:00 a.m., New York City time, on the Redemption Date (it being</w:t>
      </w:r>
      <w:r>
        <w:rPr>
          <w:rFonts w:ascii="Arial" w:cs="Arial" w:eastAsia="Arial" w:hAnsi="Arial"/>
          <w:sz w:val="17"/>
          <w:szCs w:val="17"/>
          <w:b w:val="1"/>
          <w:bCs w:val="1"/>
          <w:color w:val="auto"/>
        </w:rPr>
        <w:t xml:space="preserve"> </w:t>
      </w:r>
      <w:r>
        <w:rPr>
          <w:rFonts w:ascii="Arial" w:cs="Arial" w:eastAsia="Arial" w:hAnsi="Arial"/>
          <w:sz w:val="17"/>
          <w:szCs w:val="17"/>
          <w:color w:val="auto"/>
        </w:rPr>
        <w:t>understood that any satisfaction and discharge shall be subject to the condition subsequent that such deficit is in fact paid) and if deposited with the Trustee on the Redemption Date, in accordance with Section 4.04 of the Original Indenture. Any Applicable Premium Deficit shall be set forth in an Officer’s Certificate delivered to the Trustee simultaneously with the deposit of such Applicable Premium Deficit that confirms that such Applicable Premium Deficit shall be applied toward such redemption.</w:t>
      </w:r>
    </w:p>
    <w:p>
      <w:pPr>
        <w:spacing w:after="0" w:line="18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Covenant Defeasance</w:t>
      </w:r>
      <w:r>
        <w:rPr>
          <w:rFonts w:ascii="Arial" w:cs="Arial" w:eastAsia="Arial" w:hAnsi="Arial"/>
          <w:sz w:val="18"/>
          <w:szCs w:val="18"/>
          <w:color w:val="auto"/>
        </w:rPr>
        <w:t>. With respect to the Senior Notes, the Company shall cease to be under any obligation to comply with any term, provision or condition set forth in Sections 3.2 and 3.3 of this Ninth Supplemental Indenture if the Company satisfies the conditions applicable to covenant defeasance applicable to subsection (b) of the first paragraph of Section 12.03 of the Original Indenture.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i w:val="1"/>
          <w:iCs w:val="1"/>
          <w:color w:val="auto"/>
        </w:rPr>
        <w:t>Opinion Related To Defeasance.</w:t>
      </w:r>
      <w:r>
        <w:rPr>
          <w:rFonts w:ascii="Arial" w:cs="Arial" w:eastAsia="Arial" w:hAnsi="Arial"/>
          <w:sz w:val="16"/>
          <w:szCs w:val="16"/>
          <w:color w:val="auto"/>
        </w:rPr>
        <w:t xml:space="preserve"> The Original Indenture is hereby amended, with respect to the Senior Notes, by replacing the text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12.03(c) thereof with the following text:</w:t>
      </w:r>
    </w:p>
    <w:p>
      <w:pPr>
        <w:spacing w:after="0" w:line="103" w:lineRule="exact"/>
        <w:rPr>
          <w:sz w:val="20"/>
          <w:szCs w:val="20"/>
          <w:color w:val="auto"/>
        </w:rPr>
      </w:pPr>
    </w:p>
    <w:p>
      <w:pPr>
        <w:ind w:left="440" w:right="60" w:firstLine="423"/>
        <w:spacing w:after="0" w:line="257" w:lineRule="auto"/>
        <w:rPr>
          <w:sz w:val="20"/>
          <w:szCs w:val="20"/>
          <w:color w:val="auto"/>
        </w:rPr>
      </w:pPr>
      <w:r>
        <w:rPr>
          <w:rFonts w:ascii="Arial" w:cs="Arial" w:eastAsia="Arial" w:hAnsi="Arial"/>
          <w:sz w:val="18"/>
          <w:szCs w:val="18"/>
          <w:color w:val="auto"/>
        </w:rPr>
        <w:t>“The Company shall have delivered to the Trustee an Opinion of Counsel to the effect that beneficial holders of the Securities of such series will not recognize income, gain or loss for U.S. federal income tax purposes as a result of the Company’s exercise of its option under this Section and will be subject to federal income tax on the same amounts and in the same manner and at the same times as would have been the case if such action had not been exercised and, in the case of the Securities of such series being Discharged, accompanied by a ruling to that effect received from or published by the Internal Revenue Service.”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3" w:name="page34"/>
    <w:bookmarkEnd w:id="33"/>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EIGHT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PAYING AGENT AND TRANSFER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Section 8.1. Wells Fargo Bank, National Association hereby agrees to act as Paying Agent and Transfer Agent in respect of the Senior Notes.</w:t>
      </w:r>
    </w:p>
    <w:p>
      <w:pPr>
        <w:spacing w:after="0" w:line="248"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color w:val="auto"/>
        </w:rPr>
        <w:t>Section 8.2. An Agent may resign and be discharged from its duties hereunder at any time, other than on a day during the forty-five (45) day period preceding and fifteen (15) day period following any payment date for the Senior Notes, (i) by giving thirty (30) calendar days’ prior written notice of such resignation to the Company or (ii) upon notice to the Company with immediate effect in order to comply with law or regulation. If the Company fails to appoint a successor Agent within thirty (30) days after such notice, the applicable Agent may apply to a court of competent jurisdiction for the appointment of a successor agent or for other appropriate relief. The costs and expenses (including its attorneys’ fees and expenses) incurred by the applicable Agent in connection with such proceeding shall be paid by the Company. The Company may, at any time and for any reason upon at least thirty (30) calendar days’ prior written notice to the applicable Agent, remove any Agent and appoint a successor Agent by written instrument in duplicate signed on behalf of the Company, one copy of which shall be delivered to the applicable Agent being removed and one copy to the successor Agent.</w:t>
      </w:r>
    </w:p>
    <w:p>
      <w:pPr>
        <w:spacing w:after="0" w:line="196"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Section 8.3. Any entity into which any Agent in its individual capacity may be merged or converted or with which it may be consolidated, or any corporation resulting from any merger, conversion or consolidation to which an Agent in its individual capacity shall be a party, or any corporation to which substantially all of the corporate trust business of an Agent in its individual capacity may be transferred shall be the applicable Agent under this Ninth Supplemental Indenture without further action.</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NINE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640" w:firstLine="440"/>
        <w:spacing w:after="0" w:line="342"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i w:val="1"/>
          <w:iCs w:val="1"/>
          <w:color w:val="auto"/>
        </w:rPr>
        <w:t>Execution as Supplemental Indenture</w:t>
      </w:r>
      <w:r>
        <w:rPr>
          <w:rFonts w:ascii="Arial" w:cs="Arial" w:eastAsia="Arial" w:hAnsi="Arial"/>
          <w:sz w:val="16"/>
          <w:szCs w:val="16"/>
          <w:color w:val="auto"/>
        </w:rPr>
        <w:t>. This Ninth Supplemental Indenture is executed and shall be construed as an indenture supplemental to the Original Indenture and, as provided in the Original Indenture, this Ninth Supplemental Indenture forms a part thereof.</w:t>
      </w:r>
    </w:p>
    <w:p>
      <w:pPr>
        <w:spacing w:after="0" w:line="124"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i w:val="1"/>
          <w:iCs w:val="1"/>
          <w:color w:val="auto"/>
        </w:rPr>
        <w:t>Conflict with Trust Indenture Act</w:t>
      </w:r>
      <w:r>
        <w:rPr>
          <w:rFonts w:ascii="Arial" w:cs="Arial" w:eastAsia="Arial" w:hAnsi="Arial"/>
          <w:sz w:val="17"/>
          <w:szCs w:val="17"/>
          <w:color w:val="auto"/>
        </w:rPr>
        <w:t>. If any provision hereof limits, qualifies or conflicts with another provision hereof, or with a provision of the Original Indenture, which is required to be included in this Ninth Supplemental Indenture, or in the Original Indenture, respectively, by any of the provisions of the Trust Indenture Act, such required provision shall control to the extent it is applicable.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440" w:top="274" w:right="539" w:bottom="1440" w:gutter="0" w:footer="0" w:header="0"/>
        </w:sectPr>
      </w:pPr>
    </w:p>
    <w:bookmarkStart w:id="34" w:name="page35"/>
    <w:bookmarkEnd w:id="3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9.3. </w:t>
      </w:r>
      <w:r>
        <w:rPr>
          <w:rFonts w:ascii="Arial" w:cs="Arial" w:eastAsia="Arial" w:hAnsi="Arial"/>
          <w:sz w:val="16"/>
          <w:szCs w:val="16"/>
          <w:i w:val="1"/>
          <w:iCs w:val="1"/>
          <w:color w:val="auto"/>
        </w:rPr>
        <w:t>Effect of Headings</w:t>
      </w:r>
      <w:r>
        <w:rPr>
          <w:rFonts w:ascii="Arial" w:cs="Arial" w:eastAsia="Arial" w:hAnsi="Arial"/>
          <w:sz w:val="16"/>
          <w:szCs w:val="16"/>
          <w:color w:val="auto"/>
        </w:rPr>
        <w:t>. The Article and Section headings herein are for convenience only and shall not affect the construction hereof.</w:t>
      </w:r>
    </w:p>
    <w:p>
      <w:pPr>
        <w:spacing w:after="0" w:line="248"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i w:val="1"/>
          <w:iCs w:val="1"/>
          <w:color w:val="auto"/>
        </w:rPr>
        <w:t>Successors and Assigns</w:t>
      </w:r>
      <w:r>
        <w:rPr>
          <w:rFonts w:ascii="Arial" w:cs="Arial" w:eastAsia="Arial" w:hAnsi="Arial"/>
          <w:sz w:val="18"/>
          <w:szCs w:val="18"/>
          <w:color w:val="auto"/>
        </w:rPr>
        <w:t>. All covenants and agreements by the Company and the Trustee in this Ninth Supplemental Indenture shall bind its successors and assigns, whether so expressed or not.</w:t>
      </w:r>
    </w:p>
    <w:p>
      <w:pPr>
        <w:spacing w:after="0" w:line="170"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 xml:space="preserve">Section 9.5. </w:t>
      </w:r>
      <w:r>
        <w:rPr>
          <w:rFonts w:ascii="Arial" w:cs="Arial" w:eastAsia="Arial" w:hAnsi="Arial"/>
          <w:sz w:val="16"/>
          <w:szCs w:val="16"/>
          <w:i w:val="1"/>
          <w:iCs w:val="1"/>
          <w:color w:val="auto"/>
        </w:rPr>
        <w:t>Separability Clause</w:t>
      </w:r>
      <w:r>
        <w:rPr>
          <w:rFonts w:ascii="Arial" w:cs="Arial" w:eastAsia="Arial" w:hAnsi="Arial"/>
          <w:sz w:val="16"/>
          <w:szCs w:val="16"/>
          <w:color w:val="auto"/>
        </w:rPr>
        <w:t>. In case any provision in this Ninth Supplemental Indenture or in the Senior Notes shall be invalid, illegal or unenforceable, the validity, legality and enforceability of the remaining provisions shall not in any way be affected or impaired thereby.</w:t>
      </w:r>
    </w:p>
    <w:p>
      <w:pPr>
        <w:spacing w:after="0" w:line="12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i w:val="1"/>
          <w:iCs w:val="1"/>
          <w:color w:val="auto"/>
        </w:rPr>
        <w:t>Benefits of Ninth Supplemental Indenture</w:t>
      </w:r>
      <w:r>
        <w:rPr>
          <w:rFonts w:ascii="Arial" w:cs="Arial" w:eastAsia="Arial" w:hAnsi="Arial"/>
          <w:sz w:val="18"/>
          <w:szCs w:val="18"/>
          <w:color w:val="auto"/>
        </w:rPr>
        <w:t>. Nothing in this Ninth Supplemental Indenture or in the Senior Notes, express or implied, shall give to any Person, other than the parties hereto and their successors hereunder and the Holders, any benefit or any legal or equitable right, remedy or claim under this Ninth Supplemental Indenture.</w:t>
      </w:r>
    </w:p>
    <w:p>
      <w:pPr>
        <w:spacing w:after="0" w:line="18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9.7. </w:t>
      </w:r>
      <w:r>
        <w:rPr>
          <w:rFonts w:ascii="Arial" w:cs="Arial" w:eastAsia="Arial" w:hAnsi="Arial"/>
          <w:sz w:val="16"/>
          <w:szCs w:val="16"/>
          <w:i w:val="1"/>
          <w:iCs w:val="1"/>
          <w:color w:val="auto"/>
        </w:rPr>
        <w:t>Execution and Counterparts</w:t>
      </w:r>
      <w:r>
        <w:rPr>
          <w:rFonts w:ascii="Arial" w:cs="Arial" w:eastAsia="Arial" w:hAnsi="Arial"/>
          <w:sz w:val="16"/>
          <w:szCs w:val="16"/>
          <w:color w:val="auto"/>
        </w:rPr>
        <w:t>. This Ninth Supplemental Indenture may be executed in any number of counterparts, each of which shall be deemed to be an original, but all such counterparts shall together constitute but one and the same instrument. The exchange of copies of this Ninth Supplemental Indenture and of signature pages by facsimile or PDF transmission shall constitute effective execution and delivery of this Ninth Supplemental Indenture as to the parties hereto and may be used in lieu of the original Ninth Supplemental Indenture for all purposes. Signatures of the parties hereto transmitted by facsimile or PDF shall be deemed to be their original signatures for all purposes. This Ninth Supplemental Indenture shall be 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the Uniform Electronic Transactions Act, and/or any other relevant electronic signatures law, including any relevant provisions of the Uniform Commercial Code/UCC (collectively, “Signature Law”),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For the avoidance of doubt, original manual signatures shall be used for execution or indorsement of writings when required under the UCC or other Signature Law due to the character or intended character of the writings.</w:t>
      </w:r>
    </w:p>
    <w:p>
      <w:pPr>
        <w:spacing w:after="0" w:line="17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i w:val="1"/>
          <w:iCs w:val="1"/>
          <w:color w:val="auto"/>
        </w:rPr>
        <w:t>Governing Law</w:t>
      </w:r>
      <w:r>
        <w:rPr>
          <w:rFonts w:ascii="Arial" w:cs="Arial" w:eastAsia="Arial" w:hAnsi="Arial"/>
          <w:sz w:val="18"/>
          <w:szCs w:val="18"/>
          <w:color w:val="auto"/>
        </w:rPr>
        <w:t>. This Ninth Supplemental Indenture and the Senior Notes shall be governed by and construed in accordance with the laws of the State of New York.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4" w:right="499" w:bottom="1440" w:gutter="0" w:footer="0" w:header="0"/>
        </w:sectPr>
      </w:pPr>
    </w:p>
    <w:bookmarkStart w:id="35" w:name="page36"/>
    <w:bookmarkEnd w:id="35"/>
    <w:p>
      <w:pPr>
        <w:ind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9.9. </w:t>
      </w:r>
      <w:r>
        <w:rPr>
          <w:rFonts w:ascii="Arial" w:cs="Arial" w:eastAsia="Arial" w:hAnsi="Arial"/>
          <w:sz w:val="18"/>
          <w:szCs w:val="18"/>
          <w:i w:val="1"/>
          <w:iCs w:val="1"/>
          <w:color w:val="auto"/>
        </w:rPr>
        <w:t>U.S.A. Patriot Act</w:t>
      </w:r>
      <w:r>
        <w:rPr>
          <w:rFonts w:ascii="Arial" w:cs="Arial" w:eastAsia="Arial" w:hAnsi="Arial"/>
          <w:sz w:val="18"/>
          <w:szCs w:val="18"/>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Ninth Supplemental Indenture agree that they will provide the Trustee with such information as it may request in order for the Trustee to satisfy the requirements of the U.S.A. Patriot Act.</w:t>
      </w:r>
    </w:p>
    <w:p>
      <w:pPr>
        <w:spacing w:after="0" w:line="188"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i w:val="1"/>
          <w:iCs w:val="1"/>
          <w:color w:val="auto"/>
        </w:rPr>
        <w:t>Force Majeure</w:t>
      </w:r>
      <w:r>
        <w:rPr>
          <w:rFonts w:ascii="Arial" w:cs="Arial" w:eastAsia="Arial" w:hAnsi="Arial"/>
          <w:sz w:val="16"/>
          <w:szCs w:val="16"/>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61"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i w:val="1"/>
          <w:iCs w:val="1"/>
          <w:color w:val="auto"/>
        </w:rPr>
        <w:t>Trustee’s Disclaimer</w:t>
      </w:r>
      <w:r>
        <w:rPr>
          <w:rFonts w:ascii="Arial" w:cs="Arial" w:eastAsia="Arial" w:hAnsi="Arial"/>
          <w:sz w:val="17"/>
          <w:szCs w:val="17"/>
          <w:color w:val="auto"/>
        </w:rPr>
        <w:t>. The Trustee accepts the amendments of the Original Indenture effected by this Ninth Supplemental Indenture, but on the terms and conditions set forth in the Original Indenture, including the terms and provisions defining and limiting the liabilities and responsibilities of the Trustee. Without limiting the generality of the foregoing, the Trustee shall not be responsible in any manner whatsoever for or with respect to any of the recitals or statements contained herein, all of which recitals or statements are made solely by the Company, or for or with respect to (i) the validity or sufficiency of this Ninth Supplemental Indenture or any of the terms or provisions hereof, (ii) proper authorization hereof by the Company by action or otherwise, (iii) the due execution hereof by the Company or (iv) the consequences of any amendment herein provided for, and the Trustee makes no representation with respect to any such matters.</w:t>
      </w:r>
    </w:p>
    <w:p>
      <w:pPr>
        <w:spacing w:after="0" w:line="17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i w:val="1"/>
          <w:iCs w:val="1"/>
          <w:color w:val="auto"/>
        </w:rPr>
        <w:t>Company Representation</w:t>
      </w:r>
      <w:r>
        <w:rPr>
          <w:rFonts w:ascii="Arial" w:cs="Arial" w:eastAsia="Arial" w:hAnsi="Arial"/>
          <w:sz w:val="18"/>
          <w:szCs w:val="18"/>
          <w:color w:val="auto"/>
        </w:rPr>
        <w:t>. The Company hereby represents and warrants that this Ninth Supplemental Indenture is its legal, valid and binding obligation, enforceable against it in accordance with its terms.</w:t>
      </w:r>
    </w:p>
    <w:p>
      <w:pPr>
        <w:spacing w:after="0" w:line="17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i w:val="1"/>
          <w:iCs w:val="1"/>
          <w:color w:val="auto"/>
        </w:rPr>
        <w:t>Ratification of Original Indenture</w:t>
      </w:r>
      <w:r>
        <w:rPr>
          <w:rFonts w:ascii="Arial" w:cs="Arial" w:eastAsia="Arial" w:hAnsi="Arial"/>
          <w:sz w:val="18"/>
          <w:szCs w:val="18"/>
          <w:color w:val="auto"/>
        </w:rPr>
        <w:t>. The Original Indenture, as supplemented by this Ninth Supplemental Indenture, is in all respects ratified and confirmed. For the avoidance of doubt, each of the Company and each Holder of Senior Notes, by its acceptance of such Securities, acknowledges and agrees that all of the rights, privileges, protections, immunities and benefits, including the right to be indemnified, afforded to the Trustee under the Original Indenture are deemed to be incorporated herein, and shall be enforceable by the Trustee hereunder, in each of its capacities hereunder as if set forth herein in full.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6" w:name="page37"/>
    <w:bookmarkEnd w:id="36"/>
    <w:p>
      <w:pPr>
        <w:jc w:val="cente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Ninth Supplemental Indenture to be duly executed as of the day and year first above written.</w:t>
      </w:r>
    </w:p>
    <w:p>
      <w:pPr>
        <w:spacing w:after="0" w:line="19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NASDAQ,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Michael Ptasznik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14605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Michael Ptasznik</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Corporate Strategy and</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WELLS FARGO BANK, NATIONAL ASSOCIATION, as</w:t>
      </w:r>
    </w:p>
    <w:p>
      <w:pPr>
        <w:spacing w:after="0" w:line="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Patrick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14605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Patrick Giordano</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WELLS FARGO BANK, NATIONAL ASSOCIATION, as</w:t>
      </w:r>
    </w:p>
    <w:p>
      <w:pPr>
        <w:spacing w:after="0" w:line="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Paying Agent</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Patrick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14605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Patrick Giordano</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WELLS FARGO BANK, NATIONAL ASSOCIATION, as</w:t>
      </w:r>
    </w:p>
    <w:p>
      <w:pPr>
        <w:spacing w:after="0" w:line="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Transfer Agent</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Patrick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14605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Patrick Giordano</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660"/>
          </w:cols>
          <w:pgMar w:left="660" w:top="274" w:right="57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0.445% SENIOR NOTES DUE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any legend required by the Internal Revenue Code and the regulations thereunder.]</w:t>
      </w:r>
    </w:p>
    <w:p>
      <w:pPr>
        <w:spacing w:after="0" w:line="225" w:lineRule="exact"/>
        <w:rPr>
          <w:sz w:val="20"/>
          <w:szCs w:val="20"/>
          <w:color w:val="auto"/>
        </w:rPr>
      </w:pPr>
    </w:p>
    <w:p>
      <w:pPr>
        <w:ind w:right="720"/>
        <w:spacing w:after="0" w:line="286" w:lineRule="auto"/>
        <w:rPr>
          <w:sz w:val="20"/>
          <w:szCs w:val="20"/>
          <w:color w:val="auto"/>
        </w:rPr>
      </w:pPr>
      <w:r>
        <w:rPr>
          <w:rFonts w:ascii="Arial" w:cs="Arial" w:eastAsia="Arial" w:hAnsi="Arial"/>
          <w:sz w:val="17"/>
          <w:szCs w:val="17"/>
          <w:color w:val="auto"/>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16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(55 WATER STREET, NEW YORK, NEW YORK) (“</w:t>
      </w:r>
      <w:r>
        <w:rPr>
          <w:rFonts w:ascii="Arial" w:cs="Arial" w:eastAsia="Arial" w:hAnsi="Arial"/>
          <w:sz w:val="18"/>
          <w:szCs w:val="18"/>
          <w:b w:val="1"/>
          <w:bCs w:val="1"/>
          <w:color w:val="auto"/>
        </w:rPr>
        <w:t>DTC</w:t>
      </w:r>
      <w:r>
        <w:rPr>
          <w:rFonts w:ascii="Arial" w:cs="Arial" w:eastAsia="Arial" w:hAnsi="Arial"/>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9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4" w:right="4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NASDAQ,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0.445% Senior Notes due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No. ______</w:t>
            </w:r>
          </w:p>
        </w:tc>
        <w:tc>
          <w:tcPr>
            <w:tcW w:w="5580" w:type="dxa"/>
            <w:vAlign w:val="bottom"/>
          </w:tcPr>
          <w:p>
            <w:pPr>
              <w:jc w:val="right"/>
              <w:spacing w:after="0"/>
              <w:rPr>
                <w:sz w:val="20"/>
                <w:szCs w:val="20"/>
                <w:color w:val="auto"/>
              </w:rPr>
            </w:pPr>
            <w:r>
              <w:rPr>
                <w:rFonts w:ascii="Arial" w:cs="Arial" w:eastAsia="Arial" w:hAnsi="Arial"/>
                <w:sz w:val="18"/>
                <w:szCs w:val="18"/>
                <w:color w:val="auto"/>
              </w:rPr>
              <w:t>$600,000,000</w:t>
            </w:r>
          </w:p>
        </w:tc>
      </w:tr>
    </w:tbl>
    <w:p>
      <w:pPr>
        <w:spacing w:after="0" w:line="202" w:lineRule="exact"/>
        <w:rPr>
          <w:sz w:val="20"/>
          <w:szCs w:val="20"/>
          <w:color w:val="auto"/>
        </w:rPr>
      </w:pPr>
    </w:p>
    <w:p>
      <w:pPr>
        <w:ind w:left="9460"/>
        <w:spacing w:after="0"/>
        <w:rPr>
          <w:sz w:val="20"/>
          <w:szCs w:val="20"/>
          <w:color w:val="auto"/>
        </w:rPr>
      </w:pPr>
      <w:r>
        <w:rPr>
          <w:rFonts w:ascii="Arial" w:cs="Arial" w:eastAsia="Arial" w:hAnsi="Arial"/>
          <w:sz w:val="16"/>
          <w:szCs w:val="16"/>
          <w:color w:val="auto"/>
        </w:rPr>
        <w:t>CUSIP: 63111X AC5</w:t>
      </w:r>
    </w:p>
    <w:p>
      <w:pPr>
        <w:spacing w:after="0" w:line="2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NASDAQ, INC., a corporation duly organized and existing under the laws of the State of Delaware (herein called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which term includes any successor Person under the Indenture hereinafter referred to), for value received, hereby promises to pay to CEDE &amp; CO., or registered assigns, the principal sum of $600,000,000 (SIX HUNDRED MILLION DOLLARS) on December 21, 2022, and to pay interest thereon from the most recent Interest Payment Date to which interest has been paid or duly provided for or, if no interest has been paid, from the Issue Date semi-annually on June 21 and December 21 in each year, commencing June 21, 2021 and at the Maturity thereof, at the rate of 0.445% per annum, until the principal hereof is paid or made available for payment,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principal and premium, and any such installment of interest, which is overdue shall bear interest at the rate 0.445%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is registered at the close of business on the Record Date for such interest, which shall be June 6 or December 6 (whether or not a Business Day), as the case may be, next preceding such Interest Payment Date.</w:t>
      </w:r>
    </w:p>
    <w:p>
      <w:pPr>
        <w:spacing w:after="0" w:line="18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Payment of the principal of (and premium, if any) and any such interest on this Security will be made at the office or agency maintained for that purpose in New York, New York, in such currency of the United States of America, as at the time of payment is legal tender for payment of public and private debts, against surrender of this Security in the case of any payment due at the Maturity of the principal hereof (other than any payment of interest that first becomes payable on a day other than an Interest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at the option of the Company payment of interest may be made by check mailed to the address of the Person entitled thereto as such address shall appear in the Register;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this Security is a Global Security, payment may be made pursuant to the Applicable Procedures of the Depositary as permitted in the Indenture.</w:t>
      </w:r>
    </w:p>
    <w:p>
      <w:pPr>
        <w:spacing w:after="0" w:line="1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Unless the certificate of authentication hereon has been executed by the Trustee or the Authenticating Agent on its behalf referred to on the reverse hereof by manual signature, this Security shall not be entitled to any benefit under the Indenture or be valid or obligatory for any purpose.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440" w:top="274" w:right="4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Company has caused this instrument to be duly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NASDAQ, INC.</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-1905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ectPr>
          <w:pgSz w:w="11900" w:h="16838" w:orient="portrait"/>
          <w:cols w:equalWidth="0" w:num="2">
            <w:col w:w="6400" w:space="220"/>
            <w:col w:w="3399"/>
          </w:cols>
          <w:pgMar w:left="440" w:top="274" w:right="1440" w:bottom="1440" w:gutter="0" w:footer="0" w:header="0"/>
        </w:sectPr>
      </w:pPr>
    </w:p>
    <w:bookmarkStart w:id="40" w:name="page41"/>
    <w:bookmarkEnd w:id="40"/>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TRUSTEE’S 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of authentication: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WELLS FARGO BANK, NATIONAL ASSOCIATION, as</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-19050</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880"/>
          </w:cols>
          <w:pgMar w:left="440" w:top="274" w:right="57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REVERSE OF 0.445% SENIOR NOTES DUE 2022]</w:t>
      </w:r>
    </w:p>
    <w:p>
      <w:pPr>
        <w:spacing w:after="0" w:line="2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Security is one of a duly authorized issue of securities of the Company (herein called the “</w:t>
      </w:r>
      <w:r>
        <w:rPr>
          <w:rFonts w:ascii="Arial" w:cs="Arial" w:eastAsia="Arial" w:hAnsi="Arial"/>
          <w:sz w:val="18"/>
          <w:szCs w:val="18"/>
          <w:b w:val="1"/>
          <w:bCs w:val="1"/>
          <w:color w:val="auto"/>
        </w:rPr>
        <w:t>Securities</w:t>
      </w:r>
      <w:r>
        <w:rPr>
          <w:rFonts w:ascii="Arial" w:cs="Arial" w:eastAsia="Arial" w:hAnsi="Arial"/>
          <w:sz w:val="18"/>
          <w:szCs w:val="18"/>
          <w:color w:val="auto"/>
        </w:rPr>
        <w:t>”), of the series hereinafter specified, issued and to be issued in one or more series under an Indenture, dated as of June 7, 2013 (the “</w:t>
      </w:r>
      <w:r>
        <w:rPr>
          <w:rFonts w:ascii="Arial" w:cs="Arial" w:eastAsia="Arial" w:hAnsi="Arial"/>
          <w:sz w:val="18"/>
          <w:szCs w:val="18"/>
          <w:b w:val="1"/>
          <w:bCs w:val="1"/>
          <w:color w:val="auto"/>
        </w:rPr>
        <w:t>Original Indenture</w:t>
      </w:r>
      <w:r>
        <w:rPr>
          <w:rFonts w:ascii="Arial" w:cs="Arial" w:eastAsia="Arial" w:hAnsi="Arial"/>
          <w:sz w:val="18"/>
          <w:szCs w:val="18"/>
          <w:color w:val="auto"/>
        </w:rPr>
        <w:t>”), as supplemented by the Ninth Supplemental Indenture, dated as of December 21, 2020 (the “</w:t>
      </w:r>
      <w:r>
        <w:rPr>
          <w:rFonts w:ascii="Arial" w:cs="Arial" w:eastAsia="Arial" w:hAnsi="Arial"/>
          <w:sz w:val="18"/>
          <w:szCs w:val="18"/>
          <w:b w:val="1"/>
          <w:bCs w:val="1"/>
          <w:color w:val="auto"/>
        </w:rPr>
        <w:t>Ninth Supplemental Indenture</w:t>
      </w:r>
      <w:r>
        <w:rPr>
          <w:rFonts w:ascii="Arial" w:cs="Arial" w:eastAsia="Arial" w:hAnsi="Arial"/>
          <w:sz w:val="18"/>
          <w:szCs w:val="18"/>
          <w:color w:val="auto"/>
        </w:rPr>
        <w:t>” and as so supplemented,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Wells Fargo Bank, National Association, as Trustee (herein called the “</w:t>
      </w:r>
      <w:r>
        <w:rPr>
          <w:rFonts w:ascii="Arial" w:cs="Arial" w:eastAsia="Arial" w:hAnsi="Arial"/>
          <w:sz w:val="18"/>
          <w:szCs w:val="18"/>
          <w:b w:val="1"/>
          <w:bCs w:val="1"/>
          <w:color w:val="auto"/>
        </w:rPr>
        <w:t>Trustee</w:t>
      </w:r>
      <w:r>
        <w:rPr>
          <w:rFonts w:ascii="Arial" w:cs="Arial" w:eastAsia="Arial" w:hAnsi="Arial"/>
          <w:sz w:val="18"/>
          <w:szCs w:val="18"/>
          <w:color w:val="auto"/>
        </w:rPr>
        <w:t xml:space="preserve">”, which term includes any successor trustee under the Indenture), paying agent, registrar and transfer agent, and reference is hereby made to the Indenture for a statement of the respective rights, limitations of rights, duties and immunities thereunder of the Company, the Trustee and the Holders of the Securities and of the terms upon which this Security are, and are to be, authenticated and delivered. This Security is one of the series designated on the face hereof initially limited in aggregate principal amount to $600,000,000,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may, without the consent of any Holder, at any time and from time to time increase the initial principal amount.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of this series are subject to redemption as provided in Sections 4.1, 4.2, 4.3 and 4.4 of the Ninth Supplemental Indenture.</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Indenture contains provisions for defeasance at any time of the entire indebtedness of this Security and certain restrictive covenants and Events of Default with respect to this Security, in each case upon compliance with certain conditions set forth in the Indenture.</w:t>
      </w:r>
    </w:p>
    <w:p>
      <w:pPr>
        <w:spacing w:after="0" w:line="1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an Event of Default with respect to the Securities of this series shall occur and be continuing, the unpaid principal of the Securities of this series may be declared due and payable in the manner and with the effect provided in the Indenture.</w:t>
      </w:r>
    </w:p>
    <w:p>
      <w:pPr>
        <w:spacing w:after="0" w:line="17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(i) permitting the Holders of not less than a majority in principal amount of the Securities of any series at the time Outstanding, on behalf of the Holders of all Securities of such series, to waive compliance by the Company with certain provisions of the Indenture with respect to such series and (ii) permitting the Holders of a majority in principal amount of the Securities at the time Outstanding of any series to be affected under the Indenture (with each such series considered separately for this purpose), on behalf of the Holders of all Securities of such series, to waive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80"/>
          </w:cols>
          <w:pgMar w:left="440" w:top="274" w:right="479" w:bottom="1440" w:gutter="0" w:footer="0" w:header="0"/>
        </w:sectPr>
      </w:pPr>
    </w:p>
    <w:bookmarkStart w:id="42" w:name="page43"/>
    <w:bookmarkEnd w:id="42"/>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reasonably satisfactory,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provided in the Indenture and subject to certain limitations therein set forth, the transfer of this Security is registrable in the Register, upon surrender of this Security for registration of transfer at the Registrar, duly endorsed by, or accompanied by a written instrument of transfer in form satisfactory to the Company and the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Securities of this series are issuable only in registered form without coupons in minimum denominations of $2,000 and integral multiples of $1,000 in excess thereof. A Holder who, as a result of trading or otherwise, holds a principal amount of the Securities that is less than the minimum denomination of the Securities is required to purchase an additional principal amount of the Securities such that its holdings of the Securities amounts to the minimum specified denomination. As provided in the Indenture and subject to certain limitations therein set forth, the Securities of this series are exchangeable for a like aggregate principal amount of the Securities of this series of a different authorized denomination, as requested by the Holder surrendering the same.</w:t>
      </w:r>
    </w:p>
    <w:p>
      <w:pPr>
        <w:spacing w:after="0" w:line="1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00"/>
          </w:cols>
          <w:pgMar w:left="440" w:top="274" w:right="459" w:bottom="1440" w:gutter="0" w:footer="0" w:header="0"/>
        </w:sectPr>
      </w:pPr>
    </w:p>
    <w:bookmarkStart w:id="43" w:name="page44"/>
    <w:bookmarkEnd w:id="43"/>
    <w:p>
      <w:pPr>
        <w:ind w:right="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Security is a Global Security and is subject to the provisions of the Indenture relating to Global Securities, including the limitations in Section 3.06 of the Original Indenture and Section 2.8 of the Ninth Supplemental Indenture on transfers and exchanges of Global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Interest on the principal balance of the Securities of this series shall be calculated on the basis of a 360-day year of twelve 30-day months.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any Interest Payment Date, Redemption Date or Maturity falls on a day that is not a Business Day, then the relevant payment may be made on the next succeeding Business Day and no interest will accrue because of such delayed payment.</w:t>
      </w:r>
    </w:p>
    <w:p>
      <w:pPr>
        <w:spacing w:after="0" w:line="27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THE SECURITIES OF THIS SERIES SHALL BE GOVERNED BY AND CONSTRUED IN ACCORDANCE WITH THE LAWS OF THE STATE OF NEW YORK.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but not defined in this Security shall have the meanings assigned to them in the Indenture.</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00"/>
          </w:cols>
          <w:pgMar w:left="440" w:top="274" w:right="4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w:t>
      </w:r>
      <w:r>
        <w:rPr>
          <w:rFonts w:ascii="Arial" w:cs="Arial" w:eastAsia="Arial" w:hAnsi="Arial"/>
          <w:sz w:val="14"/>
          <w:szCs w:val="14"/>
          <w:b w:val="1"/>
          <w:bCs w:val="1"/>
          <w:i w:val="1"/>
          <w:iCs w:val="1"/>
          <w:color w:val="auto"/>
        </w:rPr>
        <w:t>XECUTION</w:t>
      </w:r>
      <w:r>
        <w:rPr>
          <w:rFonts w:ascii="Arial" w:cs="Arial" w:eastAsia="Arial" w:hAnsi="Arial"/>
          <w:sz w:val="18"/>
          <w:szCs w:val="18"/>
          <w:b w:val="1"/>
          <w:bCs w:val="1"/>
          <w:i w:val="1"/>
          <w:iCs w:val="1"/>
          <w:color w:val="auto"/>
        </w:rPr>
        <w:t xml:space="preserve"> V</w:t>
      </w:r>
      <w:r>
        <w:rPr>
          <w:rFonts w:ascii="Arial" w:cs="Arial" w:eastAsia="Arial" w:hAnsi="Arial"/>
          <w:sz w:val="14"/>
          <w:szCs w:val="14"/>
          <w:b w:val="1"/>
          <w:bCs w:val="1"/>
          <w:i w:val="1"/>
          <w:iCs w:val="1"/>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NASDAQ, INC.</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Tenth Supplemental Indenture</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Dated as of December 21, 2020</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1.650%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2160270</wp:posOffset>
            </wp:positionH>
            <wp:positionV relativeFrom="paragraph">
              <wp:posOffset>126365</wp:posOffset>
            </wp:positionV>
            <wp:extent cx="13995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WELLS FARGO BANK,</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NATIONAL ASSOCIATION</w:t>
      </w:r>
      <w:r>
        <w:rPr>
          <w:rFonts w:ascii="Arial" w:cs="Arial" w:eastAsia="Arial" w:hAnsi="Arial"/>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5" w:name="page46"/>
    <w:bookmarkEnd w:id="45"/>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TENTH SUPPLEMENTAL INDENTURE, dated as of December 21, 2020 (herein called the “</w:t>
      </w:r>
      <w:r>
        <w:rPr>
          <w:rFonts w:ascii="Arial" w:cs="Arial" w:eastAsia="Arial" w:hAnsi="Arial"/>
          <w:sz w:val="18"/>
          <w:szCs w:val="18"/>
          <w:b w:val="1"/>
          <w:bCs w:val="1"/>
          <w:color w:val="auto"/>
        </w:rPr>
        <w:t>Tenth Supplemental Indenture</w:t>
      </w:r>
      <w:r>
        <w:rPr>
          <w:rFonts w:ascii="Arial" w:cs="Arial" w:eastAsia="Arial" w:hAnsi="Arial"/>
          <w:sz w:val="18"/>
          <w:szCs w:val="18"/>
          <w:color w:val="auto"/>
        </w:rPr>
        <w:t>”), between Nasdaq, Inc. (formerly The NASDAQ OMX Group, Inc.), a corporation duly organized and existing under the laws of the State of Delaware (hereinafter called the “</w:t>
      </w:r>
      <w:r>
        <w:rPr>
          <w:rFonts w:ascii="Arial" w:cs="Arial" w:eastAsia="Arial" w:hAnsi="Arial"/>
          <w:sz w:val="18"/>
          <w:szCs w:val="18"/>
          <w:b w:val="1"/>
          <w:bCs w:val="1"/>
          <w:color w:val="auto"/>
        </w:rPr>
        <w:t>Company</w:t>
      </w:r>
      <w:r>
        <w:rPr>
          <w:rFonts w:ascii="Arial" w:cs="Arial" w:eastAsia="Arial" w:hAnsi="Arial"/>
          <w:sz w:val="18"/>
          <w:szCs w:val="18"/>
          <w:color w:val="auto"/>
        </w:rPr>
        <w:t>”), and Wells Fargo Bank, National Association, a national banking association, as Trustee under the Original Indenture referred to below (hereinafter called the “</w:t>
      </w:r>
      <w:r>
        <w:rPr>
          <w:rFonts w:ascii="Arial" w:cs="Arial" w:eastAsia="Arial" w:hAnsi="Arial"/>
          <w:sz w:val="18"/>
          <w:szCs w:val="18"/>
          <w:b w:val="1"/>
          <w:bCs w:val="1"/>
          <w:color w:val="auto"/>
        </w:rPr>
        <w:t>Trustee</w:t>
      </w:r>
      <w:r>
        <w:rPr>
          <w:rFonts w:ascii="Arial" w:cs="Arial" w:eastAsia="Arial" w:hAnsi="Arial"/>
          <w:sz w:val="18"/>
          <w:szCs w:val="18"/>
          <w:color w:val="auto"/>
        </w:rPr>
        <w:t>”), as paying agent (in such capacity, the “</w:t>
      </w:r>
      <w:r>
        <w:rPr>
          <w:rFonts w:ascii="Arial" w:cs="Arial" w:eastAsia="Arial" w:hAnsi="Arial"/>
          <w:sz w:val="18"/>
          <w:szCs w:val="18"/>
          <w:b w:val="1"/>
          <w:bCs w:val="1"/>
          <w:color w:val="auto"/>
        </w:rPr>
        <w:t>Paying Agent</w:t>
      </w:r>
      <w:r>
        <w:rPr>
          <w:rFonts w:ascii="Arial" w:cs="Arial" w:eastAsia="Arial" w:hAnsi="Arial"/>
          <w:sz w:val="18"/>
          <w:szCs w:val="18"/>
          <w:color w:val="auto"/>
        </w:rPr>
        <w:t>”) and as registrar and transfer agent (until such time as a successor may be appointed by the Company) (in such capacity, the “</w:t>
      </w:r>
      <w:r>
        <w:rPr>
          <w:rFonts w:ascii="Arial" w:cs="Arial" w:eastAsia="Arial" w:hAnsi="Arial"/>
          <w:sz w:val="18"/>
          <w:szCs w:val="18"/>
          <w:b w:val="1"/>
          <w:bCs w:val="1"/>
          <w:color w:val="auto"/>
        </w:rPr>
        <w:t>Transfer Agent</w:t>
      </w:r>
      <w:r>
        <w:rPr>
          <w:rFonts w:ascii="Arial" w:cs="Arial" w:eastAsia="Arial" w:hAnsi="Arial"/>
          <w:sz w:val="18"/>
          <w:szCs w:val="18"/>
          <w:color w:val="auto"/>
        </w:rPr>
        <w:t>” and, together with the Paying Agent, the “</w:t>
      </w:r>
      <w:r>
        <w:rPr>
          <w:rFonts w:ascii="Arial" w:cs="Arial" w:eastAsia="Arial" w:hAnsi="Arial"/>
          <w:sz w:val="18"/>
          <w:szCs w:val="18"/>
          <w:b w:val="1"/>
          <w:bCs w:val="1"/>
          <w:color w:val="auto"/>
        </w:rPr>
        <w:t>Agents</w:t>
      </w:r>
      <w:r>
        <w:rPr>
          <w:rFonts w:ascii="Arial" w:cs="Arial" w:eastAsia="Arial" w:hAnsi="Arial"/>
          <w:sz w:val="18"/>
          <w:szCs w:val="18"/>
          <w:color w:val="auto"/>
        </w:rPr>
        <w:t>” and each, an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WHEREAS, the Company has heretofore executed and delivered to the Trustee an indenture dated as of June 7, 2013 (herein called the “</w:t>
      </w:r>
      <w:r>
        <w:rPr>
          <w:rFonts w:ascii="Arial" w:cs="Arial" w:eastAsia="Arial" w:hAnsi="Arial"/>
          <w:sz w:val="18"/>
          <w:szCs w:val="18"/>
          <w:b w:val="1"/>
          <w:bCs w:val="1"/>
          <w:color w:val="auto"/>
        </w:rPr>
        <w:t>Original</w:t>
      </w:r>
      <w:r>
        <w:rPr>
          <w:rFonts w:ascii="Arial" w:cs="Arial" w:eastAsia="Arial" w:hAnsi="Arial"/>
          <w:sz w:val="18"/>
          <w:szCs w:val="18"/>
          <w:color w:val="auto"/>
        </w:rPr>
        <w:t xml:space="preserve"> </w:t>
      </w:r>
      <w:r>
        <w:rPr>
          <w:rFonts w:ascii="Arial" w:cs="Arial" w:eastAsia="Arial" w:hAnsi="Arial"/>
          <w:sz w:val="18"/>
          <w:szCs w:val="18"/>
          <w:b w:val="1"/>
          <w:bCs w:val="1"/>
          <w:color w:val="auto"/>
        </w:rPr>
        <w:t>Indenture</w:t>
      </w:r>
      <w:r>
        <w:rPr>
          <w:rFonts w:ascii="Arial" w:cs="Arial" w:eastAsia="Arial" w:hAnsi="Arial"/>
          <w:sz w:val="18"/>
          <w:szCs w:val="18"/>
          <w:color w:val="auto"/>
        </w:rPr>
        <w:t>” and, together with the Tenth Supplemental Indenture, the “</w:t>
      </w:r>
      <w:r>
        <w:rPr>
          <w:rFonts w:ascii="Arial" w:cs="Arial" w:eastAsia="Arial" w:hAnsi="Arial"/>
          <w:sz w:val="18"/>
          <w:szCs w:val="18"/>
          <w:b w:val="1"/>
          <w:bCs w:val="1"/>
          <w:color w:val="auto"/>
        </w:rPr>
        <w:t>Indenture</w:t>
      </w:r>
      <w:r>
        <w:rPr>
          <w:rFonts w:ascii="Arial" w:cs="Arial" w:eastAsia="Arial" w:hAnsi="Arial"/>
          <w:sz w:val="18"/>
          <w:szCs w:val="18"/>
          <w:color w:val="auto"/>
        </w:rPr>
        <w:t>”), to provide for the issuance from time to time in one or more series</w:t>
      </w:r>
      <w:r>
        <w:rPr>
          <w:rFonts w:ascii="Arial" w:cs="Arial" w:eastAsia="Arial" w:hAnsi="Arial"/>
          <w:sz w:val="18"/>
          <w:szCs w:val="18"/>
          <w:b w:val="1"/>
          <w:bCs w:val="1"/>
          <w:color w:val="auto"/>
        </w:rPr>
        <w:t xml:space="preserve"> </w:t>
      </w:r>
      <w:r>
        <w:rPr>
          <w:rFonts w:ascii="Arial" w:cs="Arial" w:eastAsia="Arial" w:hAnsi="Arial"/>
          <w:sz w:val="18"/>
          <w:szCs w:val="18"/>
          <w:color w:val="auto"/>
        </w:rPr>
        <w:t>of its debentures, notes, bonds or other evidences of indebtedness (herein called the “</w:t>
      </w:r>
      <w:r>
        <w:rPr>
          <w:rFonts w:ascii="Arial" w:cs="Arial" w:eastAsia="Arial" w:hAnsi="Arial"/>
          <w:sz w:val="18"/>
          <w:szCs w:val="18"/>
          <w:b w:val="1"/>
          <w:bCs w:val="1"/>
          <w:color w:val="auto"/>
        </w:rPr>
        <w:t>Securities</w:t>
      </w:r>
      <w:r>
        <w:rPr>
          <w:rFonts w:ascii="Arial" w:cs="Arial" w:eastAsia="Arial" w:hAnsi="Arial"/>
          <w:sz w:val="18"/>
          <w:szCs w:val="18"/>
          <w:color w:val="auto"/>
        </w:rPr>
        <w:t>”), the form and terms of which are to be established as set forth in Sections 2.01 and 3.01 of the Original Indenture;</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WHEREAS, Section 14.01(p) of the Original Indenture provides, among other things, that the Company and the Trustee may enter into indentures supplemental to the Original Indenture to, among other things, establish the form and terms of the Securities of any series as permitted in Section 3.01 of the Original Indenture;</w:t>
      </w:r>
    </w:p>
    <w:p>
      <w:pPr>
        <w:spacing w:after="0" w:line="184"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WHEREAS, the Company desires to create one series of the Securities to be designated as its 1.650% Senior Notes due 2031 in an initial aggregate principal amount of $650,000,000 (the “</w:t>
      </w:r>
      <w:r>
        <w:rPr>
          <w:rFonts w:ascii="Arial" w:cs="Arial" w:eastAsia="Arial" w:hAnsi="Arial"/>
          <w:sz w:val="18"/>
          <w:szCs w:val="18"/>
          <w:b w:val="1"/>
          <w:bCs w:val="1"/>
          <w:color w:val="auto"/>
        </w:rPr>
        <w:t>Senior Notes</w:t>
      </w:r>
      <w:r>
        <w:rPr>
          <w:rFonts w:ascii="Arial" w:cs="Arial" w:eastAsia="Arial" w:hAnsi="Arial"/>
          <w:sz w:val="18"/>
          <w:szCs w:val="18"/>
          <w:color w:val="auto"/>
        </w:rPr>
        <w:t>”) and all action on the part of the Company necessary to authorize the issuance of the Senior Notes under the Original Indenture and this Tenth Supplemental Indenture has been duly taken;</w:t>
      </w:r>
    </w:p>
    <w:p>
      <w:pPr>
        <w:spacing w:after="0" w:line="18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WHEREAS, the Company desires to issue the Senior Notes in accordance with Section 2.4 of this Tenth Supplemental Indenture and treat the Senior Notes as a single series of Securities for all purposes, as amended or supplemented from time to time in accordance with the terms of this Tenth Supplemental Indenture and the Original Indenture; and</w:t>
      </w:r>
    </w:p>
    <w:p>
      <w:pPr>
        <w:spacing w:after="0" w:line="18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WHEREAS, all acts and things necessary to make the Senior Notes, when executed by the Company and completed, authenticated and delivered by the Trustee as provided in the Original Indenture and this Tenth Supplemental Indenture, the valid and binding obligations of the Company and to constitute a valid and binding supplemental indenture and agreement according to its terms, have been done and performed.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THIS TENTH SUPPLEMENTAL INDENTURE WITNESSETH:</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That in consideration of the premises and of the acceptance and purchase of the Senior Notes by the Holders thereof and of the acceptance of this trust by the Trustee, the Company covenants and agrees with the Trustee, for the equal benefit of Holders of the Senior Notes, as follows:</w:t>
      </w:r>
    </w:p>
    <w:p>
      <w:pPr>
        <w:sectPr>
          <w:pgSz w:w="11900" w:h="16838" w:orient="portrait"/>
          <w:cols w:equalWidth="0" w:num="1">
            <w:col w:w="11000"/>
          </w:cols>
          <w:pgMar w:left="440" w:top="270" w:right="4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 xml:space="preserve">Except to the extent such terms are otherwise defined in this Tenth Supplemental Indenture or the context clearly requires otherwise, all terms used in this Tenth Supplemental Indenture which are defined in the Original Indenture or the form of Senior Note, with respect to the Senior Notes,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have the meanings assigned to them therein.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used in this Tenth Supplemental Indenture, the following terms have the following meanings: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Amounts</w:t>
      </w:r>
      <w:r>
        <w:rPr>
          <w:rFonts w:ascii="Arial" w:cs="Arial" w:eastAsia="Arial" w:hAnsi="Arial"/>
          <w:sz w:val="18"/>
          <w:szCs w:val="18"/>
          <w:color w:val="auto"/>
        </w:rPr>
        <w:t>” has the meaning given to such term in Section 3.1(a)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Procedures</w:t>
      </w:r>
      <w:r>
        <w:rPr>
          <w:rFonts w:ascii="Arial" w:cs="Arial" w:eastAsia="Arial" w:hAnsi="Arial"/>
          <w:sz w:val="18"/>
          <w:szCs w:val="18"/>
          <w:color w:val="auto"/>
        </w:rPr>
        <w:t>” has the meaning given to such term in Section 2.8(a) hereof.</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Attributable Debt</w:t>
      </w:r>
      <w:r>
        <w:rPr>
          <w:rFonts w:ascii="Arial" w:cs="Arial" w:eastAsia="Arial" w:hAnsi="Arial"/>
          <w:sz w:val="17"/>
          <w:szCs w:val="17"/>
          <w:color w:val="auto"/>
        </w:rPr>
        <w:t>” with regard to a Sale and Lease-Back Transaction with respect to any Principal Property means, at the time of determination, the present value of the total net amount of rent required to be paid under such lease during the remaining term thereof (including any period for which such lease has been extended), discounted at the rate of interest set forth or implicit in the terms of such lease (or, if not practicable to determine such rate, the weighted average interest rate per annum borne by the securities of all series then Outstanding under the Indenture) compounded semi-annually. In the case of any lease which is terminable by the lessee upon the payment of a penalty, such net amount shall be the lesser of (x) the net amount determined assuming termination upon the first date such lease may be terminated (in which case the net amount shall also include the amount of the penalty, but shall not include any rent that would be required to be paid under such lease subsequent to the first date upon which it may be so terminated) or (y) the net amount determined assuming no such termination.</w:t>
      </w:r>
    </w:p>
    <w:p>
      <w:pPr>
        <w:spacing w:after="0" w:line="17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Laws</w:t>
      </w:r>
      <w:r>
        <w:rPr>
          <w:rFonts w:ascii="Arial" w:cs="Arial" w:eastAsia="Arial" w:hAnsi="Arial"/>
          <w:sz w:val="18"/>
          <w:szCs w:val="18"/>
          <w:color w:val="auto"/>
        </w:rPr>
        <w:t>” means Title 11, U.S. Code or any similar federal or state law for the relief of debtors (or any law involving equivalent concepts applicable outside the United States).</w:t>
      </w:r>
    </w:p>
    <w:p>
      <w:pPr>
        <w:spacing w:after="0" w:line="1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Below Investment Grade Rating Event</w:t>
      </w:r>
      <w:r>
        <w:rPr>
          <w:rFonts w:ascii="Arial" w:cs="Arial" w:eastAsia="Arial" w:hAnsi="Arial"/>
          <w:sz w:val="17"/>
          <w:szCs w:val="17"/>
          <w:color w:val="auto"/>
        </w:rPr>
        <w:t xml:space="preserve">” means the ratings of the Senior Notes are decreased from an Investment Grade Rating by each of the Rating Agencies to below an Investment Grade Rating by each of the Rating Agencies on any date during the period commencing upon the first public notice of the occurrence of a Change of Control or the Company’s intention to effect a Change of Control and ending 60 days following public notice of the occurrence of the related Change of Control (which 60-day period shall be extended so long as the rating of the Senior Notes is under publicly announced consideration for possible downgrade by any of the Rating Agencies);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Triggering Event” hereunder) if the Rating Agencies making the reduction in rating to which this definition would otherwise apply do not announce or publicly confirm or inform the Holders of the Senior Notes in writing at their request that the reduction was the result, in whole or in part, of any event or circumstance comprising or arising as a result of, or in respect of, the applicable Change of Control (whether or not the applicable Change of Control shall have occurred at the time of the Below Investment Grade Rating Event).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47" w:name="page48"/>
    <w:bookmarkEnd w:id="47"/>
    <w:p>
      <w:pPr>
        <w:ind w:right="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except a Saturday, a Sunday or a day on which banking institutions in the applicable place of payment are authorized or required by law, regulation or executive order to close.</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the occurrence of any of the following: (a) the direct or indirect sale, transfer, conveyance or other disposition (other than by way of merger or consolidation), in one or a series of related transactions, of all or substantially all of the assets of the Company and its Subsidiaries taken as a whole to any Person or group of related Persons for purposes of Section 13(d) of the Exchange Act (a “</w:t>
      </w:r>
      <w:r>
        <w:rPr>
          <w:rFonts w:ascii="Arial" w:cs="Arial" w:eastAsia="Arial" w:hAnsi="Arial"/>
          <w:sz w:val="17"/>
          <w:szCs w:val="17"/>
          <w:b w:val="1"/>
          <w:bCs w:val="1"/>
          <w:color w:val="auto"/>
        </w:rPr>
        <w:t>Group</w:t>
      </w:r>
      <w:r>
        <w:rPr>
          <w:rFonts w:ascii="Arial" w:cs="Arial" w:eastAsia="Arial" w:hAnsi="Arial"/>
          <w:sz w:val="17"/>
          <w:szCs w:val="17"/>
          <w:color w:val="auto"/>
        </w:rPr>
        <w:t>”) other than the Company or one of its Subsidiaries; (b) the approval by the holders of the Company’s common stock of any plan or proposal for the Company’s liquidation or dissolution; (c) the consummation of any transaction (including, without limitation, any merger or consolidation) the result of which is that any Person or Group becomes the beneficial owner, directly or indirectly, of more than 50% of the then outstanding number of shares of the Company’s Voting Stock; or (d) the first day on which a majority of the members of the Board of Directors are not Continuing Directors. Notwithstanding the foregoing, a transaction will not be deemed to involve a Change of Control if (1) the Company becomes a direct or indirect wholly owned Subsidiary of a holding company and (2)(A) the direct or indirect holders of the Voting Stock of such holding company immediately following that transaction are substantially the same as the holders of the Company’s Voting Stock immediately prior to that transaction or (B) immediately following that transaction no Person or Group (other than a holding company satisfying the requirements of this sentence) is the beneficial owner, directly or indirectly, of more than 50% of the Voting Stock of such holding company.</w:t>
      </w:r>
    </w:p>
    <w:p>
      <w:pPr>
        <w:spacing w:after="0" w:line="17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 Triggering Event</w:t>
      </w:r>
      <w:r>
        <w:rPr>
          <w:rFonts w:ascii="Arial" w:cs="Arial" w:eastAsia="Arial" w:hAnsi="Arial"/>
          <w:sz w:val="18"/>
          <w:szCs w:val="18"/>
          <w:color w:val="auto"/>
        </w:rPr>
        <w:t>” means the occurrence of both a Change of Control and a Below Investment Grade Rating Event occurring in respect of that Change of Control.</w:t>
      </w:r>
    </w:p>
    <w:p>
      <w:pPr>
        <w:spacing w:after="0" w:line="16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that United States Treasury security selected by the Quotation Agent as having a maturity comparable to the remaining term of the Senior Notes to be redeemed (assuming the Senior Notes matured on the Par Call Date) that would be utilized, at the time of selection and in accordance with customary financial practice, in pricing new issues of corporate notes of comparable maturity to the remaining term of the Senior Notes (assuming the Senior Notes matured on the Par Call Date).</w:t>
      </w:r>
    </w:p>
    <w:p>
      <w:pPr>
        <w:spacing w:after="0" w:line="180"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(a) the average of four Reference Treasury Dealer Quotations for such Redemption Date, after excluding the highest and lowest such Reference Treasury Dealer Quotations or (b) if the Quotation Agent obtains fewer than four such Reference Treasury Dealer Quotations, the average of all such quotations.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48" w:name="page49"/>
    <w:bookmarkEnd w:id="48"/>
    <w:p>
      <w:pPr>
        <w:ind w:left="4" w:right="100"/>
        <w:spacing w:after="0" w:line="31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5"/>
          <w:szCs w:val="15"/>
          <w:b w:val="1"/>
          <w:bCs w:val="1"/>
          <w:color w:val="auto"/>
        </w:rPr>
        <w:t>Consolidated Net Tangible Assets</w:t>
      </w:r>
      <w:r>
        <w:rPr>
          <w:rFonts w:ascii="Arial" w:cs="Arial" w:eastAsia="Arial" w:hAnsi="Arial"/>
          <w:sz w:val="15"/>
          <w:szCs w:val="15"/>
          <w:color w:val="auto"/>
        </w:rPr>
        <w:t>” means, at any date, the aggregate amount of assets (less applicable reserves) of the Company and its Subsidiaries after deducting therefrom (a) all goodwill, trade names, trademarks, patents, unamortized debt discount and expense and other like intangibles and</w:t>
      </w:r>
    </w:p>
    <w:p>
      <w:pPr>
        <w:ind w:left="4" w:right="80" w:hanging="4"/>
        <w:spacing w:after="0" w:line="253" w:lineRule="auto"/>
        <w:tabs>
          <w:tab w:leader="none" w:pos="259"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current liabilities (excluding any current liability for money borrowed having a maturity of less than 12 months but by its terms is renewable or extendible beyond 12 months from such date at the option of the borrower), all as reflected in the Company’s most recent consolidated balance sheet as at the end of its fiscal quarter ending not more than 135 days prior to such date, prepared in accordance with United States generally accepted accounting principles.</w:t>
      </w:r>
    </w:p>
    <w:p>
      <w:pPr>
        <w:spacing w:after="0" w:line="189" w:lineRule="exact"/>
        <w:rPr>
          <w:sz w:val="20"/>
          <w:szCs w:val="20"/>
          <w:color w:val="auto"/>
        </w:rPr>
      </w:pPr>
    </w:p>
    <w:p>
      <w:pPr>
        <w:ind w:left="4"/>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Continuing Directors</w:t>
      </w:r>
      <w:r>
        <w:rPr>
          <w:rFonts w:ascii="Arial" w:cs="Arial" w:eastAsia="Arial" w:hAnsi="Arial"/>
          <w:sz w:val="16"/>
          <w:szCs w:val="16"/>
          <w:color w:val="auto"/>
        </w:rPr>
        <w:t>” means, as of any date of determination, any member of the Board of Directors who (a) was a member of the Board of Directors on the Issue Date or (b) was nominated or approved for election, elected or appointed to the Board of Directors with the approval of a majority of the Continuing Directors who were members of the Board of Directors at the time of such nomination, approval, election or appointment (either by a specific vote or by approval of the proxy statement issued by the Company in which such member was named as a nominee for election as a director).</w:t>
      </w:r>
    </w:p>
    <w:p>
      <w:pPr>
        <w:spacing w:after="0" w:line="151" w:lineRule="exact"/>
        <w:rPr>
          <w:sz w:val="20"/>
          <w:szCs w:val="20"/>
          <w:color w:val="auto"/>
        </w:rPr>
      </w:pPr>
    </w:p>
    <w:p>
      <w:pPr>
        <w:ind w:left="4" w:right="1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Definitive Securities</w:t>
      </w:r>
      <w:r>
        <w:rPr>
          <w:rFonts w:ascii="Arial" w:cs="Arial" w:eastAsia="Arial" w:hAnsi="Arial"/>
          <w:sz w:val="17"/>
          <w:szCs w:val="17"/>
          <w:color w:val="auto"/>
        </w:rPr>
        <w:t xml:space="preserve">” means certificated Securities registered in the name of the Holder thereof and issued in accordance with Section 2.3(b) hereof,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except that each such Security shall not bear the Global Security Legend.</w:t>
      </w:r>
    </w:p>
    <w:p>
      <w:pPr>
        <w:spacing w:after="0" w:line="140" w:lineRule="exact"/>
        <w:rPr>
          <w:sz w:val="20"/>
          <w:szCs w:val="20"/>
          <w:color w:val="auto"/>
        </w:rPr>
      </w:pPr>
    </w:p>
    <w:p>
      <w:pPr>
        <w:ind w:left="4"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notwithstanding Section 3.03(h) of the Original Indenture, with respect to Securities issuable or issued in whole or in part in the form of one more Global Securities, DTC, together with any Person succeeding thereto by merger, consolidation or acquisition of all or substantially all of its assets, including substantially all of its securities payment and transfer operations.</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DTC</w:t>
      </w:r>
      <w:r>
        <w:rPr>
          <w:rFonts w:ascii="Arial" w:cs="Arial" w:eastAsia="Arial" w:hAnsi="Arial"/>
          <w:sz w:val="16"/>
          <w:szCs w:val="16"/>
          <w:color w:val="auto"/>
        </w:rPr>
        <w:t>” means The Depository Trust Company, a New York corporation, having a principal office at 55 Water Street, New York, New York 10041-0099.</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Termination Date</w:t>
      </w:r>
      <w:r>
        <w:rPr>
          <w:rFonts w:ascii="Arial" w:cs="Arial" w:eastAsia="Arial" w:hAnsi="Arial"/>
          <w:sz w:val="18"/>
          <w:szCs w:val="18"/>
          <w:color w:val="auto"/>
        </w:rPr>
        <w:t>” has the meaning given to such term in Section 4.4(a).</w:t>
      </w:r>
    </w:p>
    <w:p>
      <w:pPr>
        <w:spacing w:after="0" w:line="225" w:lineRule="exact"/>
        <w:rPr>
          <w:sz w:val="20"/>
          <w:szCs w:val="20"/>
          <w:color w:val="auto"/>
        </w:rPr>
      </w:pPr>
    </w:p>
    <w:p>
      <w:pPr>
        <w:ind w:left="4" w:right="6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Foreign Successor Issuer</w:t>
      </w:r>
      <w:r>
        <w:rPr>
          <w:rFonts w:ascii="Arial" w:cs="Arial" w:eastAsia="Arial" w:hAnsi="Arial"/>
          <w:sz w:val="16"/>
          <w:szCs w:val="16"/>
          <w:color w:val="auto"/>
        </w:rPr>
        <w:t>” means any entity that is organized in a jurisdiction other than the United States, any state thereof or the District of Columbia and becomes a successor of the Company as a result of a merger of the Company with and into such entity after the date hereof.</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 Legend</w:t>
      </w:r>
      <w:r>
        <w:rPr>
          <w:rFonts w:ascii="Arial" w:cs="Arial" w:eastAsia="Arial" w:hAnsi="Arial"/>
          <w:sz w:val="18"/>
          <w:szCs w:val="18"/>
          <w:color w:val="auto"/>
        </w:rPr>
        <w:t>” means the legend set forth in Section 3.03(g) of the Original Indenture.</w:t>
      </w:r>
    </w:p>
    <w:p>
      <w:pPr>
        <w:spacing w:after="0" w:line="225" w:lineRule="exact"/>
        <w:rPr>
          <w:sz w:val="20"/>
          <w:szCs w:val="20"/>
          <w:color w:val="auto"/>
        </w:rPr>
      </w:pPr>
    </w:p>
    <w:p>
      <w:pPr>
        <w:ind w:left="4"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any indebtedness (whether being principal, premium, interest or other amounts) for or in respect of any notes, bonds, debentures or other instruments for money borrowed or any borrowed money or any liability under or in respect of any banker’s acceptance (other than a daylight overdraft).</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0" w:right="47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Indirect Participant</w:t>
      </w:r>
      <w:r>
        <w:rPr>
          <w:rFonts w:ascii="Arial" w:cs="Arial" w:eastAsia="Arial" w:hAnsi="Arial"/>
          <w:sz w:val="18"/>
          <w:szCs w:val="18"/>
          <w:color w:val="auto"/>
        </w:rPr>
        <w:t>” means a Person who holds a beneficial interest in a Global Security through a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January 15 and July 15 of each year.</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 Grade Rating</w:t>
      </w:r>
      <w:r>
        <w:rPr>
          <w:rFonts w:ascii="Arial" w:cs="Arial" w:eastAsia="Arial" w:hAnsi="Arial"/>
          <w:sz w:val="17"/>
          <w:szCs w:val="17"/>
          <w:color w:val="auto"/>
        </w:rPr>
        <w:t>” means a rating equal to or higher than Baa3 (or the equivalent) by Moody’s and BBB- (or the equivalent) by S&amp;P or the equivalent investment grade credit rating from any additional Rating Agency or Rating Agencies selected by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Issue Date</w:t>
      </w:r>
      <w:r>
        <w:rPr>
          <w:rFonts w:ascii="Arial" w:cs="Arial" w:eastAsia="Arial" w:hAnsi="Arial"/>
          <w:sz w:val="17"/>
          <w:szCs w:val="17"/>
          <w:color w:val="auto"/>
        </w:rPr>
        <w:t>” means December 21, 2020, the date on which the Senior Notes are originally issued under this Tenth Supplemental Indenture.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mortgage, deed of trust, hypothecation, pledge, security interest, charge or encumbrance of any kind.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Redemption Price</w:t>
      </w:r>
      <w:r>
        <w:rPr>
          <w:rFonts w:ascii="Arial" w:cs="Arial" w:eastAsia="Arial" w:hAnsi="Arial"/>
          <w:sz w:val="18"/>
          <w:szCs w:val="18"/>
          <w:color w:val="auto"/>
        </w:rPr>
        <w:t>” has the meaning given to such term in Section 4.1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 subsidiary of Moody’s Corporation, and its successors.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 Call Date</w:t>
      </w:r>
      <w:r>
        <w:rPr>
          <w:rFonts w:ascii="Arial" w:cs="Arial" w:eastAsia="Arial" w:hAnsi="Arial"/>
          <w:sz w:val="18"/>
          <w:szCs w:val="18"/>
          <w:color w:val="auto"/>
        </w:rPr>
        <w:t>” has the meaning given to such term in Section 4.1(a)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with respect to the Depositary, a Person who has an account with the Depositary.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121" w:lineRule="exact"/>
        <w:rPr>
          <w:sz w:val="20"/>
          <w:szCs w:val="20"/>
          <w:color w:val="auto"/>
        </w:rPr>
      </w:pPr>
    </w:p>
    <w:p>
      <w:pPr>
        <w:ind w:left="440" w:right="160" w:firstLine="419"/>
        <w:spacing w:after="0" w:line="342" w:lineRule="auto"/>
        <w:tabs>
          <w:tab w:leader="none" w:pos="1108" w:val="left"/>
        </w:tabs>
        <w:numPr>
          <w:ilvl w:val="0"/>
          <w:numId w:val="42"/>
        </w:numPr>
        <w:rPr>
          <w:rFonts w:ascii="Arial" w:cs="Arial" w:eastAsia="Arial" w:hAnsi="Arial"/>
          <w:sz w:val="16"/>
          <w:szCs w:val="16"/>
          <w:color w:val="auto"/>
        </w:rPr>
      </w:pPr>
      <w:r>
        <w:rPr>
          <w:rFonts w:ascii="Arial" w:cs="Arial" w:eastAsia="Arial" w:hAnsi="Arial"/>
          <w:sz w:val="16"/>
          <w:szCs w:val="16"/>
          <w:color w:val="auto"/>
        </w:rPr>
        <w:t>Liens imposed by law or any governmental authority for taxes, assessments, levies or charges that are not yet overdue by more than 60 days or are being contested in good faith (and, if necessary, by appropriate proceedings) or for commitments that have not been violated;</w:t>
      </w:r>
    </w:p>
    <w:p>
      <w:pPr>
        <w:spacing w:after="0" w:line="15" w:lineRule="exact"/>
        <w:rPr>
          <w:rFonts w:ascii="Arial" w:cs="Arial" w:eastAsia="Arial" w:hAnsi="Arial"/>
          <w:sz w:val="16"/>
          <w:szCs w:val="16"/>
          <w:color w:val="auto"/>
        </w:rPr>
      </w:pPr>
    </w:p>
    <w:p>
      <w:pPr>
        <w:ind w:left="440" w:firstLine="419"/>
        <w:spacing w:after="0" w:line="263" w:lineRule="auto"/>
        <w:tabs>
          <w:tab w:leader="none" w:pos="1118"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landlords’ and similar Liens imposed by law, or which arise by operation of law and which are incurred in the ordinary course of business or where the validity or amount thereof is being contested in good faith (and, if necessary, by appropriate proceedings);</w:t>
      </w:r>
    </w:p>
    <w:p>
      <w:pPr>
        <w:spacing w:after="0" w:line="75" w:lineRule="exact"/>
        <w:rPr>
          <w:rFonts w:ascii="Arial" w:cs="Arial" w:eastAsia="Arial" w:hAnsi="Arial"/>
          <w:sz w:val="18"/>
          <w:szCs w:val="18"/>
          <w:color w:val="auto"/>
        </w:rPr>
      </w:pPr>
    </w:p>
    <w:p>
      <w:pPr>
        <w:jc w:val="both"/>
        <w:ind w:left="440" w:right="20" w:firstLine="419"/>
        <w:spacing w:after="0" w:line="263" w:lineRule="auto"/>
        <w:tabs>
          <w:tab w:leader="none" w:pos="1108"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Liens incurred or pledges or deposits made in compliance with workers’ compensation, pension liabilities, unemployment insurance and other social security laws or regulations or other insurance-related obligations (including, without limitation, pledges or deposits securing liability to insurance carriers under insurance or self-insurance arrangements);</w:t>
      </w:r>
    </w:p>
    <w:p>
      <w:pPr>
        <w:spacing w:after="0" w:line="75" w:lineRule="exact"/>
        <w:rPr>
          <w:rFonts w:ascii="Arial" w:cs="Arial" w:eastAsia="Arial" w:hAnsi="Arial"/>
          <w:sz w:val="18"/>
          <w:szCs w:val="18"/>
          <w:color w:val="auto"/>
        </w:rPr>
      </w:pPr>
    </w:p>
    <w:p>
      <w:pPr>
        <w:ind w:left="440" w:right="280" w:firstLine="419"/>
        <w:spacing w:after="0" w:line="263" w:lineRule="auto"/>
        <w:tabs>
          <w:tab w:leader="none" w:pos="1118"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Liens incurred or pledges or deposits made to secure the performance of bids, trade contracts, tenders, leases, statutory obligations, surety, customs and appeal bonds, performance bonds, customer deposits and other obligations of a similar nature, in each case in the ordinary course of business;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0" w:right="499" w:bottom="1440" w:gutter="0" w:footer="0" w:header="0"/>
        </w:sectPr>
      </w:pPr>
    </w:p>
    <w:bookmarkStart w:id="50" w:name="page51"/>
    <w:bookmarkEnd w:id="50"/>
    <w:p>
      <w:pPr>
        <w:ind w:left="4" w:right="420" w:firstLine="419"/>
        <w:spacing w:after="0" w:line="277" w:lineRule="auto"/>
        <w:tabs>
          <w:tab w:leader="none" w:pos="671" w:val="left"/>
        </w:tabs>
        <w:numPr>
          <w:ilvl w:val="1"/>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judgment Liens in respect of judgments, decrees, orders of any court or in connection with legal proceedings or actions at law or in equity that do not constitute an Event of Default under the Indenture;</w:t>
      </w:r>
    </w:p>
    <w:p>
      <w:pPr>
        <w:spacing w:after="0" w:line="62" w:lineRule="exact"/>
        <w:rPr>
          <w:rFonts w:ascii="Arial" w:cs="Arial" w:eastAsia="Arial" w:hAnsi="Arial"/>
          <w:sz w:val="18"/>
          <w:szCs w:val="18"/>
          <w:color w:val="auto"/>
        </w:rPr>
      </w:pPr>
    </w:p>
    <w:p>
      <w:pPr>
        <w:ind w:left="4" w:firstLine="419"/>
        <w:spacing w:after="0" w:line="257" w:lineRule="auto"/>
        <w:tabs>
          <w:tab w:leader="none" w:pos="651" w:val="left"/>
        </w:tabs>
        <w:numPr>
          <w:ilvl w:val="1"/>
          <w:numId w:val="43"/>
        </w:numPr>
        <w:rPr>
          <w:rFonts w:ascii="Arial" w:cs="Arial" w:eastAsia="Arial" w:hAnsi="Arial"/>
          <w:sz w:val="18"/>
          <w:szCs w:val="18"/>
          <w:color w:val="auto"/>
        </w:rPr>
      </w:pPr>
      <w:r>
        <w:rPr>
          <w:rFonts w:ascii="Arial" w:cs="Arial" w:eastAsia="Arial" w:hAnsi="Arial"/>
          <w:sz w:val="18"/>
          <w:szCs w:val="18"/>
          <w:color w:val="auto"/>
        </w:rPr>
        <w:t>Liens arising in connection with the operations of the Company or any Subsidiary relating to clearing, depository, matched principal, regulated exchange or settlement activities, including without limitation, Liens on securities sold by the Company or any of its Subsidiaries in repurchase agreements, reverse repurchase agreements, sell-buy-back and buy-sell-back agreements, securities lending and borrowing agreements and any other similar agreement or transaction entered into in the ordinary course of clearing, depository, matched principal and settlement operations or in the management of liabilities;</w:t>
      </w:r>
    </w:p>
    <w:p>
      <w:pPr>
        <w:spacing w:after="0" w:line="79" w:lineRule="exact"/>
        <w:rPr>
          <w:rFonts w:ascii="Arial" w:cs="Arial" w:eastAsia="Arial" w:hAnsi="Arial"/>
          <w:sz w:val="18"/>
          <w:szCs w:val="18"/>
          <w:color w:val="auto"/>
        </w:rPr>
      </w:pPr>
    </w:p>
    <w:p>
      <w:pPr>
        <w:ind w:left="684" w:hanging="261"/>
        <w:spacing w:after="0"/>
        <w:tabs>
          <w:tab w:leader="none" w:pos="684"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Liens on (1) any property or asset prior to the acquisition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 may only extend to such property or asset or</w:t>
      </w:r>
    </w:p>
    <w:p>
      <w:pPr>
        <w:spacing w:after="0" w:line="46" w:lineRule="exact"/>
        <w:rPr>
          <w:rFonts w:ascii="Arial" w:cs="Arial" w:eastAsia="Arial" w:hAnsi="Arial"/>
          <w:sz w:val="16"/>
          <w:szCs w:val="16"/>
          <w:color w:val="auto"/>
        </w:rPr>
      </w:pPr>
    </w:p>
    <w:p>
      <w:pPr>
        <w:ind w:left="4" w:right="120" w:hanging="4"/>
        <w:spacing w:after="0" w:line="281" w:lineRule="auto"/>
        <w:tabs>
          <w:tab w:leader="none" w:pos="258"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property of a Significant Subsidiary where (A) such Significant Subsidiary becomes a Subsidiary after December 7, 2020, (B)(i) the Lien exists at the time such Significant Subsidiary becomes a Subsidiary or (ii) was incurred pursuant to contractual commitments entered into before such Subsidiary became a Subsidiary, (C) the Lien was not created in contemplation of such Significant Subsidiary becoming a Subsidiary and</w:t>
      </w:r>
    </w:p>
    <w:p>
      <w:pPr>
        <w:spacing w:after="0" w:line="1" w:lineRule="exact"/>
        <w:rPr>
          <w:rFonts w:ascii="Arial" w:cs="Arial" w:eastAsia="Arial" w:hAnsi="Arial"/>
          <w:sz w:val="16"/>
          <w:szCs w:val="16"/>
          <w:color w:val="auto"/>
        </w:rPr>
      </w:pPr>
    </w:p>
    <w:p>
      <w:pPr>
        <w:ind w:left="4" w:right="500"/>
        <w:spacing w:after="0" w:line="260" w:lineRule="auto"/>
        <w:rPr>
          <w:rFonts w:ascii="Arial" w:cs="Arial" w:eastAsia="Arial" w:hAnsi="Arial"/>
          <w:sz w:val="16"/>
          <w:szCs w:val="16"/>
          <w:color w:val="auto"/>
        </w:rPr>
      </w:pPr>
      <w:r>
        <w:rPr>
          <w:rFonts w:ascii="Arial" w:cs="Arial" w:eastAsia="Arial" w:hAnsi="Arial"/>
          <w:sz w:val="18"/>
          <w:szCs w:val="18"/>
          <w:color w:val="auto"/>
        </w:rPr>
        <w:t>(D) the principal amount secured by the Lien at the time such Significant Subsidiary becomes a Subsidiary is not subsequently increased or extended to any other assets other than those owned by the entity becoming a Subsidiary;</w:t>
      </w:r>
    </w:p>
    <w:p>
      <w:pPr>
        <w:spacing w:after="0" w:line="77" w:lineRule="exact"/>
        <w:rPr>
          <w:rFonts w:ascii="Arial" w:cs="Arial" w:eastAsia="Arial" w:hAnsi="Arial"/>
          <w:sz w:val="16"/>
          <w:szCs w:val="16"/>
          <w:color w:val="auto"/>
        </w:rPr>
      </w:pPr>
    </w:p>
    <w:p>
      <w:pPr>
        <w:ind w:left="684" w:hanging="261"/>
        <w:spacing w:after="0"/>
        <w:tabs>
          <w:tab w:leader="none" w:pos="68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Lien existing on the Issue Date;</w:t>
      </w:r>
    </w:p>
    <w:p>
      <w:pPr>
        <w:spacing w:after="0" w:line="117" w:lineRule="exact"/>
        <w:rPr>
          <w:rFonts w:ascii="Arial" w:cs="Arial" w:eastAsia="Arial" w:hAnsi="Arial"/>
          <w:sz w:val="18"/>
          <w:szCs w:val="18"/>
          <w:color w:val="auto"/>
        </w:rPr>
      </w:pPr>
    </w:p>
    <w:p>
      <w:pPr>
        <w:ind w:left="4" w:right="100" w:firstLine="419"/>
        <w:spacing w:after="0" w:line="257" w:lineRule="auto"/>
        <w:tabs>
          <w:tab w:leader="none" w:pos="641"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Liens upon fixed, capital, real and/or tangible personal property acquired after December 7, 2020 (by purchase, construction, development, improvement, capital lease, Synthetic Lease or otherwise) by the Company or any Significant Subsidiary, each of which Liens was created for the purpose of securing Indebtedness representing, or incurred to finance, refinance or refund, the cost (including the cost of construction, development or improvement) of such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Lien shall extend to or cover any property other than the property so acquired and improvements thereon;</w:t>
      </w:r>
    </w:p>
    <w:p>
      <w:pPr>
        <w:spacing w:after="0" w:line="79" w:lineRule="exact"/>
        <w:rPr>
          <w:rFonts w:ascii="Arial" w:cs="Arial" w:eastAsia="Arial" w:hAnsi="Arial"/>
          <w:sz w:val="18"/>
          <w:szCs w:val="18"/>
          <w:color w:val="auto"/>
        </w:rPr>
      </w:pPr>
    </w:p>
    <w:p>
      <w:pPr>
        <w:ind w:left="644" w:hanging="221"/>
        <w:spacing w:after="0"/>
        <w:tabs>
          <w:tab w:leader="none" w:pos="644" w:val="left"/>
        </w:tabs>
        <w:numPr>
          <w:ilvl w:val="1"/>
          <w:numId w:val="44"/>
        </w:numPr>
        <w:rPr>
          <w:rFonts w:ascii="Arial" w:cs="Arial" w:eastAsia="Arial" w:hAnsi="Arial"/>
          <w:sz w:val="18"/>
          <w:szCs w:val="18"/>
          <w:color w:val="auto"/>
        </w:rPr>
      </w:pPr>
      <w:r>
        <w:rPr>
          <w:rFonts w:ascii="Arial" w:cs="Arial" w:eastAsia="Arial" w:hAnsi="Arial"/>
          <w:sz w:val="18"/>
          <w:szCs w:val="18"/>
          <w:color w:val="auto"/>
        </w:rPr>
        <w:t>Liens in favor of the Company or any Subsidiary;</w:t>
      </w:r>
    </w:p>
    <w:p>
      <w:pPr>
        <w:spacing w:after="0" w:line="117" w:lineRule="exact"/>
        <w:rPr>
          <w:rFonts w:ascii="Arial" w:cs="Arial" w:eastAsia="Arial" w:hAnsi="Arial"/>
          <w:sz w:val="18"/>
          <w:szCs w:val="18"/>
          <w:color w:val="auto"/>
        </w:rPr>
      </w:pPr>
    </w:p>
    <w:p>
      <w:pPr>
        <w:ind w:left="684" w:hanging="261"/>
        <w:spacing w:after="0"/>
        <w:tabs>
          <w:tab w:leader="none" w:pos="684" w:val="left"/>
        </w:tabs>
        <w:numPr>
          <w:ilvl w:val="1"/>
          <w:numId w:val="44"/>
        </w:numPr>
        <w:rPr>
          <w:rFonts w:ascii="Arial" w:cs="Arial" w:eastAsia="Arial" w:hAnsi="Arial"/>
          <w:sz w:val="18"/>
          <w:szCs w:val="18"/>
          <w:color w:val="auto"/>
        </w:rPr>
      </w:pPr>
      <w:r>
        <w:rPr>
          <w:rFonts w:ascii="Arial" w:cs="Arial" w:eastAsia="Arial" w:hAnsi="Arial"/>
          <w:sz w:val="18"/>
          <w:szCs w:val="18"/>
          <w:color w:val="auto"/>
        </w:rPr>
        <w:t>Liens arising from the sale of accounts receivable for which fair equivalent value is received;</w:t>
      </w:r>
    </w:p>
    <w:p>
      <w:pPr>
        <w:spacing w:after="0" w:line="117" w:lineRule="exact"/>
        <w:rPr>
          <w:rFonts w:ascii="Arial" w:cs="Arial" w:eastAsia="Arial" w:hAnsi="Arial"/>
          <w:sz w:val="18"/>
          <w:szCs w:val="18"/>
          <w:color w:val="auto"/>
        </w:rPr>
      </w:pPr>
    </w:p>
    <w:p>
      <w:pPr>
        <w:ind w:left="4" w:right="100" w:firstLine="419"/>
        <w:spacing w:after="0" w:line="279" w:lineRule="auto"/>
        <w:tabs>
          <w:tab w:leader="none" w:pos="641"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any extension, renewal or replacement (or successive extensions, renewals or replacements) in whole or in part, of any Liens referred to in the foregoing clauses (f), (g), (h), (i), (j) and (k);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principal amount of Indebtedness secured thereby and not otherwise authorized as a Permitted Lien shall not exceed the principal amount of Indebtedness, plus any premium or fee payable in connection with any such extension, renewal or replacement, so secured at the time of such extension, renewal or replacement;</w:t>
      </w:r>
    </w:p>
    <w:p>
      <w:pPr>
        <w:spacing w:after="0" w:line="104"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24"/>
          </w:cols>
          <w:pgMar w:left="876" w:top="274" w:right="499" w:bottom="1440" w:gutter="0" w:footer="0" w:header="0"/>
        </w:sectPr>
      </w:pPr>
    </w:p>
    <w:bookmarkStart w:id="51" w:name="page52"/>
    <w:bookmarkEnd w:id="51"/>
    <w:p>
      <w:pPr>
        <w:ind w:left="440" w:right="400" w:firstLine="419"/>
        <w:spacing w:after="0" w:line="263" w:lineRule="auto"/>
        <w:tabs>
          <w:tab w:leader="none" w:pos="1168"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securing obligations of the Company or any Subsidiary of the Company in respect of any swap agreements or other hedging arrangements entered into (1) in the ordinary course of business and for non-speculative purposes or (2) solely in order to serve clearing, depository, regulated exchange or settlement activities in respect thereof;</w:t>
      </w:r>
    </w:p>
    <w:p>
      <w:pPr>
        <w:spacing w:after="0" w:line="75" w:lineRule="exact"/>
        <w:rPr>
          <w:rFonts w:ascii="Arial" w:cs="Arial" w:eastAsia="Arial" w:hAnsi="Arial"/>
          <w:sz w:val="18"/>
          <w:szCs w:val="18"/>
          <w:color w:val="auto"/>
        </w:rPr>
      </w:pPr>
    </w:p>
    <w:p>
      <w:pPr>
        <w:ind w:left="440" w:firstLine="419"/>
        <w:spacing w:after="0" w:line="279" w:lineRule="auto"/>
        <w:tabs>
          <w:tab w:leader="none" w:pos="1118" w:val="left"/>
        </w:tabs>
        <w:numPr>
          <w:ilvl w:val="0"/>
          <w:numId w:val="45"/>
        </w:numPr>
        <w:rPr>
          <w:rFonts w:ascii="Arial" w:cs="Arial" w:eastAsia="Arial" w:hAnsi="Arial"/>
          <w:sz w:val="17"/>
          <w:szCs w:val="17"/>
          <w:color w:val="auto"/>
        </w:rPr>
      </w:pPr>
      <w:r>
        <w:rPr>
          <w:rFonts w:ascii="Arial" w:cs="Arial" w:eastAsia="Arial" w:hAnsi="Arial"/>
          <w:sz w:val="17"/>
          <w:szCs w:val="17"/>
          <w:color w:val="auto"/>
        </w:rPr>
        <w:t>easements, zoning restrictions, minor title defects, irregularities or imperfections, restrictions on use, rights of way, leases, subleases and similar charges and other similar encumbrances on real property imposed by law or arising in the ordinary course of business that do not secure any monetary obligations (other than customary maintenance requirements) and which could not reasonably be expected to have a material adverse effect on the business or financial condition of the Company and its Subsidiaries taken as a whole;</w:t>
      </w:r>
    </w:p>
    <w:p>
      <w:pPr>
        <w:spacing w:after="0" w:line="63" w:lineRule="exact"/>
        <w:rPr>
          <w:rFonts w:ascii="Arial" w:cs="Arial" w:eastAsia="Arial" w:hAnsi="Arial"/>
          <w:sz w:val="17"/>
          <w:szCs w:val="17"/>
          <w:color w:val="auto"/>
        </w:rPr>
      </w:pPr>
    </w:p>
    <w:p>
      <w:pPr>
        <w:ind w:left="440" w:right="120" w:firstLine="419"/>
        <w:spacing w:after="0" w:line="277" w:lineRule="auto"/>
        <w:tabs>
          <w:tab w:leader="none" w:pos="1118"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created in connection with any share repurchase program in favor of any broker, dealer, custodian, trustee or agent administering or effecting transactions pursuant to a share repurchase program; and</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consisting of an agreement to sell, transfer or dispose of any asset or property (to the extent such sale, transfer or disposition is not prohibited by Section 6.04 of the Original Indenture).</w:t>
      </w:r>
    </w:p>
    <w:p>
      <w:pPr>
        <w:spacing w:after="0" w:line="16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firm, limited liability company, corporation, partnership, association, joint venture, tribunal, trust, government or political subdivision or agency or instrumentality thereof, or any other entity or organization and includes a “person” as used in Section 13(d)(3) of the Exchange Act.</w:t>
      </w:r>
    </w:p>
    <w:p>
      <w:pPr>
        <w:spacing w:after="0" w:line="17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 Property</w:t>
      </w:r>
      <w:r>
        <w:rPr>
          <w:rFonts w:ascii="Arial" w:cs="Arial" w:eastAsia="Arial" w:hAnsi="Arial"/>
          <w:sz w:val="16"/>
          <w:szCs w:val="16"/>
          <w:color w:val="auto"/>
        </w:rPr>
        <w:t>” means the land, improvements, buildings and fixtures (including any leasehold interest therein) constituting a corporate office, facility or other capital asset which is owned or leased by the Company or any of its Significant Subsidiaries the net book value of which on the date as of which the determination is being made exceeds 2% of Consolidated Net Tangible Assets, unless the Board of Directors has determined in good faith that such office, facility or capital asset is not of material importance to the total business conducted by the Company and its Significant Subsidiaries taken as a whole. With respect to any Sale and Lease-Back Transaction or series of related Sale and Lease-Back Transactions, the determination of whether any property is a Principal Property shall be determined by reference to all properties affected by such transaction or series of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a Reference Treasury Dealer appointed by the Company.</w:t>
      </w:r>
    </w:p>
    <w:p>
      <w:pPr>
        <w:spacing w:after="0" w:line="16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52" w:name="page53"/>
    <w:bookmarkEnd w:id="52"/>
    <w:p>
      <w:pPr>
        <w:ind w:right="20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Rating Agencies</w:t>
      </w:r>
      <w:r>
        <w:rPr>
          <w:rFonts w:ascii="Arial" w:cs="Arial" w:eastAsia="Arial" w:hAnsi="Arial"/>
          <w:sz w:val="18"/>
          <w:szCs w:val="18"/>
          <w:color w:val="auto"/>
        </w:rPr>
        <w:t>” means (a) each of Moody’s and S&amp;P and (b) if any of Moody’s or S&amp;P ceases to rate the Senior Notes or fails to make a rating of the Senior Notes publicly available for reasons outside of the Company’s control, a “nationally recognized statistical rating organization” within the meaning of Section 3(a)(62) of the Exchange Act, that the Company selects (as certified by an executive officer of the Company) as a replacement agency for Moody’s or S&amp;P, or both of them, as the case may be.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Record Date</w:t>
      </w:r>
      <w:r>
        <w:rPr>
          <w:rFonts w:ascii="Arial" w:cs="Arial" w:eastAsia="Arial" w:hAnsi="Arial"/>
          <w:sz w:val="17"/>
          <w:szCs w:val="17"/>
          <w:color w:val="auto"/>
        </w:rPr>
        <w:t>” means January 1 and July 1, whether or not a Business Day, immediately preceding the applicable Interest Payment Date.</w:t>
      </w:r>
    </w:p>
    <w:p>
      <w:pPr>
        <w:spacing w:after="0" w:line="23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means each of (i) J.P. Morgan Securities LLC, BofA Securities, Inc., Goldman Sachs &amp; Co. LLC and Morgan Stanley &amp; Co. LLC (or their respective affiliates that are primary U.S. Government securities dealers in New York City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any of the foregoing shall cease to be a Primary Treasury Dealer, the Company will substitute therefor another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Dealer; and (ii) any other Primary Treasury Dealer selected by the Company.</w:t>
      </w:r>
    </w:p>
    <w:p>
      <w:pPr>
        <w:spacing w:after="0" w:line="18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Taxing Jurisdiction</w:t>
      </w:r>
      <w:r>
        <w:rPr>
          <w:rFonts w:ascii="Arial" w:cs="Arial" w:eastAsia="Arial" w:hAnsi="Arial"/>
          <w:sz w:val="18"/>
          <w:szCs w:val="18"/>
          <w:color w:val="auto"/>
        </w:rPr>
        <w:t>” has the meaning given to such term in Section 3.1(a)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S&amp;P Global Ratings (a division of S&amp;P Global Inc.) or any successor to the rating agency business thereof.</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and Lease-Back Transaction</w:t>
      </w:r>
      <w:r>
        <w:rPr>
          <w:rFonts w:ascii="Arial" w:cs="Arial" w:eastAsia="Arial" w:hAnsi="Arial"/>
          <w:sz w:val="18"/>
          <w:szCs w:val="18"/>
          <w:color w:val="auto"/>
        </w:rPr>
        <w:t>” means any arrangement with any Person providing for the leasing by the Company or any of its Significant Subsidiaries of any Principal Property, whether now owned or hereafter acquired, which Principal Property has been or is to be sold or transferred by the Company or such Significant Subsidiary to such Person.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Notes</w:t>
      </w:r>
      <w:r>
        <w:rPr>
          <w:rFonts w:ascii="Arial" w:cs="Arial" w:eastAsia="Arial" w:hAnsi="Arial"/>
          <w:sz w:val="18"/>
          <w:szCs w:val="18"/>
          <w:color w:val="auto"/>
        </w:rPr>
        <w:t>” has the meaning given to such term in the preamble hereof.</w:t>
      </w:r>
    </w:p>
    <w:p>
      <w:pPr>
        <w:spacing w:after="0" w:line="22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Subsidiary</w:t>
      </w:r>
      <w:r>
        <w:rPr>
          <w:rFonts w:ascii="Arial" w:cs="Arial" w:eastAsia="Arial" w:hAnsi="Arial"/>
          <w:sz w:val="18"/>
          <w:szCs w:val="18"/>
          <w:color w:val="auto"/>
        </w:rPr>
        <w:t>” with respect to any Person, means any Subsidiary of such Person that satisfies the criteria for a “significant subsidiary” set forth in Rule l-02(w) of Regulation S-X under the Exchange 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Mandatory Redemption Date</w:t>
      </w:r>
      <w:r>
        <w:rPr>
          <w:rFonts w:ascii="Arial" w:cs="Arial" w:eastAsia="Arial" w:hAnsi="Arial"/>
          <w:sz w:val="18"/>
          <w:szCs w:val="18"/>
          <w:color w:val="auto"/>
        </w:rPr>
        <w:t>” has the meaning given to such term in Section 4.4(b).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Mandatory Redemption End Date</w:t>
      </w:r>
      <w:r>
        <w:rPr>
          <w:rFonts w:ascii="Arial" w:cs="Arial" w:eastAsia="Arial" w:hAnsi="Arial"/>
          <w:sz w:val="18"/>
          <w:szCs w:val="18"/>
          <w:color w:val="auto"/>
        </w:rPr>
        <w:t>” has the meaning given to such term in Section 4.4(a).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Mandatory Redemption Price</w:t>
      </w:r>
      <w:r>
        <w:rPr>
          <w:rFonts w:ascii="Arial" w:cs="Arial" w:eastAsia="Arial" w:hAnsi="Arial"/>
          <w:sz w:val="18"/>
          <w:szCs w:val="18"/>
          <w:color w:val="auto"/>
        </w:rPr>
        <w:t>” has the meaning given to such term in Section 4.4(a).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Mandatory Redemption Trigger Date</w:t>
      </w:r>
      <w:r>
        <w:rPr>
          <w:rFonts w:ascii="Arial" w:cs="Arial" w:eastAsia="Arial" w:hAnsi="Arial"/>
          <w:sz w:val="18"/>
          <w:szCs w:val="18"/>
          <w:color w:val="auto"/>
        </w:rPr>
        <w:t>” has the meaning given to such term in Section 4.4(a).</w:t>
      </w:r>
    </w:p>
    <w:p>
      <w:pPr>
        <w:spacing w:after="0" w:line="16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0" w:right="47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Subject Lien</w:t>
      </w:r>
      <w:r>
        <w:rPr>
          <w:rFonts w:ascii="Arial" w:cs="Arial" w:eastAsia="Arial" w:hAnsi="Arial"/>
          <w:sz w:val="18"/>
          <w:szCs w:val="18"/>
          <w:color w:val="auto"/>
        </w:rPr>
        <w:t>” has the meaning given to such term in Section 3.2(a) hereof.</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limited liability company or other similar type of business entity in which the Company and/or one or more of its subsidiaries together own more than 50% of the total voting power of shares of Capital Stock entitled (without regard to the occurrence of any contingency) to vote in the election of the board of directors or similar governing body of such corporation, limited liability company or other similar type of business entity, directly or indirectly.</w:t>
      </w:r>
    </w:p>
    <w:p>
      <w:pPr>
        <w:spacing w:after="0" w:line="180" w:lineRule="exact"/>
        <w:rPr>
          <w:sz w:val="20"/>
          <w:szCs w:val="20"/>
          <w:color w:val="auto"/>
        </w:rPr>
      </w:pPr>
    </w:p>
    <w:p>
      <w:pPr>
        <w:jc w:val="both"/>
        <w:ind w:right="2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Substitute Rating Agency</w:t>
      </w:r>
      <w:r>
        <w:rPr>
          <w:rFonts w:ascii="Arial" w:cs="Arial" w:eastAsia="Arial" w:hAnsi="Arial"/>
          <w:sz w:val="17"/>
          <w:szCs w:val="17"/>
          <w:color w:val="auto"/>
        </w:rPr>
        <w:t>” means, in the Company’s discretion at any time and from time to time, Fitch, Inc. or any other “nationally recognized statistical rating organization” within the meaning of Section 3(a)(62) of the Exchange Act selected by the Company (as certified to the Trustee by a resolution of the Board of Directors) as a replacement agency for Moody’s or S&amp;P, or either of them, as the case may be.</w:t>
      </w:r>
    </w:p>
    <w:p>
      <w:pPr>
        <w:spacing w:after="0" w:line="158" w:lineRule="exact"/>
        <w:rPr>
          <w:sz w:val="20"/>
          <w:szCs w:val="20"/>
          <w:color w:val="auto"/>
        </w:rPr>
      </w:pPr>
    </w:p>
    <w:p>
      <w:pPr>
        <w:ind w:right="52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Synthetic Lease</w:t>
      </w:r>
      <w:r>
        <w:rPr>
          <w:rFonts w:ascii="Arial" w:cs="Arial" w:eastAsia="Arial" w:hAnsi="Arial"/>
          <w:sz w:val="17"/>
          <w:szCs w:val="17"/>
          <w:color w:val="auto"/>
        </w:rPr>
        <w:t>” means any tax retention or other synthetic lease which is treated as an operating lease under United States generally accepted accounting principles, but the liabilities under which are or would be characterized as indebtedness for tax purposes.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has the meaning given to such term in Section 3.1(a) hereof.</w:t>
      </w:r>
    </w:p>
    <w:p>
      <w:pPr>
        <w:spacing w:after="0" w:line="225"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Verafin Transaction</w:t>
      </w:r>
      <w:r>
        <w:rPr>
          <w:rFonts w:ascii="Arial" w:cs="Arial" w:eastAsia="Arial" w:hAnsi="Arial"/>
          <w:sz w:val="18"/>
          <w:szCs w:val="18"/>
          <w:color w:val="auto"/>
        </w:rPr>
        <w:t>” means the Company’s acquisition of Verafin.</w:t>
      </w:r>
    </w:p>
    <w:p>
      <w:pPr>
        <w:spacing w:after="0" w:line="225"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Verafin Transaction Agreement</w:t>
      </w:r>
      <w:r>
        <w:rPr>
          <w:rFonts w:ascii="Arial" w:cs="Arial" w:eastAsia="Arial" w:hAnsi="Arial"/>
          <w:sz w:val="17"/>
          <w:szCs w:val="17"/>
          <w:color w:val="auto"/>
        </w:rPr>
        <w:t>” means that certain Share Purchase Agreement, dated as of November 18, 2020, among the Company, Osprey Acquisition Corporation, a wholly owned subsidiary of the Company, Verafin Holdings Inc. (“</w:t>
      </w:r>
      <w:r>
        <w:rPr>
          <w:rFonts w:ascii="Arial" w:cs="Arial" w:eastAsia="Arial" w:hAnsi="Arial"/>
          <w:sz w:val="17"/>
          <w:szCs w:val="17"/>
          <w:b w:val="1"/>
          <w:bCs w:val="1"/>
          <w:color w:val="auto"/>
        </w:rPr>
        <w:t>Verafin</w:t>
      </w:r>
      <w:r>
        <w:rPr>
          <w:rFonts w:ascii="Arial" w:cs="Arial" w:eastAsia="Arial" w:hAnsi="Arial"/>
          <w:sz w:val="17"/>
          <w:szCs w:val="17"/>
          <w:color w:val="auto"/>
        </w:rPr>
        <w:t>”), certain shareholders of Verafin, and Shareholder Representative Services LLC, solely in its capacity as the representative of the selling shareholders.</w:t>
      </w:r>
    </w:p>
    <w:p>
      <w:pPr>
        <w:spacing w:after="0" w:line="15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of any specified Person as of any date means the capital stock of such Person that is at the time entitled to vote generally in the election of the board of directors of such Person.</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TWO</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TERMS AND ISSUANCE OF THE SENIOR NOTES</w:t>
      </w:r>
    </w:p>
    <w:p>
      <w:pPr>
        <w:spacing w:after="0" w:line="225" w:lineRule="exact"/>
        <w:rPr>
          <w:sz w:val="20"/>
          <w:szCs w:val="20"/>
          <w:color w:val="auto"/>
        </w:rPr>
      </w:pPr>
    </w:p>
    <w:p>
      <w:pPr>
        <w:jc w:val="both"/>
        <w:ind w:right="440" w:firstLine="440"/>
        <w:spacing w:after="0" w:line="26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Issue of Senior Notes</w:t>
      </w:r>
      <w:r>
        <w:rPr>
          <w:rFonts w:ascii="Arial" w:cs="Arial" w:eastAsia="Arial" w:hAnsi="Arial"/>
          <w:sz w:val="18"/>
          <w:szCs w:val="18"/>
          <w:color w:val="auto"/>
        </w:rPr>
        <w:t>. A series of Securities which shall be designated the “1.650% Senior Notes due 2031” shall be executed, authenticated and delivered in accordance with the provisions of, and shall in all respects be subject to the terms, conditions and covenants of, the Original Indenture and this Tenth Supplemental Indenture (including the form of such</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40" w:top="270" w:right="539" w:bottom="1440" w:gutter="0" w:footer="0" w:header="0"/>
        </w:sectPr>
      </w:pPr>
    </w:p>
    <w:bookmarkStart w:id="54" w:name="page55"/>
    <w:bookmarkEnd w:id="54"/>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Senior Notes set forth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aggregate principal amount of Senior Notes which may be authenticated and delivered under this Tenth Supplemental Indenture shall not, except as permitted by the provisions of the Original Indenture, initially exceed $650,000,000;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may from time to time or at any time, without the consent of the Holders of the Senior Notes, issue additional Senior Notes of the same or a different series in an unlimited aggregate principal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such additional Senior Notes are not fungible with the Senior Notes (or any other tranche of additional Senior Notes) for U.S. federal income tax purposes, then such additional Senior Notes will have different CUSIP numbers than the Senior Notes (or any such other tranche of additional Senior Notes).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2.2. Interest Rate Adjustment</w:t>
      </w:r>
    </w:p>
    <w:p>
      <w:pPr>
        <w:spacing w:after="0" w:line="117" w:lineRule="exact"/>
        <w:rPr>
          <w:sz w:val="20"/>
          <w:szCs w:val="20"/>
          <w:color w:val="auto"/>
        </w:rPr>
      </w:pPr>
    </w:p>
    <w:p>
      <w:pPr>
        <w:ind w:right="80" w:firstLine="436"/>
        <w:spacing w:after="0" w:line="342" w:lineRule="auto"/>
        <w:tabs>
          <w:tab w:leader="none" w:pos="68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interest rate payable on the Senior Notes will be subject to adjustment from time to time if either Moody’s or S&amp;P, or, in either case, any Substitute Rating Agency downgrades (or subsequently upgrades) the credit rating assigned to the Senior Notes, in the manner described below.</w:t>
      </w:r>
    </w:p>
    <w:p>
      <w:pPr>
        <w:spacing w:after="0" w:line="15" w:lineRule="exact"/>
        <w:rPr>
          <w:rFonts w:ascii="Arial" w:cs="Arial" w:eastAsia="Arial" w:hAnsi="Arial"/>
          <w:sz w:val="16"/>
          <w:szCs w:val="16"/>
          <w:color w:val="auto"/>
        </w:rPr>
      </w:pPr>
    </w:p>
    <w:p>
      <w:pPr>
        <w:ind w:right="80" w:firstLine="436"/>
        <w:spacing w:after="0" w:line="263"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rating from Moody’s (or any Substitute Rating Agency) of the Senior Notes is decreased to a rating set forth in the immediately following table, the interest rate on the Senior Notes will increase such that it will equal the interest rate payable on the Senior Notes on the Issue Date plus the percentage set forth opposite the ratings from the table below:</w:t>
      </w:r>
    </w:p>
    <w:p>
      <w:pPr>
        <w:spacing w:after="0" w:line="202"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Moody’s Rating*</w:t>
            </w:r>
          </w:p>
        </w:tc>
        <w:tc>
          <w:tcPr>
            <w:tcW w:w="566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Percentage</w:t>
            </w:r>
          </w:p>
        </w:tc>
      </w:tr>
      <w:tr>
        <w:trPr>
          <w:trHeight w:val="203"/>
        </w:trPr>
        <w:tc>
          <w:tcPr>
            <w:tcW w:w="10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Ba1</w:t>
            </w:r>
          </w:p>
        </w:tc>
        <w:tc>
          <w:tcPr>
            <w:tcW w:w="56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0.25%</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Ba2</w:t>
            </w:r>
          </w:p>
        </w:tc>
        <w:tc>
          <w:tcPr>
            <w:tcW w:w="6400" w:type="dxa"/>
            <w:vAlign w:val="bottom"/>
            <w:gridSpan w:val="3"/>
          </w:tcPr>
          <w:p>
            <w:pPr>
              <w:jc w:val="right"/>
              <w:ind w:right="60"/>
              <w:spacing w:after="0"/>
              <w:rPr>
                <w:sz w:val="20"/>
                <w:szCs w:val="20"/>
                <w:color w:val="auto"/>
              </w:rPr>
            </w:pPr>
            <w:r>
              <w:rPr>
                <w:rFonts w:ascii="Arial" w:cs="Arial" w:eastAsia="Arial" w:hAnsi="Arial"/>
                <w:sz w:val="18"/>
                <w:szCs w:val="18"/>
                <w:color w:val="auto"/>
              </w:rPr>
              <w:t>0.50%</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Ba3</w:t>
            </w:r>
          </w:p>
        </w:tc>
        <w:tc>
          <w:tcPr>
            <w:tcW w:w="6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B1 or below</w:t>
            </w:r>
          </w:p>
        </w:tc>
        <w:tc>
          <w:tcPr>
            <w:tcW w:w="64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bl>
    <w:p>
      <w:pPr>
        <w:spacing w:after="0" w:line="93" w:lineRule="exact"/>
        <w:rPr>
          <w:sz w:val="20"/>
          <w:szCs w:val="20"/>
          <w:color w:val="auto"/>
        </w:rPr>
      </w:pPr>
    </w:p>
    <w:p>
      <w:pPr>
        <w:ind w:left="960" w:hanging="53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Including the equivalent ratings of any Substitute Rating Agency.</w:t>
      </w:r>
    </w:p>
    <w:p>
      <w:pPr>
        <w:spacing w:after="0" w:line="117" w:lineRule="exact"/>
        <w:rPr>
          <w:rFonts w:ascii="Arial" w:cs="Arial" w:eastAsia="Arial" w:hAnsi="Arial"/>
          <w:sz w:val="18"/>
          <w:szCs w:val="18"/>
          <w:color w:val="auto"/>
        </w:rPr>
      </w:pPr>
    </w:p>
    <w:p>
      <w:pPr>
        <w:jc w:val="both"/>
        <w:ind w:right="160" w:firstLine="436"/>
        <w:spacing w:after="0" w:line="263" w:lineRule="auto"/>
        <w:tabs>
          <w:tab w:leader="none" w:pos="685"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the rating from S&amp;P (or any Substitute Rating Agency) of the Senior Notes is decreased to a rating set forth in the immediately following table, the interest rate on the Senior Notes will increase such that it will equal the interest rate payable on the Senior Notes on the Issue Date plus the percentage set forth opposite the ratings from the table below:</w:t>
      </w:r>
    </w:p>
    <w:p>
      <w:pPr>
        <w:spacing w:after="0" w:line="202"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S&amp;P Rating*</w:t>
            </w:r>
          </w:p>
        </w:tc>
        <w:tc>
          <w:tcPr>
            <w:tcW w:w="59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Percentage</w:t>
            </w:r>
          </w:p>
        </w:tc>
      </w:tr>
      <w:tr>
        <w:trPr>
          <w:trHeight w:val="203"/>
        </w:trPr>
        <w:tc>
          <w:tcPr>
            <w:tcW w:w="6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BB+</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0.25%</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BB</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B+ or below</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bl>
    <w:p>
      <w:pPr>
        <w:spacing w:after="0" w:line="93" w:lineRule="exact"/>
        <w:rPr>
          <w:sz w:val="20"/>
          <w:szCs w:val="20"/>
          <w:color w:val="auto"/>
        </w:rPr>
      </w:pPr>
    </w:p>
    <w:p>
      <w:pPr>
        <w:jc w:val="right"/>
        <w:ind w:left="5360" w:right="5220" w:hanging="4932"/>
        <w:spacing w:after="0" w:line="535" w:lineRule="auto"/>
        <w:tabs>
          <w:tab w:leader="none" w:pos="974"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Including the equivalent ratings of any Substitute Rating Agency. -10-</w:t>
      </w:r>
    </w:p>
    <w:p>
      <w:pPr>
        <w:sectPr>
          <w:pgSz w:w="11900" w:h="16838" w:orient="portrait"/>
          <w:cols w:equalWidth="0" w:num="1">
            <w:col w:w="10900"/>
          </w:cols>
          <w:pgMar w:left="440" w:top="274" w:right="559" w:bottom="1440" w:gutter="0" w:footer="0" w:header="0"/>
        </w:sectPr>
      </w:pPr>
    </w:p>
    <w:bookmarkStart w:id="55" w:name="page56"/>
    <w:bookmarkEnd w:id="55"/>
    <w:p>
      <w:pPr>
        <w:ind w:left="4" w:firstLine="436"/>
        <w:spacing w:after="0" w:line="269" w:lineRule="auto"/>
        <w:tabs>
          <w:tab w:leader="none" w:pos="699" w:val="left"/>
        </w:tabs>
        <w:numPr>
          <w:ilvl w:val="1"/>
          <w:numId w:val="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at any time the interest rate on the Senior Notes has been adjusted upward and either Moody’s or S&amp;P (or, in either case, a Substitute Rating Agency), as the case may be, subsequently increases its rating of the Senior Notes to any of the threshold ratings set forth above, the interest rate on the Senior Notes shall be decreased such that the interest rate for the Senior Notes shall equal the interest rate payable on the Senior Notes on the Issue Date plus the percentages set forth opposite the ratings from the tables in Sections 2.2(b) and (c) in effect immediately following the increase in rating. If Moody’s (or any Substitute Rating Agency) subsequently increases its rating of the Senior Notes to Baa3 (or its equivalent, in the case of a Substitute Rating Agency) or higher, and S&amp;P (or any Substitute Rating Agency) increases its rating to BBB- (or its equivalent, in the case of a Substitute Rating Agency) or higher, the interest rate on the Senior Notes will be decreased to the interest rate payable on the Senior Notes on the Issue Date. In addition, the interest rate on the Senior Notes will permanently cease to be subject to any adjustment described above (notwithstanding any subsequent decrease in the ratings by either or both Rating Agencies (or any Substitute Rating Agency)) if the Senior Notes become rated Baa1 and BBB+ (or the equivalent of either such rating, in the case of a Substitute Rating Agency) or higher by each of Moody’s and S&amp;P (or, in either case, a Substitute Rating Agency thereof), respectively (or by one Rating Agency in the event the Senior Notes are only rated by one Rating Agency and the Company has not obtained ratings from a Substitute Rating Agency).</w:t>
      </w:r>
    </w:p>
    <w:p>
      <w:pPr>
        <w:spacing w:after="0" w:line="70" w:lineRule="exact"/>
        <w:rPr>
          <w:rFonts w:ascii="Arial" w:cs="Arial" w:eastAsia="Arial" w:hAnsi="Arial"/>
          <w:sz w:val="17"/>
          <w:szCs w:val="17"/>
          <w:color w:val="auto"/>
        </w:rPr>
      </w:pPr>
    </w:p>
    <w:p>
      <w:pPr>
        <w:ind w:left="4" w:right="100" w:firstLine="436"/>
        <w:spacing w:after="0" w:line="279" w:lineRule="auto"/>
        <w:tabs>
          <w:tab w:leader="none" w:pos="689" w:val="left"/>
        </w:tabs>
        <w:numPr>
          <w:ilvl w:val="1"/>
          <w:numId w:val="49"/>
        </w:numPr>
        <w:rPr>
          <w:rFonts w:ascii="Arial" w:cs="Arial" w:eastAsia="Arial" w:hAnsi="Arial"/>
          <w:sz w:val="17"/>
          <w:szCs w:val="17"/>
          <w:color w:val="auto"/>
        </w:rPr>
      </w:pPr>
      <w:r>
        <w:rPr>
          <w:rFonts w:ascii="Arial" w:cs="Arial" w:eastAsia="Arial" w:hAnsi="Arial"/>
          <w:sz w:val="17"/>
          <w:szCs w:val="17"/>
          <w:color w:val="auto"/>
        </w:rPr>
        <w:t>Each adjustment required by any decrease or increase in a rating set forth above, whether occasioned by the action of Moody’s or S&amp;P (or, in either case, a Substitute Rating Agency), shall be made independent of any and all other adjustments, provided, however, that in no event shall (1) the interest rate for the Senior Notes be reduced to below the interest rate payable on the Senior Notes on the Issue Date or (2) the total increase in the interest rate on the Senior Notes exceed 2.00% above the interest rate payable on the Senior Notes on the Issue Date.</w:t>
      </w:r>
    </w:p>
    <w:p>
      <w:pPr>
        <w:spacing w:after="0" w:line="63" w:lineRule="exact"/>
        <w:rPr>
          <w:rFonts w:ascii="Arial" w:cs="Arial" w:eastAsia="Arial" w:hAnsi="Arial"/>
          <w:sz w:val="17"/>
          <w:szCs w:val="17"/>
          <w:color w:val="auto"/>
        </w:rPr>
      </w:pPr>
    </w:p>
    <w:p>
      <w:pPr>
        <w:ind w:left="4" w:right="120" w:firstLine="436"/>
        <w:spacing w:after="0" w:line="285" w:lineRule="auto"/>
        <w:tabs>
          <w:tab w:leader="none" w:pos="669" w:val="left"/>
        </w:tabs>
        <w:numPr>
          <w:ilvl w:val="1"/>
          <w:numId w:val="49"/>
        </w:numPr>
        <w:rPr>
          <w:rFonts w:ascii="Arial" w:cs="Arial" w:eastAsia="Arial" w:hAnsi="Arial"/>
          <w:sz w:val="16"/>
          <w:szCs w:val="16"/>
          <w:color w:val="auto"/>
        </w:rPr>
      </w:pPr>
      <w:r>
        <w:rPr>
          <w:rFonts w:ascii="Arial" w:cs="Arial" w:eastAsia="Arial" w:hAnsi="Arial"/>
          <w:sz w:val="16"/>
          <w:szCs w:val="16"/>
          <w:color w:val="auto"/>
        </w:rPr>
        <w:t>No adjustments in the interest rate of the Senior Notes shall be made solely as a result of a Rating Agency ceasing to provide a rating of the Senior Notes. If at any time Moody’s or S&amp;P ceases to provide a rating of the Senior Notes for any reason, the Company will use its commercially reasonable efforts to obtain a rating of the Senior Notes from a Substitute Rating Agency, to the extent one exists, and if a Substitute Rating Agency exists, for purposes of determining any increase or decrease in the interest rate on the Senior Notes pursuant to the tables above, (a) such Substitute Rating Agency will be substituted for the last Rating Agency to provide a rating of the Senior Notes but which has since ceased to provide such rating,</w:t>
      </w:r>
    </w:p>
    <w:p>
      <w:pPr>
        <w:spacing w:after="0" w:line="1" w:lineRule="exact"/>
        <w:rPr>
          <w:rFonts w:ascii="Arial" w:cs="Arial" w:eastAsia="Arial" w:hAnsi="Arial"/>
          <w:sz w:val="16"/>
          <w:szCs w:val="16"/>
          <w:color w:val="auto"/>
        </w:rPr>
      </w:pPr>
    </w:p>
    <w:p>
      <w:pPr>
        <w:ind w:left="4" w:right="180" w:hanging="4"/>
        <w:spacing w:after="0" w:line="287" w:lineRule="auto"/>
        <w:tabs>
          <w:tab w:leader="none" w:pos="25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relative rating scale used by such Substitute Rating Agency to assign ratings to senior unsecured debt will be determined in good faith by an independent investment banking institution of national standing appointed by the Company and, for purposes of determining the applicable ratings included in the applicable table above with respect to such Substitute Rating Agency, such ratings will be deemed to be the equivalent ratings used by Moody’s or S&amp;P, as applicable, in such table and (c) the interest rate on the Senior Notes will increase or decrease, as the case may be, such that the interest rate equals the interest rate payable on the Senior Notes on the Issue Date plus the appropriate percentage, if any, set forth opposite the rating from such Substitute Rating Agency in the applicable table above (taking into account the provisions of clause (b) above) (plus any applicable percentage resulting from a decreased rating by the other Rating Agency). For so long as only one of Moody’s or S&amp;P provides a rating of the Senior Notes and no Substitute Rating Agency is offered to replace the other Rating Agency, any</w:t>
      </w:r>
    </w:p>
    <w:p>
      <w:pPr>
        <w:spacing w:after="0" w:line="10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4"/>
          </w:cols>
          <w:pgMar w:left="436" w:top="274" w:right="499" w:bottom="1440" w:gutter="0" w:footer="0" w:header="0"/>
        </w:sectPr>
      </w:pPr>
    </w:p>
    <w:bookmarkStart w:id="56" w:name="page57"/>
    <w:bookmarkEnd w:id="5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subsequent increase or decrease in the interest rate of the Senior Notes necessitated by a reduction or increase in the rating by the agency providing the rating shall be twice the percentage set forth in the applicable table above. For so long as none of Moody’s, S&amp;P or a Substitute Rating Agency provides a rating of the Senior Notes, the interest rate on the Senior Notes will increase to, or remain at, as the case may be, 2.00% above the interest rate payable on the Senior Notes on the Issue Date.</w:t>
      </w:r>
    </w:p>
    <w:p>
      <w:pPr>
        <w:spacing w:after="0" w:line="79" w:lineRule="exact"/>
        <w:rPr>
          <w:sz w:val="20"/>
          <w:szCs w:val="20"/>
          <w:color w:val="auto"/>
        </w:rPr>
      </w:pPr>
    </w:p>
    <w:p>
      <w:pPr>
        <w:ind w:right="140" w:firstLine="436"/>
        <w:spacing w:after="0" w:line="277"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interest rate increase or decrease described in this Section 2.2 will take effect on the next Business Day after the day on which the rating change has occurred.</w:t>
      </w:r>
    </w:p>
    <w:p>
      <w:pPr>
        <w:spacing w:after="0" w:line="62" w:lineRule="exact"/>
        <w:rPr>
          <w:rFonts w:ascii="Arial" w:cs="Arial" w:eastAsia="Arial" w:hAnsi="Arial"/>
          <w:sz w:val="18"/>
          <w:szCs w:val="18"/>
          <w:color w:val="auto"/>
        </w:rPr>
      </w:pPr>
    </w:p>
    <w:p>
      <w:pPr>
        <w:ind w:right="220" w:firstLine="436"/>
        <w:spacing w:after="0" w:line="277"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interest rate payable on the Senior Notes is increased as described above, the term “interest,” as used with respect to the Senior Notes, will be deemed to include any such additional interest unless the context otherwise requires.</w:t>
      </w:r>
    </w:p>
    <w:p>
      <w:pPr>
        <w:spacing w:after="0" w:line="62" w:lineRule="exact"/>
        <w:rPr>
          <w:rFonts w:ascii="Arial" w:cs="Arial" w:eastAsia="Arial" w:hAnsi="Arial"/>
          <w:sz w:val="18"/>
          <w:szCs w:val="18"/>
          <w:color w:val="auto"/>
        </w:rPr>
      </w:pPr>
    </w:p>
    <w:p>
      <w:pPr>
        <w:ind w:right="80" w:firstLine="436"/>
        <w:spacing w:after="0" w:line="275"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Company shall promptly notify the Paying Agent on becoming aware of any decrease in the rating assigned to the Senior Notes by either Moody’s or S&amp;P (or any Substitute Rating Agency). The Trustee shall not be responsible for and makes no representation as to any act or omission of any Rating Agency or any rating with respect to the Senior Notes or the selection of a Substitute Rating agency. The Trustee shall have no obligation to independently determine or verify if an event has occurred or notify the holders of any event dependent upon the rating of the Senior Notes, or if the rating on the Senior Notes has been changed, suspended or withdrawn by any Rating Agency.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Form of Senior Notes; Incorporation of Terms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3" w:lineRule="auto"/>
        <w:tabs>
          <w:tab w:leader="none" w:pos="685"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Each of the Senior Notes shall be issued initially in the form of one or more Global Securities and, together with the Authenticating Agent’s certificate of authentication thereon, shall be in substantially the form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The Senior Notes may have such notations, legends or endorsements approved as to form by the Company and required, as applicable, by law, stock exchange or depository rules and agreements to which the Company is subject and/or usage. The terms of the Senior Notes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are herein incorporated by reference and are part of the terms of this Tenth Supplemental Indenture. The Senior Notes shall be issued in fully registered form without coupons only in minimum denominations of $2,000 and integral multiples of $1,000 in excess thereof.</w:t>
      </w:r>
    </w:p>
    <w:p>
      <w:pPr>
        <w:spacing w:after="0" w:line="69" w:lineRule="exact"/>
        <w:rPr>
          <w:rFonts w:ascii="Arial" w:cs="Arial" w:eastAsia="Arial" w:hAnsi="Arial"/>
          <w:sz w:val="17"/>
          <w:szCs w:val="17"/>
          <w:color w:val="auto"/>
        </w:rPr>
      </w:pPr>
    </w:p>
    <w:p>
      <w:pPr>
        <w:ind w:right="60" w:firstLine="436"/>
        <w:spacing w:after="0" w:line="290" w:lineRule="auto"/>
        <w:tabs>
          <w:tab w:leader="none" w:pos="695"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Each of the Senior Notes issued in global form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(including the Global Security Legend thereon). Senior Notes issued in definitive certificated form in accordance with the terms of the Original Indenture and this Tenth Supplemental Indenture, if any,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(but without the Global Security Legend thereon). Each Global Security shall represent such of the outstanding Senior Notes as shall be specified therein and each shall provide that it shall represent the aggregate principal amount of Outstanding Senior Notes from time to time endorsed thereon and that the aggregate principal amount of outstanding Senior Notes represented thereby may from time to time be reduced or increased, as appropriate, to reflect exchanges and redemptions. Any endorsement of a Global Security to reflect the amount of any increase or decrease in the aggregate principal amount of Outstanding Senior Notes represented thereby shall be made by the Transfer Agent in accordance with instructions given by the Holder thereof as required by Section 2.9 hereof.</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57" w:name="page58"/>
    <w:bookmarkEnd w:id="57"/>
    <w:p>
      <w:pPr>
        <w:ind w:right="2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2.4. </w:t>
      </w:r>
      <w:r>
        <w:rPr>
          <w:rFonts w:ascii="Arial" w:cs="Arial" w:eastAsia="Arial" w:hAnsi="Arial"/>
          <w:sz w:val="17"/>
          <w:szCs w:val="17"/>
          <w:i w:val="1"/>
          <w:iCs w:val="1"/>
          <w:color w:val="auto"/>
        </w:rPr>
        <w:t>Execution and Authentication</w:t>
      </w:r>
      <w:r>
        <w:rPr>
          <w:rFonts w:ascii="Arial" w:cs="Arial" w:eastAsia="Arial" w:hAnsi="Arial"/>
          <w:sz w:val="17"/>
          <w:szCs w:val="17"/>
          <w:color w:val="auto"/>
        </w:rPr>
        <w:t>. The Trustee, upon a Company Order and pursuant to the terms of the Original Indenture and this Tenth Supplemental Indenture, shall authenticate and deliver the Senior Notes for original issue in an initial aggregate principal amount of $650,000,000. Such Company Order shall specify the amount of the Senior Notes to be authenticated, the date on which the original issue of Senior Notes is to be authenticated and the aggregate principal amount of Senior Notes outstanding on the date of authentication. All of the Senior Notes issued under this Tenth Supplemental Indenture shall be treated as a single series for all purposes under the Original Indenture and this Tenth Supplemental Indenture, including, without limitation, waivers, amendments and offers to purchase.</w:t>
      </w:r>
    </w:p>
    <w:p>
      <w:pPr>
        <w:spacing w:after="0" w:line="178"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i w:val="1"/>
          <w:iCs w:val="1"/>
          <w:color w:val="auto"/>
        </w:rPr>
        <w:t>Depositary for Global Securities</w:t>
      </w:r>
      <w:r>
        <w:rPr>
          <w:rFonts w:ascii="Arial" w:cs="Arial" w:eastAsia="Arial" w:hAnsi="Arial"/>
          <w:sz w:val="18"/>
          <w:szCs w:val="18"/>
          <w:color w:val="auto"/>
        </w:rPr>
        <w:t>. The Depositary for the Senior Notes issued under this Tenth Supplemental Indenture shall be DTC in the City of New York.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i w:val="1"/>
          <w:iCs w:val="1"/>
          <w:color w:val="auto"/>
        </w:rPr>
        <w:t>[Reserved].</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i w:val="1"/>
          <w:iCs w:val="1"/>
          <w:color w:val="auto"/>
        </w:rPr>
        <w:t>Place of Payment</w:t>
      </w:r>
      <w:r>
        <w:rPr>
          <w:rFonts w:ascii="Arial" w:cs="Arial" w:eastAsia="Arial" w:hAnsi="Arial"/>
          <w:sz w:val="18"/>
          <w:szCs w:val="18"/>
          <w:color w:val="auto"/>
        </w:rPr>
        <w:t>. The Place of Payment in respect of the Senior Notes shall initially be at the office or agency of the Paying Agent at 150 East 42nd Street, 40</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10017, until such time as the Company designates an alternate place of payment. The Paying Agent for the Senior Notes shall be the Trustee.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i w:val="1"/>
          <w:iCs w:val="1"/>
          <w:color w:val="auto"/>
        </w:rPr>
        <w:t>Transfer and Exchange</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68" w:lineRule="auto"/>
        <w:tabs>
          <w:tab w:leader="none" w:pos="685"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transfer and exchange of beneficial interests in the Global Securities shall be effected through the Depositary, in accordance with the provisions of the Original Indenture, this Tenth Supplemental Indenture and the then applicable procedures of the Depositary (the “</w:t>
      </w:r>
      <w:r>
        <w:rPr>
          <w:rFonts w:ascii="Arial" w:cs="Arial" w:eastAsia="Arial" w:hAnsi="Arial"/>
          <w:sz w:val="17"/>
          <w:szCs w:val="17"/>
          <w:b w:val="1"/>
          <w:bCs w:val="1"/>
          <w:color w:val="auto"/>
        </w:rPr>
        <w:t>Applicable</w:t>
      </w:r>
      <w:r>
        <w:rPr>
          <w:rFonts w:ascii="Arial" w:cs="Arial" w:eastAsia="Arial" w:hAnsi="Arial"/>
          <w:sz w:val="17"/>
          <w:szCs w:val="17"/>
          <w:color w:val="auto"/>
        </w:rPr>
        <w:t xml:space="preserve"> </w:t>
      </w:r>
      <w:r>
        <w:rPr>
          <w:rFonts w:ascii="Arial" w:cs="Arial" w:eastAsia="Arial" w:hAnsi="Arial"/>
          <w:sz w:val="17"/>
          <w:szCs w:val="17"/>
          <w:b w:val="1"/>
          <w:bCs w:val="1"/>
          <w:color w:val="auto"/>
        </w:rPr>
        <w:t>Procedures</w:t>
      </w:r>
      <w:r>
        <w:rPr>
          <w:rFonts w:ascii="Arial" w:cs="Arial" w:eastAsia="Arial" w:hAnsi="Arial"/>
          <w:sz w:val="17"/>
          <w:szCs w:val="17"/>
          <w:color w:val="auto"/>
        </w:rPr>
        <w:t>”). In connection with all transfers and exchanges of beneficial interests, the transferor of such beneficial interest must deliver to the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Agent either (A)(1) a written order from a Participant or an Indirect Participant given to the Depositary in accordance with the Applicable Procedures directing the Depositary to credit or cause to be credited a beneficial interest in another Global Security in an amount equal to the beneficial interest to be transferred or exchanged and (2) instructions given in accordance with the Applicable Procedures containing information regarding the Participant account to be credited with such increase or, if Definitive Securities are at such time permitted to be issued pursuant to this Tenth Supplemental Indenture and the Original Indenture, (B)(1) a written order from a Participant or an Indirect Participant given to the Depositary in accordance with the Applicable Procedures directing the Depositary to cause to be issued a Definitive Security in an amount equal to the beneficial interest to be transferred or exchanged and (2) instructions given by the Depositary to the Registrar containing information regarding the Person in whose name such Definitive Security shall be registered to effect the transfer or exchange referred to in (1) above. Upon satisfaction of all of the requirements for transfer or exchange of beneficial interests in Global Securities contained in the Original Indenture, this Tenth Supplemental Indenture and the Senior Notes or otherwise applicable under the Securities Act, the Registrar shall adjust the principal amount of the relevant Global Securities pursuant to Section 2.9 hereof.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58" w:name="page59"/>
    <w:bookmarkEnd w:id="58"/>
    <w:p>
      <w:pPr>
        <w:ind w:right="40" w:firstLine="436"/>
        <w:spacing w:after="0" w:line="269" w:lineRule="auto"/>
        <w:tabs>
          <w:tab w:leader="none" w:pos="695" w:val="left"/>
        </w:tabs>
        <w:numPr>
          <w:ilvl w:val="0"/>
          <w:numId w:val="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request by a Holder of Definitive Securities and such Holder’s compliance with the provisions of this Section 2.8(b), the Registrar shall register the transfer or exchange of Definitive Securities. Prior to such registration of transfer or exchange, the requesting Holder shall present or surrender to the Transfer Agent the Definitive Securities duly endorsed or accompanied by a written instruction of transfer in form satisfactory to the Registrar duly executed by such Holder or by its attorney, duly authorized in writing. The Authenticating Agent shall cancel any such Definitive Securities so surrendered, and the Company shall execute and, upon receipt of a Company Order pursuant to Section 2.01 of the Original Indenture, the Authenticating Agent shall authenticate and deliver to the Person designated in the instructions a new Definitive Security in the appropriate principal amount. Any Definitive Security issued pursuant to this Section 2.8(b) shall be registered in such name or names and in such authorized denomination or denominations as the Holder of such beneficial interest shall instruct the Registrar through instructions from the Depositary and the Participant or Indirect Participant. The Paying Agent shall deliver such Definitive Securities to the Persons in whose names such Definitive Securities are so registered. In addition, the requesting Holder shall provide any additional certifications, documents and information, as applicable, required pursuant to Section 3.06 of the Original Indenture.</w:t>
      </w:r>
    </w:p>
    <w:p>
      <w:pPr>
        <w:spacing w:after="0" w:line="73" w:lineRule="exact"/>
        <w:rPr>
          <w:rFonts w:ascii="Arial" w:cs="Arial" w:eastAsia="Arial" w:hAnsi="Arial"/>
          <w:sz w:val="17"/>
          <w:szCs w:val="17"/>
          <w:color w:val="auto"/>
        </w:rPr>
      </w:pPr>
    </w:p>
    <w:p>
      <w:pPr>
        <w:ind w:right="500" w:firstLine="436"/>
        <w:spacing w:after="0" w:line="277" w:lineRule="auto"/>
        <w:tabs>
          <w:tab w:leader="none" w:pos="6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hereby appoints the Trustee as the Registrar for the Senior Notes issued under this Tenth Supplemental Indenture and the Trustee accepts such appointment.</w:t>
      </w:r>
    </w:p>
    <w:p>
      <w:pPr>
        <w:spacing w:after="0" w:line="17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i w:val="1"/>
          <w:iCs w:val="1"/>
          <w:color w:val="auto"/>
        </w:rPr>
        <w:t>Cancellation and/or Adjustment of Global Securities</w:t>
      </w:r>
      <w:r>
        <w:rPr>
          <w:rFonts w:ascii="Arial" w:cs="Arial" w:eastAsia="Arial" w:hAnsi="Arial"/>
          <w:sz w:val="16"/>
          <w:szCs w:val="16"/>
          <w:color w:val="auto"/>
        </w:rPr>
        <w:t>. At such time as all beneficial interests in a particular Global Security have been exchanged for Definitive Securities or a particular Global Security has been redeemed, repurchased or canceled in whole and not in part, each such Global Security shall be returned to or retained and canceled by the Registrar in accordance with Section 3.09 of the Original Indenture. At any time prior to such cancellation, if any beneficial interest in a Global Security is exchanged for or transferred to a Person who will take delivery thereof in the form of a beneficial interest in another Global Security or for Definitive Securities, the principal amount of Securities represented by such Global Security shall be reduced accordingly and an endorsement shall be made on such Global Security by the Registrar or by the Depositary at the direction of the Trustee to reflect such reduction; and if the beneficial interest is being exchanged for or transferred to a Person who will take delivery thereof in the form of a beneficial interest in another Global Security, such other Global Security shall be increased accordingly and an endorsement shall be made on such Global Security by the Registrar or by the Depositary at the direction of the Registrar to reflect such increase.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right="700" w:firstLine="436"/>
        <w:spacing w:after="0" w:line="277" w:lineRule="auto"/>
        <w:tabs>
          <w:tab w:leader="none" w:pos="68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provisions of Section 7.01 of the Original Indenture as they relate to the Senior Notes, shall be replaced in their entirety with the following: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40" w:top="274" w:right="519" w:bottom="1440" w:gutter="0" w:footer="0" w:header="0"/>
        </w:sectPr>
      </w:pPr>
    </w:p>
    <w:bookmarkStart w:id="59" w:name="page60"/>
    <w:bookmarkEnd w:id="59"/>
    <w:p>
      <w:pPr>
        <w:ind w:right="2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7.01. </w:t>
      </w:r>
      <w:r>
        <w:rPr>
          <w:rFonts w:ascii="Arial" w:cs="Arial" w:eastAsia="Arial" w:hAnsi="Arial"/>
          <w:sz w:val="16"/>
          <w:szCs w:val="16"/>
          <w:i w:val="1"/>
          <w:iCs w:val="1"/>
          <w:color w:val="auto"/>
        </w:rPr>
        <w:t>Events of Default</w:t>
      </w:r>
      <w:r>
        <w:rPr>
          <w:rFonts w:ascii="Arial" w:cs="Arial" w:eastAsia="Arial" w:hAnsi="Arial"/>
          <w:sz w:val="16"/>
          <w:szCs w:val="16"/>
          <w:color w:val="auto"/>
        </w:rPr>
        <w:t>. Except where otherwise indicated by the context or where the term is otherwise defined for a specific purpose, the term “</w:t>
      </w:r>
      <w:r>
        <w:rPr>
          <w:rFonts w:ascii="Arial" w:cs="Arial" w:eastAsia="Arial" w:hAnsi="Arial"/>
          <w:sz w:val="16"/>
          <w:szCs w:val="16"/>
          <w:b w:val="1"/>
          <w:bCs w:val="1"/>
          <w:color w:val="auto"/>
        </w:rPr>
        <w:t>Event of Default</w:t>
      </w:r>
      <w:r>
        <w:rPr>
          <w:rFonts w:ascii="Arial" w:cs="Arial" w:eastAsia="Arial" w:hAnsi="Arial"/>
          <w:sz w:val="16"/>
          <w:szCs w:val="16"/>
          <w:color w:val="auto"/>
        </w:rPr>
        <w:t>” as used in this Indenture with respect to Securities of any series shall mean one of the following described events unless it is either inapplicable to a particular series or it is specifically deleted or modified in the manner contemplated in Section 3.01 hereof:</w:t>
      </w:r>
    </w:p>
    <w:p>
      <w:pPr>
        <w:spacing w:after="0" w:line="41" w:lineRule="exact"/>
        <w:rPr>
          <w:sz w:val="20"/>
          <w:szCs w:val="20"/>
          <w:color w:val="auto"/>
        </w:rPr>
      </w:pPr>
    </w:p>
    <w:p>
      <w:pPr>
        <w:ind w:left="1200" w:hanging="252"/>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does not pay interest on any of the Senior Notes within 30 days of their due date;</w:t>
      </w:r>
    </w:p>
    <w:p>
      <w:pPr>
        <w:spacing w:after="0" w:line="117" w:lineRule="exact"/>
        <w:rPr>
          <w:rFonts w:ascii="Arial" w:cs="Arial" w:eastAsia="Arial" w:hAnsi="Arial"/>
          <w:sz w:val="18"/>
          <w:szCs w:val="18"/>
          <w:color w:val="auto"/>
        </w:rPr>
      </w:pPr>
    </w:p>
    <w:p>
      <w:pPr>
        <w:ind w:left="540" w:firstLine="408"/>
        <w:spacing w:after="0" w:line="277" w:lineRule="auto"/>
        <w:tabs>
          <w:tab w:leader="none" w:pos="119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fails to pay the principal (or premium, if any) of any Senior Notes when such principal becomes due and payable, at Maturity, upon acceleration, upon redemption or otherwise;</w:t>
      </w:r>
    </w:p>
    <w:p>
      <w:pPr>
        <w:spacing w:after="0" w:line="62" w:lineRule="exact"/>
        <w:rPr>
          <w:rFonts w:ascii="Arial" w:cs="Arial" w:eastAsia="Arial" w:hAnsi="Arial"/>
          <w:sz w:val="18"/>
          <w:szCs w:val="18"/>
          <w:color w:val="auto"/>
        </w:rPr>
      </w:pPr>
    </w:p>
    <w:p>
      <w:pPr>
        <w:ind w:left="1200" w:hanging="252"/>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obligations under Section 6.04 hereof;</w:t>
      </w:r>
    </w:p>
    <w:p>
      <w:pPr>
        <w:spacing w:after="0" w:line="117" w:lineRule="exact"/>
        <w:rPr>
          <w:rFonts w:ascii="Arial" w:cs="Arial" w:eastAsia="Arial" w:hAnsi="Arial"/>
          <w:sz w:val="18"/>
          <w:szCs w:val="18"/>
          <w:color w:val="auto"/>
        </w:rPr>
      </w:pPr>
    </w:p>
    <w:p>
      <w:pPr>
        <w:ind w:left="540" w:right="20" w:firstLine="408"/>
        <w:spacing w:after="0" w:line="311" w:lineRule="auto"/>
        <w:tabs>
          <w:tab w:leader="none" w:pos="1196"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 remains in breach of a covenant or warranty in respect of this Indenture or the Senior Notes (other than a covenant included in this Indenture solely for the benefit of debt securities of another series) for 90 days after the Company receives a written notice of default, which notice must be sent by either the Trustee or Holders of at least 25% in principal amount of the Outstanding Senior Notes;</w:t>
      </w:r>
    </w:p>
    <w:p>
      <w:pPr>
        <w:spacing w:after="0" w:line="40" w:lineRule="exact"/>
        <w:rPr>
          <w:rFonts w:ascii="Arial" w:cs="Arial" w:eastAsia="Arial" w:hAnsi="Arial"/>
          <w:sz w:val="16"/>
          <w:szCs w:val="16"/>
          <w:color w:val="auto"/>
        </w:rPr>
      </w:pPr>
    </w:p>
    <w:p>
      <w:pPr>
        <w:ind w:left="540" w:right="40" w:firstLine="408"/>
        <w:spacing w:after="0" w:line="275" w:lineRule="auto"/>
        <w:tabs>
          <w:tab w:leader="none" w:pos="118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entry by a court having jurisdiction in the premises of a decree or order for relief in respect of the Company in an involuntary case under the federal Bankruptcy Laws, as now or hereafter constituted, or any other applicable federal or state bankruptcy, insolvency or other similar law now or hereafter in effect, or appointing a receiver, liquidator, assignee, custodian, trustee or sequestrator (or similar official) of the Company or of substantially all the property of the Company or ordering the winding-up or liquidation of its affairs and such decree or order shall remain unstayed and in effect for a period of 60 consecutive days;</w:t>
      </w:r>
    </w:p>
    <w:p>
      <w:pPr>
        <w:spacing w:after="0" w:line="68" w:lineRule="exact"/>
        <w:rPr>
          <w:rFonts w:ascii="Arial" w:cs="Arial" w:eastAsia="Arial" w:hAnsi="Arial"/>
          <w:sz w:val="17"/>
          <w:szCs w:val="17"/>
          <w:color w:val="auto"/>
        </w:rPr>
      </w:pPr>
    </w:p>
    <w:p>
      <w:pPr>
        <w:ind w:left="540" w:right="20" w:firstLine="408"/>
        <w:spacing w:after="0" w:line="293" w:lineRule="auto"/>
        <w:tabs>
          <w:tab w:leader="none" w:pos="1166"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commencement by the Company of a voluntary case under the federal Bankruptcy Laws, as now or hereafter constituted, or any other applicable federal or state bankruptcy, insolvency or other similar law now or hereafter in effect, or the consent by the Company to the entry of an order for relief in an involuntary case under any such law, or the consent by the Company to the appointment of or taking possession by a receiver, liquidator, assignee, trustee, custodian or sequestrator (or similar official) of the Company or of substantially all the property of the Company or the making by it of an assignment for the benefit of creditors or the admission by it in writing of its inability to pay its debts generally as they become due, or the taking of corporate action by the Company in furtherance of any action;</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60" w:name="page61"/>
    <w:bookmarkEnd w:id="60"/>
    <w:p>
      <w:pPr>
        <w:ind w:left="980" w:right="20" w:firstLine="408"/>
        <w:spacing w:after="0" w:line="279" w:lineRule="auto"/>
        <w:tabs>
          <w:tab w:leader="none" w:pos="1636" w:val="left"/>
        </w:tabs>
        <w:numPr>
          <w:ilvl w:val="1"/>
          <w:numId w:val="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or any Significant Subsidiary defaults on any of its indebtedness having an aggregate amount of at least $200,000,000, constituting a default either of payment of principal when due and payable or which results in acceleration of the indebtedness unless the default has been cured or waived or the indebtedness discharged in full within 60 days after the Company has been notified of the default by the Trustee or Holders of at least 25% in principal amount of the outstanding Senior Notes; or</w:t>
      </w:r>
    </w:p>
    <w:p>
      <w:pPr>
        <w:spacing w:after="0" w:line="63" w:lineRule="exact"/>
        <w:rPr>
          <w:rFonts w:ascii="Arial" w:cs="Arial" w:eastAsia="Arial" w:hAnsi="Arial"/>
          <w:sz w:val="17"/>
          <w:szCs w:val="17"/>
          <w:color w:val="auto"/>
        </w:rPr>
      </w:pPr>
    </w:p>
    <w:p>
      <w:pPr>
        <w:ind w:left="980" w:right="580" w:firstLine="408"/>
        <w:spacing w:after="0" w:line="286" w:lineRule="auto"/>
        <w:tabs>
          <w:tab w:leader="none" w:pos="1636" w:val="left"/>
        </w:tabs>
        <w:numPr>
          <w:ilvl w:val="1"/>
          <w:numId w:val="57"/>
        </w:numPr>
        <w:rPr>
          <w:rFonts w:ascii="Arial" w:cs="Arial" w:eastAsia="Arial" w:hAnsi="Arial"/>
          <w:sz w:val="17"/>
          <w:szCs w:val="17"/>
          <w:color w:val="auto"/>
        </w:rPr>
      </w:pPr>
      <w:r>
        <w:rPr>
          <w:rFonts w:ascii="Arial" w:cs="Arial" w:eastAsia="Arial" w:hAnsi="Arial"/>
          <w:sz w:val="17"/>
          <w:szCs w:val="17"/>
          <w:color w:val="auto"/>
        </w:rPr>
        <w:t>one or more final judgments for the payment of money in an aggregate amount in excess of $200,000,000 above available insurance or indemnity coverage shall be rendered against the Company or any Significant Subsidiary and the same shall remain undischarged for a period of 60 consecutive days during which execution shall not be effectively stayed.”</w:t>
      </w:r>
    </w:p>
    <w:p>
      <w:pPr>
        <w:spacing w:after="0" w:line="57" w:lineRule="exact"/>
        <w:rPr>
          <w:rFonts w:ascii="Arial" w:cs="Arial" w:eastAsia="Arial" w:hAnsi="Arial"/>
          <w:sz w:val="17"/>
          <w:szCs w:val="17"/>
          <w:color w:val="auto"/>
        </w:rPr>
      </w:pPr>
    </w:p>
    <w:p>
      <w:pPr>
        <w:ind w:right="560" w:firstLine="436"/>
        <w:spacing w:after="0" w:line="277"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provisions of Section 7.02(a) of the Original Indenture as they relate to the Senior Notes, shall be replaced in their entirety with the following:</w:t>
      </w:r>
    </w:p>
    <w:p>
      <w:pPr>
        <w:spacing w:after="0" w:line="62" w:lineRule="exact"/>
        <w:rPr>
          <w:sz w:val="20"/>
          <w:szCs w:val="20"/>
          <w:color w:val="auto"/>
        </w:rPr>
      </w:pPr>
    </w:p>
    <w:p>
      <w:pPr>
        <w:ind w:left="440" w:firstLine="423"/>
        <w:spacing w:after="0" w:line="283" w:lineRule="auto"/>
        <w:rPr>
          <w:sz w:val="20"/>
          <w:szCs w:val="20"/>
          <w:color w:val="auto"/>
        </w:rPr>
      </w:pPr>
      <w:r>
        <w:rPr>
          <w:rFonts w:ascii="Arial" w:cs="Arial" w:eastAsia="Arial" w:hAnsi="Arial"/>
          <w:sz w:val="16"/>
          <w:szCs w:val="16"/>
          <w:color w:val="auto"/>
        </w:rPr>
        <w:t>“(a) Except as otherwise provided as contemplated by Section 3.01 hereof with respect to any series of Securities, if any one or more of the above-described Events of Default (other than an Event of Default specified in Section 7.01(e) or 7.01(f) hereof) shall happen with respect to Securities of any series at the time Outstanding, then, and in each and every such case, during the continuance of any such Event of Default, the Trustee or the Holders of 25% or more in principal amount of the Securities of such series then Outstanding may declare the principal (or premium if any) (or, if the Securities of that series are Original Issue Discount Securities, such portion of the principal amount as may be specified in the terms of that series) of and all accrued but unpaid interest on all the Securities of such series then Outstanding to be due and payable immediately by a notice in writing to the Company (and to the Trustee if given by Holders), and upon any such declaration such principal amount (or specified amount) shall become immediately due and payable. If an Event of Default specified in Section 7.01(e) or 7.01(f) hereof occurs and is continuing, then in every such case, the principal amount of all of the Securities of that series then Outstanding shall automatically, and without any declaration or any other action on the part of the Trustee or any Holder, become due and payable immediately. Upon payment of such amounts in the Currency in which such Securities are denominated (subject to Section 7.01 hereof and except as otherwise provided pursuant to</w:t>
      </w:r>
    </w:p>
    <w:p>
      <w:pPr>
        <w:spacing w:after="0" w:line="4" w:lineRule="exact"/>
        <w:rPr>
          <w:sz w:val="20"/>
          <w:szCs w:val="20"/>
          <w:color w:val="auto"/>
        </w:rPr>
      </w:pPr>
    </w:p>
    <w:p>
      <w:pPr>
        <w:ind w:left="440" w:right="320"/>
        <w:spacing w:after="0" w:line="260" w:lineRule="auto"/>
        <w:rPr>
          <w:sz w:val="20"/>
          <w:szCs w:val="20"/>
          <w:color w:val="auto"/>
        </w:rPr>
      </w:pPr>
      <w:r>
        <w:rPr>
          <w:rFonts w:ascii="Arial" w:cs="Arial" w:eastAsia="Arial" w:hAnsi="Arial"/>
          <w:sz w:val="18"/>
          <w:szCs w:val="18"/>
          <w:color w:val="auto"/>
        </w:rPr>
        <w:t>Section 3.01 hereof), all obligations of the Company in respect of the payment of principal of and interest on the Securities of such series shall terminate.”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THREE</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Payments of Additional Amounts by a Foreign Successor Issuer.</w:t>
      </w:r>
    </w:p>
    <w:p>
      <w:pPr>
        <w:spacing w:after="0" w:line="117" w:lineRule="exact"/>
        <w:rPr>
          <w:sz w:val="20"/>
          <w:szCs w:val="20"/>
          <w:color w:val="auto"/>
        </w:rPr>
      </w:pPr>
    </w:p>
    <w:p>
      <w:pPr>
        <w:ind w:left="-60" w:firstLine="436"/>
        <w:spacing w:after="0" w:line="286" w:lineRule="auto"/>
        <w:tabs>
          <w:tab w:leader="none" w:pos="625" w:val="left"/>
        </w:tabs>
        <w:numPr>
          <w:ilvl w:val="0"/>
          <w:numId w:val="59"/>
        </w:numPr>
        <w:rPr>
          <w:rFonts w:ascii="Arial" w:cs="Arial" w:eastAsia="Arial" w:hAnsi="Arial"/>
          <w:sz w:val="16"/>
          <w:szCs w:val="16"/>
          <w:color w:val="auto"/>
        </w:rPr>
      </w:pPr>
      <w:r>
        <w:rPr>
          <w:rFonts w:ascii="Arial" w:cs="Arial" w:eastAsia="Arial" w:hAnsi="Arial"/>
          <w:sz w:val="16"/>
          <w:szCs w:val="16"/>
          <w:color w:val="auto"/>
        </w:rPr>
        <w:t>All payments made under or with respect to the Senior Notes by any Foreign Successor Issuer will be made free and clear of and without withholding or deduction for or on account of any present or future tax, duty, levy, impost, assessment or other governmental charge (including, without limitation, penalties, interest and other similar liabilities related thereto) of whatever nature (collectively, “</w:t>
      </w:r>
      <w:r>
        <w:rPr>
          <w:rFonts w:ascii="Arial" w:cs="Arial" w:eastAsia="Arial" w:hAnsi="Arial"/>
          <w:sz w:val="16"/>
          <w:szCs w:val="16"/>
          <w:b w:val="1"/>
          <w:bCs w:val="1"/>
          <w:color w:val="auto"/>
        </w:rPr>
        <w:t>Taxes</w:t>
      </w:r>
      <w:r>
        <w:rPr>
          <w:rFonts w:ascii="Arial" w:cs="Arial" w:eastAsia="Arial" w:hAnsi="Arial"/>
          <w:sz w:val="16"/>
          <w:szCs w:val="16"/>
          <w:color w:val="auto"/>
        </w:rPr>
        <w:t>”) imposed or levied by or on behalf of any jurisdiction in which such Foreign Successor Issuer is organized, resident or doing business for tax purposes or from or through which such Foreign Successor Issuer makes any payment on the Senior Notes, or, in each case, any department or political subdivision thereof (each, a “</w:t>
      </w:r>
      <w:r>
        <w:rPr>
          <w:rFonts w:ascii="Arial" w:cs="Arial" w:eastAsia="Arial" w:hAnsi="Arial"/>
          <w:sz w:val="16"/>
          <w:szCs w:val="16"/>
          <w:b w:val="1"/>
          <w:bCs w:val="1"/>
          <w:color w:val="auto"/>
        </w:rPr>
        <w:t>Relevant Taxing</w:t>
      </w:r>
      <w:r>
        <w:rPr>
          <w:rFonts w:ascii="Arial" w:cs="Arial" w:eastAsia="Arial" w:hAnsi="Arial"/>
          <w:sz w:val="16"/>
          <w:szCs w:val="16"/>
          <w:color w:val="auto"/>
        </w:rPr>
        <w:t xml:space="preserve"> </w:t>
      </w:r>
      <w:r>
        <w:rPr>
          <w:rFonts w:ascii="Arial" w:cs="Arial" w:eastAsia="Arial" w:hAnsi="Arial"/>
          <w:sz w:val="16"/>
          <w:szCs w:val="16"/>
          <w:b w:val="1"/>
          <w:bCs w:val="1"/>
          <w:color w:val="auto"/>
        </w:rPr>
        <w:t>Jurisdiction</w:t>
      </w:r>
      <w:r>
        <w:rPr>
          <w:rFonts w:ascii="Arial" w:cs="Arial" w:eastAsia="Arial" w:hAnsi="Arial"/>
          <w:sz w:val="16"/>
          <w:szCs w:val="16"/>
          <w:color w:val="auto"/>
        </w:rPr>
        <w:t>”), unless such Foreign Successor Issuer or any other applicable withholding agent is required to withhold or deduct Taxes by law.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avoidance of doubt a Relevant Taxing Jurisdiction shall not include the United States, any state thereof or the District of Columbia. If a Foreign Successor Issuer or any other applicable withholding agent is required by law to make any such withholding or deduction, the Foreign Successor Issuer, subject to the exceptions listed below, will pay such additional amounts (“</w:t>
      </w:r>
      <w:r>
        <w:rPr>
          <w:rFonts w:ascii="Arial" w:cs="Arial" w:eastAsia="Arial" w:hAnsi="Arial"/>
          <w:sz w:val="16"/>
          <w:szCs w:val="16"/>
          <w:b w:val="1"/>
          <w:bCs w:val="1"/>
          <w:color w:val="auto"/>
        </w:rPr>
        <w:t>Additional Amounts</w:t>
      </w:r>
      <w:r>
        <w:rPr>
          <w:rFonts w:ascii="Arial" w:cs="Arial" w:eastAsia="Arial" w:hAnsi="Arial"/>
          <w:sz w:val="16"/>
          <w:szCs w:val="16"/>
          <w:color w:val="auto"/>
        </w:rPr>
        <w:t>”) as may be necessary to ensure that the net amount received by each beneficial owner of the Senior Notes after such withholding or deduction (including withholding or deduction attributable to Additional Amounts payable hereunder) will not be less than the amount the beneficial owner would have received if such Taxes had not been withheld or deducted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applicable withholding agent is a Person other than a Foreign Successor Issuer, the Additional Amounts payable by the Foreign Successor Issuer under this Section 3.1 shall not exceed the Additional Amounts that would have been payable by the Foreign Successor Issuer under this Section 3.1 had the Foreign Successor Issuer been the applicable withholding agent (</w:t>
      </w:r>
      <w:r>
        <w:rPr>
          <w:rFonts w:ascii="Arial" w:cs="Arial" w:eastAsia="Arial" w:hAnsi="Arial"/>
          <w:sz w:val="16"/>
          <w:szCs w:val="16"/>
          <w:i w:val="1"/>
          <w:iCs w:val="1"/>
          <w:color w:val="auto"/>
        </w:rPr>
        <w:t>i.e.</w:t>
      </w:r>
      <w:r>
        <w:rPr>
          <w:rFonts w:ascii="Arial" w:cs="Arial" w:eastAsia="Arial" w:hAnsi="Arial"/>
          <w:sz w:val="16"/>
          <w:szCs w:val="16"/>
          <w:color w:val="auto"/>
        </w:rPr>
        <w:t>, had the Foreign Successor Issuer made payments directly to the applicable beneficial owner of the Senior Notes)).</w:t>
      </w:r>
    </w:p>
    <w:p>
      <w:pPr>
        <w:spacing w:after="0" w:line="59" w:lineRule="exact"/>
        <w:rPr>
          <w:rFonts w:ascii="Arial" w:cs="Arial" w:eastAsia="Arial" w:hAnsi="Arial"/>
          <w:sz w:val="16"/>
          <w:szCs w:val="16"/>
          <w:color w:val="auto"/>
        </w:rPr>
      </w:pPr>
    </w:p>
    <w:p>
      <w:pPr>
        <w:ind w:left="640" w:hanging="264"/>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Foreign Successor Issuer will not, however, pay Additional Amounts to a Holder or beneficial owner of Senior Notes:</w:t>
      </w:r>
    </w:p>
    <w:p>
      <w:pPr>
        <w:spacing w:after="0" w:line="117" w:lineRule="exact"/>
        <w:rPr>
          <w:rFonts w:ascii="Arial" w:cs="Arial" w:eastAsia="Arial" w:hAnsi="Arial"/>
          <w:sz w:val="18"/>
          <w:szCs w:val="18"/>
          <w:color w:val="auto"/>
        </w:rPr>
      </w:pPr>
    </w:p>
    <w:p>
      <w:pPr>
        <w:ind w:left="380" w:right="140" w:firstLine="948"/>
        <w:spacing w:after="0" w:line="259" w:lineRule="auto"/>
        <w:tabs>
          <w:tab w:leader="none" w:pos="1547"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 the extent the Taxes giving rise to such Additional Amounts would not have been imposed, withheld or deducted but for the Holder’s or beneficial owner’s present or former connection with the Relevant Taxing Jurisdiction (other than any connection resulting from the acquisition, ownership, holding or disposition of Senior Notes, the receipt of payments thereunder and/or the exercise or enforcement of rights under any Senior Notes);</w:t>
      </w:r>
    </w:p>
    <w:p>
      <w:pPr>
        <w:spacing w:after="0" w:line="78" w:lineRule="exact"/>
        <w:rPr>
          <w:rFonts w:ascii="Arial" w:cs="Arial" w:eastAsia="Arial" w:hAnsi="Arial"/>
          <w:sz w:val="18"/>
          <w:szCs w:val="18"/>
          <w:color w:val="auto"/>
        </w:rPr>
      </w:pPr>
    </w:p>
    <w:p>
      <w:pPr>
        <w:ind w:left="380" w:right="180" w:firstLine="948"/>
        <w:spacing w:after="0" w:line="286" w:lineRule="auto"/>
        <w:tabs>
          <w:tab w:leader="none" w:pos="1597" w:val="left"/>
        </w:tabs>
        <w:numPr>
          <w:ilvl w:val="1"/>
          <w:numId w:val="59"/>
        </w:numPr>
        <w:rPr>
          <w:rFonts w:ascii="Arial" w:cs="Arial" w:eastAsia="Arial" w:hAnsi="Arial"/>
          <w:sz w:val="17"/>
          <w:szCs w:val="17"/>
          <w:color w:val="auto"/>
        </w:rPr>
      </w:pPr>
      <w:r>
        <w:rPr>
          <w:rFonts w:ascii="Arial" w:cs="Arial" w:eastAsia="Arial" w:hAnsi="Arial"/>
          <w:sz w:val="17"/>
          <w:szCs w:val="17"/>
          <w:color w:val="auto"/>
        </w:rPr>
        <w:t>to the extent the Taxes giving rise to such Additional Amounts would not have been imposed, withheld or deducted but for the failure of the Holder or beneficial owner of Senior Notes, following the Foreign Successor Issuer’s written request addressed to the Holder or beneficial owner, to the extent such Holder or beneficial owner is legally eligible to do so, to comply with any certification,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80"/>
          </w:cols>
          <w:pgMar w:left="500" w:top="274" w:right="519" w:bottom="1440" w:gutter="0" w:footer="0" w:header="0"/>
        </w:sectPr>
      </w:pPr>
    </w:p>
    <w:bookmarkStart w:id="62" w:name="page63"/>
    <w:bookmarkEnd w:id="62"/>
    <w:p>
      <w:pPr>
        <w:ind w:left="40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identification, information or other reporting requirements, whether required by statute, treaty, regulation or administrative practice of a Relevant Taxing Jurisdiction, as a precondition to exemption from, or reduction in the rate of deduction or withholding of, Taxes imposed by the Relevant Taxing Jurisdiction (including, without limitation, a certification that the Holder or beneficial owner is not resident in the Relevant Taxing Jurisdiction);</w:t>
      </w:r>
    </w:p>
    <w:p>
      <w:pPr>
        <w:spacing w:after="0" w:line="79" w:lineRule="exact"/>
        <w:rPr>
          <w:sz w:val="20"/>
          <w:szCs w:val="20"/>
          <w:color w:val="auto"/>
        </w:rPr>
      </w:pPr>
    </w:p>
    <w:p>
      <w:pPr>
        <w:ind w:left="1660" w:hanging="312"/>
        <w:spacing w:after="0"/>
        <w:tabs>
          <w:tab w:leader="none" w:pos="1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with respect to any estate, inheritance, gift, sales, transfer, personal property, wealth or any similar Taxes;</w:t>
      </w:r>
    </w:p>
    <w:p>
      <w:pPr>
        <w:spacing w:after="0" w:line="117" w:lineRule="exact"/>
        <w:rPr>
          <w:rFonts w:ascii="Arial" w:cs="Arial" w:eastAsia="Arial" w:hAnsi="Arial"/>
          <w:sz w:val="18"/>
          <w:szCs w:val="18"/>
          <w:color w:val="auto"/>
        </w:rPr>
      </w:pPr>
    </w:p>
    <w:p>
      <w:pPr>
        <w:ind w:left="400" w:right="60" w:firstLine="948"/>
        <w:spacing w:after="0" w:line="257" w:lineRule="auto"/>
        <w:tabs>
          <w:tab w:leader="none" w:pos="1657"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such Holder is a fiduciary or partnership or Person other than the sole beneficial owner of such payment and the Taxes giving rise to such Additional Amounts would not have been imposed on such payment had the Holder been the beneficiary, partner or sole beneficial owner, as the case may be, of such Senior Note (but only if there is no material cost or expense associated with transferring such Senior Note to such beneficiary, partner or sole beneficial owner and no restriction on such transfer that is outside the control of such beneficiary, partner or sole beneficial owner);</w:t>
      </w:r>
    </w:p>
    <w:p>
      <w:pPr>
        <w:spacing w:after="0" w:line="79" w:lineRule="exact"/>
        <w:rPr>
          <w:rFonts w:ascii="Arial" w:cs="Arial" w:eastAsia="Arial" w:hAnsi="Arial"/>
          <w:sz w:val="18"/>
          <w:szCs w:val="18"/>
          <w:color w:val="auto"/>
        </w:rPr>
      </w:pPr>
    </w:p>
    <w:p>
      <w:pPr>
        <w:ind w:left="400" w:right="100" w:firstLine="948"/>
        <w:spacing w:after="0" w:line="311" w:lineRule="auto"/>
        <w:tabs>
          <w:tab w:leader="none" w:pos="1607" w:val="left"/>
        </w:tabs>
        <w:numPr>
          <w:ilvl w:val="1"/>
          <w:numId w:val="60"/>
        </w:numPr>
        <w:rPr>
          <w:rFonts w:ascii="Arial" w:cs="Arial" w:eastAsia="Arial" w:hAnsi="Arial"/>
          <w:sz w:val="16"/>
          <w:szCs w:val="16"/>
          <w:color w:val="auto"/>
        </w:rPr>
      </w:pPr>
      <w:r>
        <w:rPr>
          <w:rFonts w:ascii="Arial" w:cs="Arial" w:eastAsia="Arial" w:hAnsi="Arial"/>
          <w:sz w:val="16"/>
          <w:szCs w:val="16"/>
          <w:color w:val="auto"/>
        </w:rPr>
        <w:t>to the extent the Taxes giving rise to such Additional Amounts would not have been imposed, withheld or deducted but for the presentation by the Holder or beneficial owner of any Senior Note, where presentation is required, for payment on a date more than 30 days after the date on which payment became due and payable or the date on which payment thereof is duly provided for, whichever occurs later;</w:t>
      </w:r>
    </w:p>
    <w:p>
      <w:pPr>
        <w:spacing w:after="0" w:line="40" w:lineRule="exact"/>
        <w:rPr>
          <w:rFonts w:ascii="Arial" w:cs="Arial" w:eastAsia="Arial" w:hAnsi="Arial"/>
          <w:sz w:val="16"/>
          <w:szCs w:val="16"/>
          <w:color w:val="auto"/>
        </w:rPr>
      </w:pPr>
    </w:p>
    <w:p>
      <w:pPr>
        <w:ind w:left="400" w:right="40" w:firstLine="948"/>
        <w:spacing w:after="0" w:line="275" w:lineRule="auto"/>
        <w:tabs>
          <w:tab w:leader="none" w:pos="1657" w:val="left"/>
        </w:tabs>
        <w:numPr>
          <w:ilvl w:val="1"/>
          <w:numId w:val="60"/>
        </w:numPr>
        <w:rPr>
          <w:rFonts w:ascii="Arial" w:cs="Arial" w:eastAsia="Arial" w:hAnsi="Arial"/>
          <w:sz w:val="17"/>
          <w:szCs w:val="17"/>
          <w:color w:val="auto"/>
        </w:rPr>
      </w:pPr>
      <w:r>
        <w:rPr>
          <w:rFonts w:ascii="Arial" w:cs="Arial" w:eastAsia="Arial" w:hAnsi="Arial"/>
          <w:sz w:val="17"/>
          <w:szCs w:val="17"/>
          <w:color w:val="auto"/>
        </w:rPr>
        <w:t>with respect to any withholding or deduction required pursuant to Sections 1471 through 1474 of the Code (or any amended or successor version that is substantively comparable and not materially more onerous to comply with), any current or future regulations or official interpretations thereof, any agreement entered into pursuant to current Section 1471(b) of the Code (or any amended or successor version as described above) or any related fiscal or regulatory legislation, rules or official administrative practice adopted pursuant to any intergovernmental agreement entered into in connection with implementing any of the foregoing; or</w:t>
      </w:r>
    </w:p>
    <w:p>
      <w:pPr>
        <w:spacing w:after="0" w:line="68" w:lineRule="exact"/>
        <w:rPr>
          <w:rFonts w:ascii="Arial" w:cs="Arial" w:eastAsia="Arial" w:hAnsi="Arial"/>
          <w:sz w:val="17"/>
          <w:szCs w:val="17"/>
          <w:color w:val="auto"/>
        </w:rPr>
      </w:pPr>
    </w:p>
    <w:p>
      <w:pPr>
        <w:ind w:left="1700" w:hanging="352"/>
        <w:spacing w:after="0"/>
        <w:tabs>
          <w:tab w:leader="none" w:pos="17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combination of items (i), (ii), (iii), (iv), (v) and (vi).</w:t>
      </w:r>
    </w:p>
    <w:p>
      <w:pPr>
        <w:spacing w:after="0" w:line="117" w:lineRule="exact"/>
        <w:rPr>
          <w:rFonts w:ascii="Arial" w:cs="Arial" w:eastAsia="Arial" w:hAnsi="Arial"/>
          <w:sz w:val="18"/>
          <w:szCs w:val="18"/>
          <w:color w:val="auto"/>
        </w:rPr>
      </w:pPr>
    </w:p>
    <w:p>
      <w:pPr>
        <w:ind w:left="-40" w:firstLine="436"/>
        <w:spacing w:after="0" w:line="293" w:lineRule="auto"/>
        <w:tabs>
          <w:tab w:leader="none" w:pos="645"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Foreign Successor Issuer will (i) make any such withholding or deduction required by applicable law and (ii) remit the full amount deducted or withheld to the relevant authority in accordance with applicable law. The Foreign Successor Issuer will make reasonable efforts to obtain certified copies of tax receipts evidencing the payment of any Taxes so deducted or withheld from each Relevant Taxing Jurisdiction imposing such Taxes. The Foreign Successor Issuer will provide to the Trustee, within a reasonable time after the date the payment of any Taxes so deducted or withheld are due pursuant to applicable law, either a certified copy of tax receipts evidencing such payment, or, if such tax receipts are not reasonably available to the Foreign Successor Issuer, such other documentation that provides reasonable evidence of such payment by the Foreign Successor Issuer.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480" w:top="274" w:right="499" w:bottom="1440" w:gutter="0" w:footer="0" w:header="0"/>
        </w:sectPr>
      </w:pPr>
    </w:p>
    <w:bookmarkStart w:id="63" w:name="page64"/>
    <w:bookmarkEnd w:id="63"/>
    <w:p>
      <w:pPr>
        <w:ind w:left="-20" w:firstLine="436"/>
        <w:spacing w:after="0" w:line="272" w:lineRule="auto"/>
        <w:tabs>
          <w:tab w:leader="none" w:pos="675" w:val="left"/>
        </w:tabs>
        <w:numPr>
          <w:ilvl w:val="0"/>
          <w:numId w:val="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 least 30 calendar days prior to each date on which any payment under or with respect to the Senior Notes is due and payable, if the Foreign Successor Issuer will be obligated to pay Additional Amounts with respect to such payment (unless such obligation to pay Additional Amounts arises after the 35th day prior to the date on which payment under or with respect to the Senior Notes is due and payable, in which case it will be promptly thereafter), the Foreign Successor Issuer will deliver to the Trustee an Officers’ Certificate stating that such Additional Amounts will be payable and the amounts so payable and will set forth such other information necessary to enable the Trustee to pay such Additional Amounts to Holders on the payment date. The Foreign Successor Issuer will promptly publish a notice in accordance with the Section 16.04 of the Original Indenture stating that such Additional Amounts will be payable and describing the obligation to pay such amounts.</w:t>
      </w:r>
    </w:p>
    <w:p>
      <w:pPr>
        <w:spacing w:after="0" w:line="69" w:lineRule="exact"/>
        <w:rPr>
          <w:rFonts w:ascii="Arial" w:cs="Arial" w:eastAsia="Arial" w:hAnsi="Arial"/>
          <w:sz w:val="17"/>
          <w:szCs w:val="17"/>
          <w:color w:val="auto"/>
        </w:rPr>
      </w:pPr>
    </w:p>
    <w:p>
      <w:pPr>
        <w:ind w:left="-20" w:firstLine="436"/>
        <w:spacing w:after="0" w:line="296" w:lineRule="auto"/>
        <w:tabs>
          <w:tab w:leader="none" w:pos="665"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 addition, a Foreign Successor Issuer will pay any stamp, issue, registration, court, documentation, excise or other similar taxes, charges and duties, including interest and penalties with respect thereto, imposed by any Relevant Taxing Jurisdiction at any time after the merger described above in respect of the execution, issuance, registration or delivery of the Senior Notes or any other document or instrument referred to thereunder and any such taxes, charges or duties imposed by any Relevant Taxing Jurisdiction at any time after the merger described above as a result of, or in connection with, any payments made pursuant to the Senior Notes and/or the enforcement of the Senior Notes and/or any other such document or instrument.</w:t>
      </w:r>
    </w:p>
    <w:p>
      <w:pPr>
        <w:spacing w:after="0" w:line="53" w:lineRule="exact"/>
        <w:rPr>
          <w:rFonts w:ascii="Arial" w:cs="Arial" w:eastAsia="Arial" w:hAnsi="Arial"/>
          <w:sz w:val="16"/>
          <w:szCs w:val="16"/>
          <w:color w:val="auto"/>
        </w:rPr>
      </w:pPr>
    </w:p>
    <w:p>
      <w:pPr>
        <w:ind w:left="-20" w:right="160" w:firstLine="436"/>
        <w:spacing w:after="0" w:line="257" w:lineRule="auto"/>
        <w:tabs>
          <w:tab w:leader="none" w:pos="645"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obligations described under this heading will survive any termination, defeasance or discharge of the Indenture and will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mutandis </w:t>
      </w:r>
      <w:r>
        <w:rPr>
          <w:rFonts w:ascii="Arial" w:cs="Arial" w:eastAsia="Arial" w:hAnsi="Arial"/>
          <w:sz w:val="18"/>
          <w:szCs w:val="18"/>
          <w:color w:val="auto"/>
        </w:rPr>
        <w:t>to any successor Person to any Foreign Successor Issuer (other than a Person organized under the laws of the United States, any state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or the District of Columbia) and to any jurisdiction in which such successor Person is organized, resident or doing business for tax purposes or any jurisdiction from or through which payment is made by such successor or its respective agents or, in each case, any department or political subdivision thereof.</w:t>
      </w:r>
    </w:p>
    <w:p>
      <w:pPr>
        <w:spacing w:after="0" w:line="79" w:lineRule="exact"/>
        <w:rPr>
          <w:rFonts w:ascii="Arial" w:cs="Arial" w:eastAsia="Arial" w:hAnsi="Arial"/>
          <w:sz w:val="18"/>
          <w:szCs w:val="18"/>
          <w:color w:val="auto"/>
        </w:rPr>
      </w:pPr>
    </w:p>
    <w:p>
      <w:pPr>
        <w:ind w:left="-20" w:right="80" w:firstLine="436"/>
        <w:spacing w:after="0" w:line="286" w:lineRule="auto"/>
        <w:tabs>
          <w:tab w:leader="none" w:pos="675" w:val="left"/>
        </w:tabs>
        <w:numPr>
          <w:ilvl w:val="0"/>
          <w:numId w:val="62"/>
        </w:numPr>
        <w:rPr>
          <w:rFonts w:ascii="Arial" w:cs="Arial" w:eastAsia="Arial" w:hAnsi="Arial"/>
          <w:sz w:val="17"/>
          <w:szCs w:val="17"/>
          <w:color w:val="auto"/>
        </w:rPr>
      </w:pPr>
      <w:r>
        <w:rPr>
          <w:rFonts w:ascii="Arial" w:cs="Arial" w:eastAsia="Arial" w:hAnsi="Arial"/>
          <w:sz w:val="17"/>
          <w:szCs w:val="17"/>
          <w:color w:val="auto"/>
        </w:rPr>
        <w:t>Whenever this Indenture or the Senior Notes refer to, in any context, the payment of principal, premium, if any, interest or any other amount payable under or with respect to any Senior Note, such reference includes the payment of Additional Amounts as described hereunder, to the extent that in such context Additional Amounts are, were or would be payable in respect thereof pursuant to this Section 3.1.</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Limitations on Liens</w:t>
      </w:r>
      <w:r>
        <w:rPr>
          <w:rFonts w:ascii="Arial" w:cs="Arial" w:eastAsia="Arial" w:hAnsi="Arial"/>
          <w:sz w:val="18"/>
          <w:szCs w:val="18"/>
          <w:color w:val="auto"/>
        </w:rPr>
        <w:t>.</w:t>
      </w:r>
    </w:p>
    <w:p>
      <w:pPr>
        <w:spacing w:after="0" w:line="117" w:lineRule="exact"/>
        <w:rPr>
          <w:sz w:val="20"/>
          <w:szCs w:val="20"/>
          <w:color w:val="auto"/>
        </w:rPr>
      </w:pPr>
    </w:p>
    <w:p>
      <w:pPr>
        <w:ind w:left="-20" w:firstLine="436"/>
        <w:spacing w:after="0" w:line="296" w:lineRule="auto"/>
        <w:tabs>
          <w:tab w:leader="none" w:pos="665"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shall not (nor shall it permit any of its Significant Subsidiaries to) create or permit to exist any Lien on any Principal Property of the Company or any of its Significant Subsidiaries (or on any stock of a Significant Subsidiary), whether owned on the Issue Date or thereafter acquired, to secure any Indebtedness (any such Lien, a “</w:t>
      </w:r>
      <w:r>
        <w:rPr>
          <w:rFonts w:ascii="Arial" w:cs="Arial" w:eastAsia="Arial" w:hAnsi="Arial"/>
          <w:sz w:val="16"/>
          <w:szCs w:val="16"/>
          <w:b w:val="1"/>
          <w:bCs w:val="1"/>
          <w:color w:val="auto"/>
        </w:rPr>
        <w:t>Subject Lien</w:t>
      </w:r>
      <w:r>
        <w:rPr>
          <w:rFonts w:ascii="Arial" w:cs="Arial" w:eastAsia="Arial" w:hAnsi="Arial"/>
          <w:sz w:val="16"/>
          <w:szCs w:val="16"/>
          <w:color w:val="auto"/>
        </w:rPr>
        <w:t>”), unless the Company contemporaneously secures the Senior Notes (together with, if the Company so determines, any other Indebtedness of or guaranty by the Company or such Significant Subsidiary then existing or thereafter created that is not subordinated to the Senior Notes) equally and ratably with (or, at the option of the Company, prior to) that obligation.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60" w:top="274" w:right="459" w:bottom="1440" w:gutter="0" w:footer="0" w:header="0"/>
        </w:sectPr>
      </w:pPr>
    </w:p>
    <w:bookmarkStart w:id="64" w:name="page65"/>
    <w:bookmarkEnd w:id="64"/>
    <w:p>
      <w:pPr>
        <w:ind w:right="100" w:firstLine="436"/>
        <w:spacing w:after="0" w:line="275" w:lineRule="auto"/>
        <w:tabs>
          <w:tab w:leader="none" w:pos="695" w:val="left"/>
        </w:tabs>
        <w:numPr>
          <w:ilvl w:val="0"/>
          <w:numId w:val="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foregoing restriction, however, shall not apply to (i) Permitted Liens and (ii) Liens securing Indebtedness if at the time of determination, after giving effect to the incurrence of such Indebtedness and to the retirement of Indebtedness which is being retired substantially concurrently therewith, the sum of (1) the aggregate principal amount of all Indebtedness of the Company and its Subsidiaries secured by Subject Liens (other than Permitted Liens) and (2) the Attributable Debt in respect of all Sale and Lease-Back Transactions not otherwise permitted under the first sentence of Section 3.3 hereof does not exceed fifteen percent of Consolidated Net Tangible Assets.</w:t>
      </w:r>
    </w:p>
    <w:p>
      <w:pPr>
        <w:spacing w:after="0" w:line="17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i w:val="1"/>
          <w:iCs w:val="1"/>
          <w:color w:val="auto"/>
        </w:rPr>
        <w:t>Limitations on Sale and Lease-Back Transactions</w:t>
      </w:r>
      <w:r>
        <w:rPr>
          <w:rFonts w:ascii="Arial" w:cs="Arial" w:eastAsia="Arial" w:hAnsi="Arial"/>
          <w:sz w:val="18"/>
          <w:szCs w:val="18"/>
          <w:color w:val="auto"/>
        </w:rPr>
        <w:t>. The Company shall not, and shall not permit any of its Significant Subsidiaries to, enter into any Sale and Lease-Back Transaction with respect to any Principal Property, other than (x) any such Sale and Lease-Back Transaction involving a lease for a term of not more than three years or (y) any such Sale and Lease-Back Transaction between the Company and one of its Subsidiaries or between its Subsidiaries, unless:</w:t>
      </w:r>
    </w:p>
    <w:p>
      <w:pPr>
        <w:spacing w:after="0" w:line="79" w:lineRule="exact"/>
        <w:rPr>
          <w:sz w:val="20"/>
          <w:szCs w:val="20"/>
          <w:color w:val="auto"/>
        </w:rPr>
      </w:pPr>
    </w:p>
    <w:p>
      <w:pPr>
        <w:ind w:right="80" w:firstLine="436"/>
        <w:spacing w:after="0" w:line="263" w:lineRule="auto"/>
        <w:tabs>
          <w:tab w:leader="none" w:pos="68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or such Significant Subsidiary would be entitled to incur Indebtedness secured by a Lien on the Principal Property involved in such Sale and Lease-Back Transaction at least equal in amount to the Attributable Debt with respect to such Sale and Lease-Back Transaction, without equally and ratably securing the Senior Notes, pursuant to Section 3.2 hereof; or</w:t>
      </w:r>
    </w:p>
    <w:p>
      <w:pPr>
        <w:spacing w:after="0" w:line="75" w:lineRule="exact"/>
        <w:rPr>
          <w:rFonts w:ascii="Arial" w:cs="Arial" w:eastAsia="Arial" w:hAnsi="Arial"/>
          <w:sz w:val="18"/>
          <w:szCs w:val="18"/>
          <w:color w:val="auto"/>
        </w:rPr>
      </w:pPr>
    </w:p>
    <w:p>
      <w:pPr>
        <w:ind w:right="580" w:firstLine="436"/>
        <w:spacing w:after="0" w:line="286" w:lineRule="auto"/>
        <w:tabs>
          <w:tab w:leader="none" w:pos="695"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proceeds of such Sale and Lease-Back Transaction are at least equal to the fair market value of the affected Principal Property (as determined in good faith by the Board of Directors) and the Company applies an amount equal to the net proceeds of such Sale and Lease-Back Transaction within 365 days of such Sale and Lease-Back Transaction to any (or a combination) of:</w:t>
      </w:r>
    </w:p>
    <w:p>
      <w:pPr>
        <w:spacing w:after="0" w:line="57" w:lineRule="exact"/>
        <w:rPr>
          <w:rFonts w:ascii="Arial" w:cs="Arial" w:eastAsia="Arial" w:hAnsi="Arial"/>
          <w:sz w:val="17"/>
          <w:szCs w:val="17"/>
          <w:color w:val="auto"/>
        </w:rPr>
      </w:pPr>
    </w:p>
    <w:p>
      <w:pPr>
        <w:ind w:left="1600" w:hanging="212"/>
        <w:spacing w:after="0"/>
        <w:tabs>
          <w:tab w:leader="none" w:pos="16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prepayment or retirement of the Senior Notes;</w:t>
      </w:r>
    </w:p>
    <w:p>
      <w:pPr>
        <w:spacing w:after="0" w:line="117" w:lineRule="exact"/>
        <w:rPr>
          <w:rFonts w:ascii="Arial" w:cs="Arial" w:eastAsia="Arial" w:hAnsi="Arial"/>
          <w:sz w:val="18"/>
          <w:szCs w:val="18"/>
          <w:color w:val="auto"/>
        </w:rPr>
      </w:pPr>
    </w:p>
    <w:p>
      <w:pPr>
        <w:jc w:val="both"/>
        <w:ind w:left="440" w:right="40" w:firstLine="948"/>
        <w:spacing w:after="0" w:line="301" w:lineRule="auto"/>
        <w:tabs>
          <w:tab w:leader="none" w:pos="1657"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prepayment or retirement (other than any mandatory retirement, mandatory prepayment or sinking fund payment or by payment at Maturity) of other Indebtedness of the Company or of one of its Subsidiaries (other than Indebtedness that is subordinated to the Senior Notes or Indebtedness owed to the Company or one of its Subsidiaries) that matures more than 12 months after its creation (including any such Indebtedness that by its terms is renewable or extendible beyond 12 months from the date of its creation, at the option of the Company); or</w:t>
      </w:r>
    </w:p>
    <w:p>
      <w:pPr>
        <w:spacing w:after="0" w:line="49" w:lineRule="exact"/>
        <w:rPr>
          <w:rFonts w:ascii="Arial" w:cs="Arial" w:eastAsia="Arial" w:hAnsi="Arial"/>
          <w:sz w:val="16"/>
          <w:szCs w:val="16"/>
          <w:color w:val="auto"/>
        </w:rPr>
      </w:pPr>
    </w:p>
    <w:p>
      <w:pPr>
        <w:ind w:left="1700" w:hanging="312"/>
        <w:spacing w:after="0"/>
        <w:tabs>
          <w:tab w:leader="none" w:pos="17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purchase, construction, development, expansion or improvement of other comparable property.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440" w:top="274" w:right="539" w:bottom="1440" w:gutter="0" w:footer="0" w:header="0"/>
        </w:sectPr>
      </w:pPr>
    </w:p>
    <w:bookmarkStart w:id="65" w:name="page66"/>
    <w:bookmarkEnd w:id="65"/>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the foregoing, the Company and its Significant Subsidiaries shall be allowed to enter into any Sale and Lease-Back Transaction if, after giving effect to such Sale and Lease-Back Transaction, the sum of (i) the aggregate principal amount of all Indebtedness of the Company and its Subsidiaries secured by Subject Liens (other than Permitted Liens) and (ii) the Attributable Debt in respect of all Sale and Lease-Back Transactions not otherwise permitted under the first sentence of this Section 3.3, does not exceed fifteen percent of Consolidated Net Tangible Assets.</w:t>
      </w:r>
    </w:p>
    <w:p>
      <w:pPr>
        <w:spacing w:after="0" w:line="15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i w:val="1"/>
          <w:iCs w:val="1"/>
          <w:color w:val="auto"/>
        </w:rPr>
        <w:t>Limitations on Mergers and Other Transactions</w:t>
      </w:r>
      <w:r>
        <w:rPr>
          <w:rFonts w:ascii="Arial" w:cs="Arial" w:eastAsia="Arial" w:hAnsi="Arial"/>
          <w:sz w:val="18"/>
          <w:szCs w:val="18"/>
          <w:color w:val="auto"/>
        </w:rPr>
        <w:t>. With respect to the Senior Notes, the provisions of Section 6.04 of the Original Indenture shall be replaced in its entirety with the following:</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Company May Consolidate, Etc., Only on Certain Terms</w:t>
      </w:r>
      <w:r>
        <w:rPr>
          <w:rFonts w:ascii="Arial" w:cs="Arial" w:eastAsia="Arial" w:hAnsi="Arial"/>
          <w:sz w:val="18"/>
          <w:szCs w:val="18"/>
          <w:color w:val="auto"/>
        </w:rPr>
        <w:t>.</w:t>
      </w:r>
    </w:p>
    <w:p>
      <w:pPr>
        <w:spacing w:after="0" w:line="117" w:lineRule="exact"/>
        <w:rPr>
          <w:sz w:val="20"/>
          <w:szCs w:val="20"/>
          <w:color w:val="auto"/>
        </w:rPr>
      </w:pPr>
    </w:p>
    <w:p>
      <w:pPr>
        <w:ind w:left="440" w:right="140" w:firstLine="419"/>
        <w:spacing w:after="0" w:line="277" w:lineRule="auto"/>
        <w:tabs>
          <w:tab w:leader="none" w:pos="110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shall not consolidate or merge with another entity or sell, transfer or otherwise convey all or substantially all of its assets to another entity, unless in each case:</w:t>
      </w:r>
    </w:p>
    <w:p>
      <w:pPr>
        <w:spacing w:after="0" w:line="62" w:lineRule="exact"/>
        <w:rPr>
          <w:rFonts w:ascii="Arial" w:cs="Arial" w:eastAsia="Arial" w:hAnsi="Arial"/>
          <w:sz w:val="18"/>
          <w:szCs w:val="18"/>
          <w:color w:val="auto"/>
        </w:rPr>
      </w:pPr>
    </w:p>
    <w:p>
      <w:pPr>
        <w:ind w:left="980" w:right="260" w:firstLine="408"/>
        <w:spacing w:after="0" w:line="286" w:lineRule="auto"/>
        <w:tabs>
          <w:tab w:leader="none" w:pos="1636"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resulting entity (if other than the Company) (x) is a Person organized under the laws of any U.S. jurisdiction, the United Kingdom or any country that is a member of the European Union on the Issue Date and (y) delivers a supplemental indenture by which such surviving entity expressly assumes the Company’s obligations under the Indenture; and</w:t>
      </w:r>
    </w:p>
    <w:p>
      <w:pPr>
        <w:spacing w:after="0" w:line="57" w:lineRule="exact"/>
        <w:rPr>
          <w:rFonts w:ascii="Arial" w:cs="Arial" w:eastAsia="Arial" w:hAnsi="Arial"/>
          <w:sz w:val="17"/>
          <w:szCs w:val="17"/>
          <w:color w:val="auto"/>
        </w:rPr>
      </w:pPr>
    </w:p>
    <w:p>
      <w:pPr>
        <w:ind w:left="980" w:right="440" w:firstLine="408"/>
        <w:spacing w:after="0" w:line="308" w:lineRule="auto"/>
        <w:tabs>
          <w:tab w:leader="none" w:pos="1636" w:val="left"/>
        </w:tabs>
        <w:numPr>
          <w:ilvl w:val="1"/>
          <w:numId w:val="66"/>
        </w:numPr>
        <w:rPr>
          <w:rFonts w:ascii="Arial" w:cs="Arial" w:eastAsia="Arial" w:hAnsi="Arial"/>
          <w:sz w:val="17"/>
          <w:szCs w:val="17"/>
          <w:color w:val="auto"/>
        </w:rPr>
      </w:pPr>
      <w:r>
        <w:rPr>
          <w:rFonts w:ascii="Arial" w:cs="Arial" w:eastAsia="Arial" w:hAnsi="Arial"/>
          <w:sz w:val="17"/>
          <w:szCs w:val="17"/>
          <w:color w:val="auto"/>
        </w:rPr>
        <w:t>immediately following the consolidation, merger, sale or conveyance, no Event of Default (as defined below) (and no event which, after notice or lapse of time or both, would become an Event of Default) shall have occurred and be continuing.</w:t>
      </w:r>
    </w:p>
    <w:p>
      <w:pPr>
        <w:spacing w:after="0" w:line="38" w:lineRule="exact"/>
        <w:rPr>
          <w:rFonts w:ascii="Arial" w:cs="Arial" w:eastAsia="Arial" w:hAnsi="Arial"/>
          <w:sz w:val="17"/>
          <w:szCs w:val="17"/>
          <w:color w:val="auto"/>
        </w:rPr>
      </w:pPr>
    </w:p>
    <w:p>
      <w:pPr>
        <w:ind w:left="440" w:firstLine="419"/>
        <w:spacing w:after="0" w:line="273" w:lineRule="auto"/>
        <w:tabs>
          <w:tab w:leader="none" w:pos="1118" w:val="left"/>
        </w:tabs>
        <w:numPr>
          <w:ilvl w:val="0"/>
          <w:numId w:val="66"/>
        </w:numPr>
        <w:rPr>
          <w:rFonts w:ascii="Arial" w:cs="Arial" w:eastAsia="Arial" w:hAnsi="Arial"/>
          <w:sz w:val="17"/>
          <w:szCs w:val="17"/>
          <w:color w:val="auto"/>
        </w:rPr>
      </w:pPr>
      <w:r>
        <w:rPr>
          <w:rFonts w:ascii="Arial" w:cs="Arial" w:eastAsia="Arial" w:hAnsi="Arial"/>
          <w:sz w:val="17"/>
          <w:szCs w:val="17"/>
          <w:color w:val="auto"/>
        </w:rPr>
        <w:t>Upon any consolidation of the Company with, or merger of the Company into, any other Person or any conveyance, transfer or lease of the properties and assets of the Company substantially as an entirety to another Person in accordance with Section 6.04(a) hereof, the successor Person formed by such consolidation or into which the Company is merged or to which such merger, sale or conveyance,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i w:val="1"/>
          <w:iCs w:val="1"/>
          <w:color w:val="auto"/>
        </w:rPr>
        <w:t>Repurchase upon Change of Control Triggering Event</w:t>
      </w:r>
      <w:r>
        <w:rPr>
          <w:rFonts w:ascii="Arial" w:cs="Arial" w:eastAsia="Arial" w:hAnsi="Arial"/>
          <w:sz w:val="18"/>
          <w:szCs w:val="18"/>
          <w:color w:val="auto"/>
        </w:rPr>
        <w:t>.</w:t>
      </w:r>
    </w:p>
    <w:p>
      <w:pPr>
        <w:spacing w:after="0" w:line="117" w:lineRule="exact"/>
        <w:rPr>
          <w:sz w:val="20"/>
          <w:szCs w:val="20"/>
          <w:color w:val="auto"/>
        </w:rPr>
      </w:pPr>
    </w:p>
    <w:p>
      <w:pPr>
        <w:ind w:right="120" w:firstLine="436"/>
        <w:spacing w:after="0" w:line="296" w:lineRule="auto"/>
        <w:tabs>
          <w:tab w:leader="none" w:pos="685"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a Change of Control Triggering Event occurs with respect to the Senior Notes, unless the Company has exercised its right pursuant to Section 4.1, Section 4.2 or Section 4.4 hereof to redeem the Senior Notes, the Company will make an offer to each Holder of the Senior Notes to repurchase all or, at such Holder’s option, any part (equal to $2,000 or any integral multiple of $1,000 in excess thereof) of such Holder’s Senior Notes (the “</w:t>
      </w:r>
      <w:r>
        <w:rPr>
          <w:rFonts w:ascii="Arial" w:cs="Arial" w:eastAsia="Arial" w:hAnsi="Arial"/>
          <w:sz w:val="16"/>
          <w:szCs w:val="16"/>
          <w:b w:val="1"/>
          <w:bCs w:val="1"/>
          <w:color w:val="auto"/>
        </w:rPr>
        <w:t>Change of Control Offer</w:t>
      </w:r>
      <w:r>
        <w:rPr>
          <w:rFonts w:ascii="Arial" w:cs="Arial" w:eastAsia="Arial" w:hAnsi="Arial"/>
          <w:sz w:val="16"/>
          <w:szCs w:val="16"/>
          <w:color w:val="auto"/>
        </w:rPr>
        <w:t>”) for payment in cash equal to 101% of the aggregate principal amount of the Senior Notes repurchased plus accrued and unpaid interest, if any, on the Senior Notes repurchased to, but not including, the date of purchase (the “</w:t>
      </w:r>
      <w:r>
        <w:rPr>
          <w:rFonts w:ascii="Arial" w:cs="Arial" w:eastAsia="Arial" w:hAnsi="Arial"/>
          <w:sz w:val="16"/>
          <w:szCs w:val="16"/>
          <w:b w:val="1"/>
          <w:bCs w:val="1"/>
          <w:color w:val="auto"/>
        </w:rPr>
        <w:t>Change of Control Payment</w:t>
      </w:r>
      <w:r>
        <w:rPr>
          <w:rFonts w:ascii="Arial" w:cs="Arial" w:eastAsia="Arial" w:hAnsi="Arial"/>
          <w:sz w:val="16"/>
          <w:szCs w:val="16"/>
          <w:color w:val="auto"/>
        </w:rPr>
        <w: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66" w:name="page67"/>
    <w:bookmarkEnd w:id="66"/>
    <w:p>
      <w:pPr>
        <w:ind w:firstLine="436"/>
        <w:spacing w:after="0" w:line="270" w:lineRule="auto"/>
        <w:tabs>
          <w:tab w:leader="none" w:pos="695" w:val="left"/>
        </w:tabs>
        <w:numPr>
          <w:ilvl w:val="0"/>
          <w:numId w:val="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Within 30 days following any Change of Control Triggering Event with respect to the Senior Notes or, at the Company’s option, prior to any Change of Control but after the public announcement of the transaction or transactions that constitute or may constitute a Change of Control, the Company will mail a notice to Holders of the Senior Notes, with a copy to the Trustee, describing the transaction or transactions that constitute or may constitute the Change of Control Triggering Event and offering to repurchase such Senior Notes on the date specified in the notice, which date will be no earlier than 30 and no later than 60 days from the date such notice is mailed (the “</w:t>
      </w:r>
      <w:r>
        <w:rPr>
          <w:rFonts w:ascii="Arial" w:cs="Arial" w:eastAsia="Arial" w:hAnsi="Arial"/>
          <w:sz w:val="17"/>
          <w:szCs w:val="17"/>
          <w:b w:val="1"/>
          <w:bCs w:val="1"/>
          <w:color w:val="auto"/>
        </w:rPr>
        <w:t>Change of Control Payment Date</w:t>
      </w:r>
      <w:r>
        <w:rPr>
          <w:rFonts w:ascii="Arial" w:cs="Arial" w:eastAsia="Arial" w:hAnsi="Arial"/>
          <w:sz w:val="17"/>
          <w:szCs w:val="17"/>
          <w:color w:val="auto"/>
        </w:rPr>
        <w:t>”), pursuant to the procedures required by such Senior Notes and described in such notice. The notice shall, if mailed prior to the date of consummation of the Change of Control, state that the offer to purchase is conditioned on the Change of Control Triggering Event occurring on or prior to the Change of Control Payment Date. Upon ten (10) Business Days’ advance written notice to the Trustee, the Company may request the Trustee to send the notice to Holders described in this Section 3.5(b) in the name of and at the expense of the Company.</w:t>
      </w:r>
    </w:p>
    <w:p>
      <w:pPr>
        <w:spacing w:after="0" w:line="72" w:lineRule="exact"/>
        <w:rPr>
          <w:rFonts w:ascii="Arial" w:cs="Arial" w:eastAsia="Arial" w:hAnsi="Arial"/>
          <w:sz w:val="17"/>
          <w:szCs w:val="17"/>
          <w:color w:val="auto"/>
        </w:rPr>
      </w:pPr>
    </w:p>
    <w:p>
      <w:pPr>
        <w:ind w:right="60" w:firstLine="436"/>
        <w:spacing w:after="0" w:line="257" w:lineRule="auto"/>
        <w:tabs>
          <w:tab w:leader="none" w:pos="68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will comply with the requirements of Rule 14e-1 under the Exchange Act and any other securities laws and regulations thereunder to the extent those laws and regulations are applicable in connection with the repurchase of such Senior Notes as a result of a Change of Control Triggering Event. To the extent that the provisions of any such securities laws or regulations conflict with the Senior Notes or the Indenture, the Company will comply with those securities laws and regulations and will not be deemed to have breached its obligations under the Senior Notes or the Indenture by virtue of such conflict.</w:t>
      </w:r>
    </w:p>
    <w:p>
      <w:pPr>
        <w:spacing w:after="0" w:line="79" w:lineRule="exact"/>
        <w:rPr>
          <w:rFonts w:ascii="Arial" w:cs="Arial" w:eastAsia="Arial" w:hAnsi="Arial"/>
          <w:sz w:val="18"/>
          <w:szCs w:val="18"/>
          <w:color w:val="auto"/>
        </w:rPr>
      </w:pPr>
    </w:p>
    <w:p>
      <w:pPr>
        <w:ind w:left="700" w:hanging="264"/>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shall, to the extent lawful:</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accept for payment all Senior Notes or portions of Senior Notes properly tendered pursuant to the Change of Control Offer;</w:t>
      </w:r>
    </w:p>
    <w:p>
      <w:pPr>
        <w:spacing w:after="0" w:line="128" w:lineRule="exact"/>
        <w:rPr>
          <w:rFonts w:ascii="Arial" w:cs="Arial" w:eastAsia="Arial" w:hAnsi="Arial"/>
          <w:sz w:val="17"/>
          <w:szCs w:val="17"/>
          <w:color w:val="auto"/>
        </w:rPr>
      </w:pPr>
    </w:p>
    <w:p>
      <w:pPr>
        <w:ind w:left="440" w:right="260" w:firstLine="948"/>
        <w:spacing w:after="0" w:line="277" w:lineRule="auto"/>
        <w:tabs>
          <w:tab w:leader="none" w:pos="1657"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Senior Notes or portions of Senior Notes properly tendered; and</w:t>
      </w:r>
    </w:p>
    <w:p>
      <w:pPr>
        <w:spacing w:after="0" w:line="62" w:lineRule="exact"/>
        <w:rPr>
          <w:rFonts w:ascii="Arial" w:cs="Arial" w:eastAsia="Arial" w:hAnsi="Arial"/>
          <w:sz w:val="18"/>
          <w:szCs w:val="18"/>
          <w:color w:val="auto"/>
        </w:rPr>
      </w:pPr>
    </w:p>
    <w:p>
      <w:pPr>
        <w:ind w:left="440" w:right="500" w:firstLine="948"/>
        <w:spacing w:after="0" w:line="308" w:lineRule="auto"/>
        <w:tabs>
          <w:tab w:leader="none" w:pos="1707" w:val="left"/>
        </w:tabs>
        <w:numPr>
          <w:ilvl w:val="1"/>
          <w:numId w:val="68"/>
        </w:numPr>
        <w:rPr>
          <w:rFonts w:ascii="Arial" w:cs="Arial" w:eastAsia="Arial" w:hAnsi="Arial"/>
          <w:sz w:val="17"/>
          <w:szCs w:val="17"/>
          <w:color w:val="auto"/>
        </w:rPr>
      </w:pPr>
      <w:r>
        <w:rPr>
          <w:rFonts w:ascii="Arial" w:cs="Arial" w:eastAsia="Arial" w:hAnsi="Arial"/>
          <w:sz w:val="17"/>
          <w:szCs w:val="17"/>
          <w:color w:val="auto"/>
        </w:rPr>
        <w:t>deliver or cause to be delivered to the Trustee or the Paying Agent properly accepted together with an Officer’s Certificate stating the aggregate principal amount of Senior Notes or portions of Senior Notes being purchased by the Company.</w:t>
      </w:r>
    </w:p>
    <w:p>
      <w:pPr>
        <w:spacing w:after="0" w:line="38" w:lineRule="exact"/>
        <w:rPr>
          <w:rFonts w:ascii="Arial" w:cs="Arial" w:eastAsia="Arial" w:hAnsi="Arial"/>
          <w:sz w:val="17"/>
          <w:szCs w:val="17"/>
          <w:color w:val="auto"/>
        </w:rPr>
      </w:pPr>
    </w:p>
    <w:p>
      <w:pPr>
        <w:jc w:val="both"/>
        <w:ind w:right="100" w:firstLine="436"/>
        <w:spacing w:after="0" w:line="259" w:lineRule="auto"/>
        <w:tabs>
          <w:tab w:leader="none" w:pos="685"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Paying Agent shall promptly mail, to each Holder who properly tendered Senior Notes, the purchase price for such Senior Notes, and the Trustee shall promptly authenticate and mail (or cause to be transferred by book entry) to each such Holder a new Security equal in principal amount to any unpurchased portion of the Senior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Security will be in a principal amount of $2,000 or an integral multiple of $1,000 in excess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67" w:name="page68"/>
    <w:bookmarkEnd w:id="67"/>
    <w:p>
      <w:pPr>
        <w:ind w:right="20" w:firstLine="436"/>
        <w:spacing w:after="0" w:line="296" w:lineRule="auto"/>
        <w:tabs>
          <w:tab w:leader="none" w:pos="665" w:val="left"/>
        </w:tabs>
        <w:numPr>
          <w:ilvl w:val="0"/>
          <w:numId w:val="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will not be required to make a Change of Control Offer upon a Change of Control Triggering Event if a third party makes such a Change of Control Offer in the manner, at the times and otherwise in compliance with the requirements set forth in this Tenth Supplemental Indenture applicable to a Change of Control Offer made by the Company and such third party purchases all Senior Notes properly tendered and not withdrawn under its Change of Control Offer. In the event that such third party terminates or defaults on its Change of Control Offer, the Company shall make a Change of Control Offer treating the date of such termination or default as though it were the date of the Change of Control Triggering Event.</w:t>
      </w:r>
    </w:p>
    <w:p>
      <w:pPr>
        <w:spacing w:after="0" w:line="53" w:lineRule="exact"/>
        <w:rPr>
          <w:rFonts w:ascii="Arial" w:cs="Arial" w:eastAsia="Arial" w:hAnsi="Arial"/>
          <w:sz w:val="16"/>
          <w:szCs w:val="16"/>
          <w:color w:val="auto"/>
        </w:rPr>
      </w:pPr>
    </w:p>
    <w:p>
      <w:pPr>
        <w:ind w:right="100" w:firstLine="436"/>
        <w:spacing w:after="0" w:line="277" w:lineRule="auto"/>
        <w:tabs>
          <w:tab w:leader="none" w:pos="6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will not purchase any Senior Notes if there has occurred and is continuing on the Change of Control Payment Date an Event of Default under the Indenture, other than a default in the payment of the Change of Control Payment.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FOUR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Optional Redemption by Company</w:t>
      </w:r>
      <w:r>
        <w:rPr>
          <w:rFonts w:ascii="Arial" w:cs="Arial" w:eastAsia="Arial" w:hAnsi="Arial"/>
          <w:sz w:val="18"/>
          <w:szCs w:val="18"/>
          <w:color w:val="auto"/>
        </w:rPr>
        <w:t>.</w:t>
      </w:r>
    </w:p>
    <w:p>
      <w:pPr>
        <w:spacing w:after="0" w:line="117" w:lineRule="exact"/>
        <w:rPr>
          <w:sz w:val="20"/>
          <w:szCs w:val="20"/>
          <w:color w:val="auto"/>
        </w:rPr>
      </w:pPr>
    </w:p>
    <w:p>
      <w:pPr>
        <w:ind w:right="180" w:firstLine="436"/>
        <w:spacing w:after="0" w:line="342" w:lineRule="auto"/>
        <w:tabs>
          <w:tab w:leader="none" w:pos="685"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Company shall have the right to redeem the Senior Notes, in whole, at any time, or in part, from time to time, prior to October 15, 2030 (three months before their maturity date (the “</w:t>
      </w:r>
      <w:r>
        <w:rPr>
          <w:rFonts w:ascii="Arial" w:cs="Arial" w:eastAsia="Arial" w:hAnsi="Arial"/>
          <w:sz w:val="16"/>
          <w:szCs w:val="16"/>
          <w:b w:val="1"/>
          <w:bCs w:val="1"/>
          <w:color w:val="auto"/>
        </w:rPr>
        <w:t>Par Call Date</w:t>
      </w:r>
      <w:r>
        <w:rPr>
          <w:rFonts w:ascii="Arial" w:cs="Arial" w:eastAsia="Arial" w:hAnsi="Arial"/>
          <w:sz w:val="16"/>
          <w:szCs w:val="16"/>
          <w:color w:val="auto"/>
        </w:rPr>
        <w:t>”)) at a redemption price (the “</w:t>
      </w:r>
      <w:r>
        <w:rPr>
          <w:rFonts w:ascii="Arial" w:cs="Arial" w:eastAsia="Arial" w:hAnsi="Arial"/>
          <w:sz w:val="16"/>
          <w:szCs w:val="16"/>
          <w:b w:val="1"/>
          <w:bCs w:val="1"/>
          <w:color w:val="auto"/>
        </w:rPr>
        <w:t>Make-Whole Redemption Price</w:t>
      </w:r>
      <w:r>
        <w:rPr>
          <w:rFonts w:ascii="Arial" w:cs="Arial" w:eastAsia="Arial" w:hAnsi="Arial"/>
          <w:sz w:val="16"/>
          <w:szCs w:val="16"/>
          <w:color w:val="auto"/>
        </w:rPr>
        <w:t>”) equal to the greater of:</w:t>
      </w:r>
    </w:p>
    <w:p>
      <w:pPr>
        <w:spacing w:after="0" w:line="15" w:lineRule="exact"/>
        <w:rPr>
          <w:rFonts w:ascii="Arial" w:cs="Arial" w:eastAsia="Arial" w:hAnsi="Arial"/>
          <w:sz w:val="16"/>
          <w:szCs w:val="16"/>
          <w:color w:val="auto"/>
        </w:rPr>
      </w:pPr>
    </w:p>
    <w:p>
      <w:pPr>
        <w:ind w:left="1600" w:hanging="212"/>
        <w:spacing w:after="0"/>
        <w:tabs>
          <w:tab w:leader="none" w:pos="16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100% of the principal amount of the Senior Notes to be redeemed; and</w:t>
      </w:r>
    </w:p>
    <w:p>
      <w:pPr>
        <w:spacing w:after="0" w:line="117" w:lineRule="exact"/>
        <w:rPr>
          <w:rFonts w:ascii="Arial" w:cs="Arial" w:eastAsia="Arial" w:hAnsi="Arial"/>
          <w:sz w:val="18"/>
          <w:szCs w:val="18"/>
          <w:color w:val="auto"/>
        </w:rPr>
      </w:pPr>
    </w:p>
    <w:p>
      <w:pPr>
        <w:ind w:left="440" w:right="100" w:firstLine="948"/>
        <w:spacing w:after="0" w:line="301" w:lineRule="auto"/>
        <w:tabs>
          <w:tab w:leader="none" w:pos="1657" w:val="left"/>
        </w:tabs>
        <w:numPr>
          <w:ilvl w:val="1"/>
          <w:numId w:val="70"/>
        </w:numPr>
        <w:rPr>
          <w:rFonts w:ascii="Arial" w:cs="Arial" w:eastAsia="Arial" w:hAnsi="Arial"/>
          <w:sz w:val="16"/>
          <w:szCs w:val="16"/>
          <w:color w:val="auto"/>
        </w:rPr>
      </w:pPr>
      <w:r>
        <w:rPr>
          <w:rFonts w:ascii="Arial" w:cs="Arial" w:eastAsia="Arial" w:hAnsi="Arial"/>
          <w:sz w:val="16"/>
          <w:szCs w:val="16"/>
          <w:color w:val="auto"/>
        </w:rPr>
        <w:t>as determined by the Quotation Agent, the sum of the present values of the remaining scheduled payments of principal and interest in respect of the Senior Notes to be redeemed (assuming the Senior Notes matured on the Par Call Date and exclusive of interest accrued and unpaid as of the Redemption Date) discounted to the Redemption Date on a semi-annual basis (assuming a 360-day year consisting of twelve 30-day months), at a rate equal to the Treasury Rate plus 12.5 basis points, plus accrued and unpaid interest thereon to the Redemption Date.</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If the Redemption Date is after a Record Date and on or prior to a corresponding Interest Payment Date, interest will be paid on the Redemption Date to the holder of record on the Record Date. On and after a Redemption Date, interest will cease to accrue on the Senior Notes called for redemption (unless the Company defaults in the payment of the Make-Whole Redemption Price and accrued interest). On or before a Redemption Date, the Company will deposit with the Paying Agent (or the Trustee) money sufficient to pay the Make-Whole Redemption Price of and accrued interest on the Senior Notes to be redeemed on that date. If less than all of the Senior Notes are to be redeemed, the Senior Notes to be redeemed shall be selected by the Trustee pro rata or by lot or by a method the Trustee deems to be fair and appropriate;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the time of redemption the Senior Notes to be redeemed are registered as one or more Global Securities, the Depositary shall determine, in accordance with its procedures, the principal amount of the Senior Notes to be redeemed held by each Holder of such Senior Notes.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68" w:name="page69"/>
    <w:bookmarkEnd w:id="68"/>
    <w:p>
      <w:pPr>
        <w:ind w:right="220" w:firstLine="436"/>
        <w:spacing w:after="0" w:line="263"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the foregoing, at any time on or after the Par Call Date, the Company shall have the right to redeem the Senior Notes, in whole, at any time, or in part, from time to time, at a redemption price equal to 100% of the principal amount of the Senior Notes to be redeemed plus accrued and unpaid interest thereon to, but excluding, the Redemption Date.</w:t>
      </w:r>
    </w:p>
    <w:p>
      <w:pPr>
        <w:spacing w:after="0" w:line="75" w:lineRule="exact"/>
        <w:rPr>
          <w:rFonts w:ascii="Arial" w:cs="Arial" w:eastAsia="Arial" w:hAnsi="Arial"/>
          <w:sz w:val="18"/>
          <w:szCs w:val="18"/>
          <w:color w:val="auto"/>
        </w:rPr>
      </w:pPr>
    </w:p>
    <w:p>
      <w:pPr>
        <w:ind w:right="20" w:firstLine="436"/>
        <w:spacing w:after="0" w:line="271" w:lineRule="auto"/>
        <w:tabs>
          <w:tab w:leader="none" w:pos="685"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Notice of any redemption pursuant to this Section 4.1 shall be given as provided in Section 4.03 of the Original Indenture, with a copy to the Paying Agent; provided, that, with respect to the Senior Notes, the number “30” referenced in Section 4.03(a) of the Original Indenture shall be replaced with the number “10”. Any notice of redemption will be given prior to the applicable Redemption Date and any such notice of redemption may, at the Company’s discretion, be subject to one or more conditions precedent, including, but not limited to, completion of securities offerings or other corporate transactions. If the Company requests the Trustee to provide such notice of redemption pursuant to Section 4.03 of the Original Indenture, the Trustee shall receive written notice from the Company at least 10 days prior to when such notice of redemption is to be delivered (unless a shorter period is agreed by the Trustee). The Trustee shall not be responsible for the calculation of such Make-Whole Redemption Price. The Company shall calculate such Make-Whole Redemption Price and promptly notify the Trustee in writing thereof.</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Tax Redemption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as a result of:</w:t>
      </w:r>
    </w:p>
    <w:p>
      <w:pPr>
        <w:spacing w:after="0" w:line="117" w:lineRule="exact"/>
        <w:rPr>
          <w:sz w:val="20"/>
          <w:szCs w:val="20"/>
          <w:color w:val="auto"/>
        </w:rPr>
      </w:pPr>
    </w:p>
    <w:p>
      <w:pPr>
        <w:jc w:val="both"/>
        <w:ind w:left="440" w:firstLine="419"/>
        <w:spacing w:after="0" w:line="286" w:lineRule="auto"/>
        <w:tabs>
          <w:tab w:leader="none" w:pos="1078"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amendment to, or change in, the laws (or regulations or rulings promulgated thereunder) of any Relevant Taxing Jurisdiction which is announced and becomes effective after the date on which a Foreign Successor Issuer becomes a Foreign Successor Issuer (or, where a jurisdiction in question does not become a Relevant Taxing Jurisdiction until a later date, such later date); or</w:t>
      </w:r>
    </w:p>
    <w:p>
      <w:pPr>
        <w:spacing w:after="0" w:line="57" w:lineRule="exact"/>
        <w:rPr>
          <w:rFonts w:ascii="Arial" w:cs="Arial" w:eastAsia="Arial" w:hAnsi="Arial"/>
          <w:sz w:val="17"/>
          <w:szCs w:val="17"/>
          <w:color w:val="auto"/>
        </w:rPr>
      </w:pPr>
    </w:p>
    <w:p>
      <w:pPr>
        <w:ind w:left="440" w:right="220" w:firstLine="419"/>
        <w:spacing w:after="0" w:line="311" w:lineRule="auto"/>
        <w:tabs>
          <w:tab w:leader="none" w:pos="1128"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amendment to, or change in, the official application or official interpretation of the laws, regulations or rulings of any Relevant Taxing Jurisdiction which is announced and becomes effective after the date on which a Foreign Successor Issuer becomes a Foreign Successor Issuer (or, where a jurisdiction in question does not become a Relevant Taxing Jurisdiction until a later date, such later date),</w:t>
      </w:r>
    </w:p>
    <w:p>
      <w:pPr>
        <w:spacing w:after="0" w:line="149"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such Foreign Successor Issuer would be obligated to pay, on the next date for any payment, Additional Amounts pursuant to Section 3.1 hereof with respect to the Relevant Taxing Jurisdiction, which such Foreign Successor Issuer reasonably determines it cannot avoid by the use of reasonable measures available to it, then such Foreign Successor Issuer may redeem all, but not less than all, of the Senior Notes, at any time thereafter, upon not less than 30 nor more than 60 days’ notice, at a redemption price of 100% of their principal amount, plus accrued and unpaid interest, if any, to the Redemption Date. Prior to the giving of any notice of redemption described in this paragraph, a Foreign Successor Issuer will deliver to the Trustee: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69" w:name="page70"/>
    <w:bookmarkEnd w:id="69"/>
    <w:p>
      <w:pPr>
        <w:ind w:left="444" w:right="300" w:firstLine="419"/>
        <w:spacing w:after="0" w:line="277" w:lineRule="auto"/>
        <w:tabs>
          <w:tab w:leader="none" w:pos="1082"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certificate signed by an officer of such Foreign Successor Issuer stating that the obligation to pay the Additional Amounts cannot be avoided by such Foreign Successor Issuer’s taking reasonable measures available to it; and</w:t>
      </w:r>
    </w:p>
    <w:p>
      <w:pPr>
        <w:spacing w:after="0" w:line="62" w:lineRule="exact"/>
        <w:rPr>
          <w:rFonts w:ascii="Arial" w:cs="Arial" w:eastAsia="Arial" w:hAnsi="Arial"/>
          <w:sz w:val="18"/>
          <w:szCs w:val="18"/>
          <w:color w:val="auto"/>
        </w:rPr>
      </w:pPr>
    </w:p>
    <w:p>
      <w:pPr>
        <w:ind w:left="444" w:right="260" w:firstLine="419"/>
        <w:spacing w:after="0" w:line="263" w:lineRule="auto"/>
        <w:tabs>
          <w:tab w:leader="none" w:pos="1132"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written opinion of independent legal counsel to such Foreign Successor Issuer of recognized standing to the effect that such Foreign Successor Issuer has or will become obligated to pay such Additional Amounts as a result of a change, amendment, official interpretation or application described above.</w:t>
      </w:r>
    </w:p>
    <w:p>
      <w:pPr>
        <w:spacing w:after="0" w:line="184" w:lineRule="exact"/>
        <w:rPr>
          <w:sz w:val="20"/>
          <w:szCs w:val="20"/>
          <w:color w:val="auto"/>
        </w:rPr>
      </w:pPr>
    </w:p>
    <w:p>
      <w:pPr>
        <w:ind w:left="4" w:right="200" w:firstLine="440"/>
        <w:spacing w:after="0" w:line="296"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i w:val="1"/>
          <w:iCs w:val="1"/>
          <w:color w:val="auto"/>
        </w:rPr>
        <w:t>Notice of Redemption</w:t>
      </w:r>
      <w:r>
        <w:rPr>
          <w:rFonts w:ascii="Arial" w:cs="Arial" w:eastAsia="Arial" w:hAnsi="Arial"/>
          <w:sz w:val="16"/>
          <w:szCs w:val="16"/>
          <w:color w:val="auto"/>
        </w:rPr>
        <w:t>. A Foreign Successor Issuer will deliver a notice of any optional redemption of the Senior Notes described above to each registered holder of the Senior Notes in accordance with Section 4.03 of the Original Indenture. No such notice of redemption may be given more than 60 days before or 365 days after the Foreign Successor Issuer first becomes liable to pay any Additional Amounts. If the Foreign Successor Issuer requests the Trustee to provide the notice in accordance with Section 4.03 of the Original Indenture, the Trustee shall receive written notice from the Company at least 10 days prior to when such notice of redemption is to be delivered (unless a shorter period is agreed by the Trustee).</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Special Mandatory Redemption</w:t>
      </w:r>
      <w:r>
        <w:rPr>
          <w:rFonts w:ascii="Arial" w:cs="Arial" w:eastAsia="Arial" w:hAnsi="Arial"/>
          <w:sz w:val="18"/>
          <w:szCs w:val="18"/>
          <w:color w:val="auto"/>
        </w:rPr>
        <w:t>.</w:t>
      </w:r>
    </w:p>
    <w:p>
      <w:pPr>
        <w:spacing w:after="0" w:line="113" w:lineRule="exact"/>
        <w:rPr>
          <w:sz w:val="20"/>
          <w:szCs w:val="20"/>
          <w:color w:val="auto"/>
        </w:rPr>
      </w:pPr>
    </w:p>
    <w:p>
      <w:pPr>
        <w:ind w:left="684" w:hanging="244"/>
        <w:spacing w:after="0"/>
        <w:tabs>
          <w:tab w:leader="none" w:pos="684" w:val="left"/>
        </w:tabs>
        <w:numPr>
          <w:ilvl w:val="1"/>
          <w:numId w:val="74"/>
        </w:numPr>
        <w:rPr>
          <w:rFonts w:ascii="Arial" w:cs="Arial" w:eastAsia="Arial" w:hAnsi="Arial"/>
          <w:sz w:val="17"/>
          <w:szCs w:val="17"/>
          <w:color w:val="auto"/>
        </w:rPr>
      </w:pPr>
      <w:r>
        <w:rPr>
          <w:rFonts w:ascii="Arial" w:cs="Arial" w:eastAsia="Arial" w:hAnsi="Arial"/>
          <w:sz w:val="17"/>
          <w:szCs w:val="17"/>
          <w:color w:val="auto"/>
        </w:rPr>
        <w:t>If (x) the consummation of the Verafin Transaction does not occur on or before February 18, 2022 (the “</w:t>
      </w:r>
      <w:r>
        <w:rPr>
          <w:rFonts w:ascii="Arial" w:cs="Arial" w:eastAsia="Arial" w:hAnsi="Arial"/>
          <w:sz w:val="17"/>
          <w:szCs w:val="17"/>
          <w:b w:val="1"/>
          <w:bCs w:val="1"/>
          <w:color w:val="auto"/>
        </w:rPr>
        <w:t>Extended Termination Date</w:t>
      </w:r>
      <w:r>
        <w:rPr>
          <w:rFonts w:ascii="Arial" w:cs="Arial" w:eastAsia="Arial" w:hAnsi="Arial"/>
          <w:sz w:val="17"/>
          <w:szCs w:val="17"/>
          <w:color w:val="auto"/>
        </w:rPr>
        <w:t>”) or</w:t>
      </w:r>
    </w:p>
    <w:p>
      <w:pPr>
        <w:spacing w:after="0" w:line="38" w:lineRule="exact"/>
        <w:rPr>
          <w:rFonts w:ascii="Arial" w:cs="Arial" w:eastAsia="Arial" w:hAnsi="Arial"/>
          <w:sz w:val="17"/>
          <w:szCs w:val="17"/>
          <w:color w:val="auto"/>
        </w:rPr>
      </w:pPr>
    </w:p>
    <w:p>
      <w:pPr>
        <w:ind w:left="4" w:hanging="4"/>
        <w:spacing w:after="0" w:line="252" w:lineRule="auto"/>
        <w:tabs>
          <w:tab w:leader="none" w:pos="25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notifies the Trustee that (i) the Verafin Transaction Agreement has been terminated in accordance with its terms prior to the consummation of the Verafin Transaction or (ii) the Company will not pursue the consummation of the Verafin Transaction (the earlier of the date of delivery of such notice described in clause (y) and the Extended Termination Date, the “</w:t>
      </w:r>
      <w:r>
        <w:rPr>
          <w:rFonts w:ascii="Arial" w:cs="Arial" w:eastAsia="Arial" w:hAnsi="Arial"/>
          <w:sz w:val="18"/>
          <w:szCs w:val="18"/>
          <w:b w:val="1"/>
          <w:bCs w:val="1"/>
          <w:color w:val="auto"/>
        </w:rPr>
        <w:t>Special Mandatory Redemption Trigger Date</w:t>
      </w:r>
      <w:r>
        <w:rPr>
          <w:rFonts w:ascii="Arial" w:cs="Arial" w:eastAsia="Arial" w:hAnsi="Arial"/>
          <w:sz w:val="18"/>
          <w:szCs w:val="18"/>
          <w:color w:val="auto"/>
        </w:rPr>
        <w:t>”), the Company will be required to redeem all and not less than all of the Senior Notes then outstanding by a date no later than ten (10) Business Days after the Special Mandatory Redemption Trigger Date (the “</w:t>
      </w:r>
      <w:r>
        <w:rPr>
          <w:rFonts w:ascii="Arial" w:cs="Arial" w:eastAsia="Arial" w:hAnsi="Arial"/>
          <w:sz w:val="18"/>
          <w:szCs w:val="18"/>
          <w:b w:val="1"/>
          <w:bCs w:val="1"/>
          <w:color w:val="auto"/>
        </w:rPr>
        <w:t>Special Mandatory Redemption End Date</w:t>
      </w:r>
      <w:r>
        <w:rPr>
          <w:rFonts w:ascii="Arial" w:cs="Arial" w:eastAsia="Arial" w:hAnsi="Arial"/>
          <w:sz w:val="18"/>
          <w:szCs w:val="18"/>
          <w:color w:val="auto"/>
        </w:rPr>
        <w:t>”) at a redemption price equal to 101% of the principal amount of the Senior Notes to be redeemed plus accrued and unpaid interest thereon to, but excluding, the Special Mandatory Redemption Date (the “</w:t>
      </w:r>
      <w:r>
        <w:rPr>
          <w:rFonts w:ascii="Arial" w:cs="Arial" w:eastAsia="Arial" w:hAnsi="Arial"/>
          <w:sz w:val="18"/>
          <w:szCs w:val="18"/>
          <w:b w:val="1"/>
          <w:bCs w:val="1"/>
          <w:color w:val="auto"/>
        </w:rPr>
        <w:t>Special Mandatory Redemption Price</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4" w:right="80" w:firstLine="436"/>
        <w:spacing w:after="0" w:line="254" w:lineRule="auto"/>
        <w:tabs>
          <w:tab w:leader="none" w:pos="699"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 the event that the Company becomes obligated to redeem the Senior Notes pursuant to Section 4.4(a), the Company will promptly, and in any event not more than five (5) Business Days after the Special Mandatory Redemption Trigger Date, deliver notice to the Trustee of the special mandatory redemption and the date upon which the Senior Notes will be redeemed (the “</w:t>
      </w:r>
      <w:r>
        <w:rPr>
          <w:rFonts w:ascii="Arial" w:cs="Arial" w:eastAsia="Arial" w:hAnsi="Arial"/>
          <w:sz w:val="18"/>
          <w:szCs w:val="18"/>
          <w:b w:val="1"/>
          <w:bCs w:val="1"/>
          <w:color w:val="auto"/>
        </w:rPr>
        <w:t>Special Mandatory Redemption Date</w:t>
      </w:r>
      <w:r>
        <w:rPr>
          <w:rFonts w:ascii="Arial" w:cs="Arial" w:eastAsia="Arial" w:hAnsi="Arial"/>
          <w:sz w:val="18"/>
          <w:szCs w:val="18"/>
          <w:color w:val="auto"/>
        </w:rPr>
        <w:t>,” which date shall be no later than the Special Mandatory Redemption End Date). The Trustee will then promptly deliver such notice to each holder of Senior Notes at its registered address. Unless the Company defaults in payment of the Special Mandatory Redemption Price, on and after such Special Mandatory Redemption Date, interest will cease to accrue on the Senior Notes and the Indenture will be discharged and cease to be of further effect as to all Senior Notes.</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FIVE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RANKING</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Senior in Right of Payment</w:t>
      </w:r>
      <w:r>
        <w:rPr>
          <w:rFonts w:ascii="Arial" w:cs="Arial" w:eastAsia="Arial" w:hAnsi="Arial"/>
          <w:sz w:val="18"/>
          <w:szCs w:val="18"/>
          <w:color w:val="auto"/>
        </w:rPr>
        <w:t xml:space="preserve">. The Senior Notes shall be direct senior obligations of the Company and shall rank (a) senior in right of payment to all existing and future indebtedness that is, by its terms, expressly subordinated in right of payment to the Senior Notes and (b)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senior indebtedness of the Company.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SIX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Amendments</w:t>
      </w:r>
      <w:r>
        <w:rPr>
          <w:rFonts w:ascii="Arial" w:cs="Arial" w:eastAsia="Arial" w:hAnsi="Arial"/>
          <w:sz w:val="18"/>
          <w:szCs w:val="18"/>
          <w:color w:val="auto"/>
        </w:rPr>
        <w:t>. The Original Indenture is hereby amended, with respect to the Senior Notes, by the following:</w:t>
      </w:r>
    </w:p>
    <w:p>
      <w:pPr>
        <w:spacing w:after="0" w:line="117" w:lineRule="exact"/>
        <w:rPr>
          <w:sz w:val="20"/>
          <w:szCs w:val="20"/>
          <w:color w:val="auto"/>
        </w:rPr>
      </w:pPr>
    </w:p>
    <w:p>
      <w:pPr>
        <w:ind w:right="100" w:firstLine="436"/>
        <w:spacing w:after="0" w:line="277" w:lineRule="auto"/>
        <w:tabs>
          <w:tab w:leader="none" w:pos="68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Original Indenture is hereby amended, with respect to the Senior Notes, by replacing the text of Sections 14.02(a)(i)-(iv) thereof with the following text:</w:t>
      </w:r>
    </w:p>
    <w:p>
      <w:pPr>
        <w:spacing w:after="0" w:line="62" w:lineRule="exact"/>
        <w:rPr>
          <w:sz w:val="20"/>
          <w:szCs w:val="20"/>
          <w:color w:val="auto"/>
        </w:rPr>
      </w:pPr>
    </w:p>
    <w:p>
      <w:pPr>
        <w:ind w:left="440" w:right="20" w:firstLine="423"/>
        <w:spacing w:after="0" w:line="263" w:lineRule="auto"/>
        <w:rPr>
          <w:sz w:val="20"/>
          <w:szCs w:val="20"/>
          <w:color w:val="auto"/>
        </w:rPr>
      </w:pPr>
      <w:r>
        <w:rPr>
          <w:rFonts w:ascii="Arial" w:cs="Arial" w:eastAsia="Arial" w:hAnsi="Arial"/>
          <w:sz w:val="18"/>
          <w:szCs w:val="18"/>
          <w:color w:val="auto"/>
        </w:rPr>
        <w:t>“(i) reduce the percentage in principal amount of Outstanding Senior Notes, the consent of whose Holders is required for any amendment of this Indenture or the consent of whose Holders is required for any waiver of compliance with provisions of this Indenture or Defaults under this Indenture;</w:t>
      </w:r>
    </w:p>
    <w:p>
      <w:pPr>
        <w:spacing w:after="0" w:line="76" w:lineRule="exact"/>
        <w:rPr>
          <w:sz w:val="20"/>
          <w:szCs w:val="20"/>
          <w:color w:val="auto"/>
        </w:rPr>
      </w:pPr>
    </w:p>
    <w:p>
      <w:pPr>
        <w:ind w:left="1120" w:hanging="261"/>
        <w:spacing w:after="0"/>
        <w:tabs>
          <w:tab w:leader="none" w:pos="11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reduce the rate of interest on any Senior Note or change the time for payment of interest;</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reduce the principal, or premium, if any, due on, the Senior Notes or change the Stated Maturity thereof;</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change the Place of Payment where, or the Currency in which, any Senior Note or any premium or interest thereon is payable;</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change the provisions relating to waiver of defaults under this Indenture (including, without limitation, Sections 6.06 and 7.06 hereof);</w:t>
      </w:r>
    </w:p>
    <w:p>
      <w:pPr>
        <w:spacing w:after="0" w:line="140" w:lineRule="exact"/>
        <w:rPr>
          <w:rFonts w:ascii="Arial" w:cs="Arial" w:eastAsia="Arial" w:hAnsi="Arial"/>
          <w:sz w:val="16"/>
          <w:szCs w:val="16"/>
          <w:color w:val="auto"/>
        </w:rPr>
      </w:pPr>
    </w:p>
    <w:p>
      <w:pPr>
        <w:ind w:left="1160" w:hanging="301"/>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modify the provisions of this Indenture relating to the ranking of the Senior Notes in a manner adverse to Holders;</w:t>
      </w:r>
    </w:p>
    <w:p>
      <w:pPr>
        <w:spacing w:after="0" w:line="117" w:lineRule="exact"/>
        <w:rPr>
          <w:rFonts w:ascii="Arial" w:cs="Arial" w:eastAsia="Arial" w:hAnsi="Arial"/>
          <w:sz w:val="18"/>
          <w:szCs w:val="18"/>
          <w:color w:val="auto"/>
        </w:rPr>
      </w:pPr>
    </w:p>
    <w:p>
      <w:pPr>
        <w:ind w:left="440" w:firstLine="419"/>
        <w:spacing w:after="0" w:line="277" w:lineRule="auto"/>
        <w:tabs>
          <w:tab w:leader="none" w:pos="1218" w:val="left"/>
        </w:tabs>
        <w:numPr>
          <w:ilvl w:val="0"/>
          <w:numId w:val="77"/>
        </w:numPr>
        <w:rPr>
          <w:rFonts w:ascii="Arial" w:cs="Arial" w:eastAsia="Arial" w:hAnsi="Arial"/>
          <w:sz w:val="18"/>
          <w:szCs w:val="18"/>
          <w:color w:val="auto"/>
        </w:rPr>
      </w:pPr>
      <w:r>
        <w:rPr>
          <w:rFonts w:ascii="Arial" w:cs="Arial" w:eastAsia="Arial" w:hAnsi="Arial"/>
          <w:sz w:val="18"/>
          <w:szCs w:val="18"/>
          <w:color w:val="auto"/>
        </w:rPr>
        <w:t>impair the right of Holders to institute suit for the enforcement of any payment on or after the Stated Maturity thereof (or, in the case of redemption, on or after the Redemption Date); or</w:t>
      </w:r>
    </w:p>
    <w:p>
      <w:pPr>
        <w:spacing w:after="0" w:line="62" w:lineRule="exact"/>
        <w:rPr>
          <w:rFonts w:ascii="Arial" w:cs="Arial" w:eastAsia="Arial" w:hAnsi="Arial"/>
          <w:sz w:val="18"/>
          <w:szCs w:val="18"/>
          <w:color w:val="auto"/>
        </w:rPr>
      </w:pPr>
    </w:p>
    <w:p>
      <w:pPr>
        <w:ind w:left="440" w:right="440" w:firstLine="419"/>
        <w:spacing w:after="0" w:line="342" w:lineRule="auto"/>
        <w:tabs>
          <w:tab w:leader="none" w:pos="1268" w:val="left"/>
        </w:tabs>
        <w:numPr>
          <w:ilvl w:val="0"/>
          <w:numId w:val="77"/>
        </w:numPr>
        <w:rPr>
          <w:rFonts w:ascii="Arial" w:cs="Arial" w:eastAsia="Arial" w:hAnsi="Arial"/>
          <w:sz w:val="16"/>
          <w:szCs w:val="16"/>
          <w:color w:val="auto"/>
        </w:rPr>
      </w:pPr>
      <w:r>
        <w:rPr>
          <w:rFonts w:ascii="Arial" w:cs="Arial" w:eastAsia="Arial" w:hAnsi="Arial"/>
          <w:sz w:val="16"/>
          <w:szCs w:val="16"/>
          <w:color w:val="auto"/>
        </w:rPr>
        <w:t>modify any of the provisions of this Section 14.02(a), or, except to increase any such percentage or to provide that certain other provisions of this Indenture cannot be modified or waived without the consent of the Holder of each Outstanding Security affected thereby.”</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4" w:right="499" w:bottom="1440" w:gutter="0" w:footer="0" w:header="0"/>
        </w:sectPr>
      </w:pPr>
    </w:p>
    <w:bookmarkStart w:id="71" w:name="page72"/>
    <w:bookmarkEnd w:id="71"/>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 The Original Indenture is hereby amended, with respect to the Senior Notes, by adding the following text as new Section 11.01(o):</w:t>
      </w:r>
    </w:p>
    <w:p>
      <w:pPr>
        <w:spacing w:after="0" w:line="129" w:lineRule="exact"/>
        <w:rPr>
          <w:sz w:val="20"/>
          <w:szCs w:val="20"/>
          <w:color w:val="auto"/>
        </w:rPr>
      </w:pPr>
    </w:p>
    <w:p>
      <w:pPr>
        <w:ind w:left="440" w:right="420" w:firstLine="423"/>
        <w:spacing w:after="0" w:line="263" w:lineRule="auto"/>
        <w:rPr>
          <w:sz w:val="20"/>
          <w:szCs w:val="20"/>
          <w:color w:val="auto"/>
        </w:rPr>
      </w:pPr>
      <w:r>
        <w:rPr>
          <w:rFonts w:ascii="Arial" w:cs="Arial" w:eastAsia="Arial" w:hAnsi="Arial"/>
          <w:sz w:val="18"/>
          <w:szCs w:val="18"/>
          <w:color w:val="auto"/>
        </w:rPr>
        <w:t>“(o)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SEVEN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DEFEASANCE/SATISFACTION AND DISCHARGE</w:t>
      </w:r>
    </w:p>
    <w:p>
      <w:pPr>
        <w:spacing w:after="0" w:line="225"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i w:val="1"/>
          <w:iCs w:val="1"/>
          <w:color w:val="auto"/>
        </w:rPr>
        <w:t>Satisfaction and Discharge of Indenture/Defeasance.</w:t>
      </w:r>
      <w:r>
        <w:rPr>
          <w:rFonts w:ascii="Arial" w:cs="Arial" w:eastAsia="Arial" w:hAnsi="Arial"/>
          <w:sz w:val="17"/>
          <w:szCs w:val="17"/>
          <w:color w:val="auto"/>
        </w:rPr>
        <w:t xml:space="preserve"> The Senior Notes will be subject to Article 12 of the Original Indenture;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in connection with any deposit of funds with the Trustee pursuant to Section 12.02 of the Original Indenture upon any</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 that requires the payment of a premium, the amount deposited shall be sufficient to the extent that an amount is deposited with the Trustee equal to the premium calculated as of the date of the notice of redemption, with any deficit on the Redemption Date (any such amount, the “</w:t>
      </w:r>
      <w:r>
        <w:rPr>
          <w:rFonts w:ascii="Arial" w:cs="Arial" w:eastAsia="Arial" w:hAnsi="Arial"/>
          <w:sz w:val="17"/>
          <w:szCs w:val="17"/>
          <w:b w:val="1"/>
          <w:bCs w:val="1"/>
          <w:color w:val="auto"/>
        </w:rPr>
        <w:t>Applicable</w:t>
      </w:r>
      <w:r>
        <w:rPr>
          <w:rFonts w:ascii="Arial" w:cs="Arial" w:eastAsia="Arial" w:hAnsi="Arial"/>
          <w:sz w:val="17"/>
          <w:szCs w:val="17"/>
          <w:color w:val="auto"/>
        </w:rPr>
        <w:t xml:space="preserve"> </w:t>
      </w:r>
      <w:r>
        <w:rPr>
          <w:rFonts w:ascii="Arial" w:cs="Arial" w:eastAsia="Arial" w:hAnsi="Arial"/>
          <w:sz w:val="17"/>
          <w:szCs w:val="17"/>
          <w:b w:val="1"/>
          <w:bCs w:val="1"/>
          <w:color w:val="auto"/>
        </w:rPr>
        <w:t>Premium Deficit</w:t>
      </w:r>
      <w:r>
        <w:rPr>
          <w:rFonts w:ascii="Arial" w:cs="Arial" w:eastAsia="Arial" w:hAnsi="Arial"/>
          <w:sz w:val="17"/>
          <w:szCs w:val="17"/>
          <w:color w:val="auto"/>
        </w:rPr>
        <w:t>”) only required to be deposited with the Trustee at or prior to 11:00 a.m., New York City time, on the Redemption Date (it being</w:t>
      </w:r>
      <w:r>
        <w:rPr>
          <w:rFonts w:ascii="Arial" w:cs="Arial" w:eastAsia="Arial" w:hAnsi="Arial"/>
          <w:sz w:val="17"/>
          <w:szCs w:val="17"/>
          <w:b w:val="1"/>
          <w:bCs w:val="1"/>
          <w:color w:val="auto"/>
        </w:rPr>
        <w:t xml:space="preserve"> </w:t>
      </w:r>
      <w:r>
        <w:rPr>
          <w:rFonts w:ascii="Arial" w:cs="Arial" w:eastAsia="Arial" w:hAnsi="Arial"/>
          <w:sz w:val="17"/>
          <w:szCs w:val="17"/>
          <w:color w:val="auto"/>
        </w:rPr>
        <w:t>understood that any satisfaction and discharge shall be subject to the condition subsequent that such deficit is in fact paid) and if deposited with the Trustee on the Redemption Date, in accordance with Section 4.04 of the Original Indenture. Any Applicable Premium Deficit shall be set forth in an Officer’s Certificate delivered to the Trustee simultaneously with the deposit of such Applicable Premium Deficit that confirms that such Applicable Premium Deficit shall be applied toward such redemption.</w:t>
      </w:r>
    </w:p>
    <w:p>
      <w:pPr>
        <w:spacing w:after="0" w:line="18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Covenant Defeasance</w:t>
      </w:r>
      <w:r>
        <w:rPr>
          <w:rFonts w:ascii="Arial" w:cs="Arial" w:eastAsia="Arial" w:hAnsi="Arial"/>
          <w:sz w:val="18"/>
          <w:szCs w:val="18"/>
          <w:color w:val="auto"/>
        </w:rPr>
        <w:t>. With respect to the Senior Notes, the Company shall cease to be under any obligation to comply with any term, provision or condition set forth in Sections 3.2 and 3.3 of this Tenth Supplemental Indenture if the Company satisfies the conditions applicable to covenant defeasance applicable to subsection (b) of the first paragraph of Section 12.03 of the Original Indenture.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i w:val="1"/>
          <w:iCs w:val="1"/>
          <w:color w:val="auto"/>
        </w:rPr>
        <w:t>Opinion Related To Defeasance.</w:t>
      </w:r>
      <w:r>
        <w:rPr>
          <w:rFonts w:ascii="Arial" w:cs="Arial" w:eastAsia="Arial" w:hAnsi="Arial"/>
          <w:sz w:val="16"/>
          <w:szCs w:val="16"/>
          <w:color w:val="auto"/>
        </w:rPr>
        <w:t xml:space="preserve"> The Original Indenture is hereby amended, with respect to the Senior Notes, by replacing the text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12.03(c) thereof with the following text:</w:t>
      </w:r>
    </w:p>
    <w:p>
      <w:pPr>
        <w:spacing w:after="0" w:line="103" w:lineRule="exact"/>
        <w:rPr>
          <w:sz w:val="20"/>
          <w:szCs w:val="20"/>
          <w:color w:val="auto"/>
        </w:rPr>
      </w:pPr>
    </w:p>
    <w:p>
      <w:pPr>
        <w:ind w:left="440" w:right="60" w:firstLine="423"/>
        <w:spacing w:after="0" w:line="257" w:lineRule="auto"/>
        <w:rPr>
          <w:sz w:val="20"/>
          <w:szCs w:val="20"/>
          <w:color w:val="auto"/>
        </w:rPr>
      </w:pPr>
      <w:r>
        <w:rPr>
          <w:rFonts w:ascii="Arial" w:cs="Arial" w:eastAsia="Arial" w:hAnsi="Arial"/>
          <w:sz w:val="18"/>
          <w:szCs w:val="18"/>
          <w:color w:val="auto"/>
        </w:rPr>
        <w:t>“The Company shall have delivered to the Trustee an Opinion of Counsel to the effect that beneficial holders of the Securities of such series will not recognize income, gain or loss for U.S. federal income tax purposes as a result of the Company’s exercise of its option under this Section and will be subject to federal income tax on the same amounts and in the same manner and at the same times as would have been the case if such action had not been exercised and, in the case of the Securities of such series being Discharged, accompanied by a ruling to that effect received from or published by the Internal Revenue Service.”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72" w:name="page73"/>
    <w:bookmarkEnd w:id="72"/>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EIGHT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PAYING AGENT AND TRANSFER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Section 8.1. Wells Fargo Bank, National Association hereby agrees to act as Paying Agent and Transfer Agent in respect of the Senior Notes.</w:t>
      </w:r>
    </w:p>
    <w:p>
      <w:pPr>
        <w:spacing w:after="0" w:line="248"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color w:val="auto"/>
        </w:rPr>
        <w:t>Section 8.2. An Agent may resign and be discharged from its duties hereunder at any time, other than on a day during the forty-five (45) day period preceding and fifteen (15) day period following any payment date for the Senior Notes, (i) by giving thirty (30) calendar days’ prior written notice of such resignation to the Company or (ii) upon notice to the Company with immediate effect in order to comply with law or regulation. If the Company fails to appoint a successor Agent within thirty (30) days after such notice, the applicable Agent may apply to a court of competent jurisdiction for the appointment of a successor agent or for other appropriate relief. The costs and expenses (including its attorneys’ fees and expenses) incurred by the applicable Agent in connection with such proceeding shall be paid by the Company. The Company may, at any time and for any reason upon at least thirty (30) calendar days’ prior written notice to the applicable Agent, remove any Agent and appoint a successor Agent by written instrument in duplicate signed on behalf of the Company, one copy of which shall be delivered to the applicable Agent being removed and one copy to the successor Agent.</w:t>
      </w:r>
    </w:p>
    <w:p>
      <w:pPr>
        <w:spacing w:after="0" w:line="196"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Section 8.3. Any entity into which any Agent in its individual capacity may be merged or converted or with which it may be consolidated, or any corporation resulting from any merger, conversion or consolidation to which an Agent in its individual capacity shall be a party, or any corporation to which substantially all of the corporate trust business of an Agent in its individual capacity may be transferred shall be the applicable Agent under this Tenth Supplemental Indenture without further action.</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NINE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640" w:firstLine="440"/>
        <w:spacing w:after="0" w:line="342"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i w:val="1"/>
          <w:iCs w:val="1"/>
          <w:color w:val="auto"/>
        </w:rPr>
        <w:t>Execution as Supplemental Indenture</w:t>
      </w:r>
      <w:r>
        <w:rPr>
          <w:rFonts w:ascii="Arial" w:cs="Arial" w:eastAsia="Arial" w:hAnsi="Arial"/>
          <w:sz w:val="16"/>
          <w:szCs w:val="16"/>
          <w:color w:val="auto"/>
        </w:rPr>
        <w:t>. This Tenth Supplemental Indenture is executed and shall be construed as an indenture supplemental to the Original Indenture and, as provided in the Original Indenture, this Tenth Supplemental Indenture forms a part thereof.</w:t>
      </w:r>
    </w:p>
    <w:p>
      <w:pPr>
        <w:spacing w:after="0" w:line="124"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i w:val="1"/>
          <w:iCs w:val="1"/>
          <w:color w:val="auto"/>
        </w:rPr>
        <w:t>Conflict with Trust Indenture Act</w:t>
      </w:r>
      <w:r>
        <w:rPr>
          <w:rFonts w:ascii="Arial" w:cs="Arial" w:eastAsia="Arial" w:hAnsi="Arial"/>
          <w:sz w:val="17"/>
          <w:szCs w:val="17"/>
          <w:color w:val="auto"/>
        </w:rPr>
        <w:t>. If any provision hereof limits, qualifies or conflicts with another provision hereof, or with a provision of the Original Indenture, which is required to be included in this Tenth Supplemental Indenture, or in the Original Indenture, respectively, by any of the provisions of the Trust Indenture Act, such required provision shall control to the extent it is applicable.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440" w:top="274" w:right="539" w:bottom="1440" w:gutter="0" w:footer="0" w:header="0"/>
        </w:sectPr>
      </w:pPr>
    </w:p>
    <w:bookmarkStart w:id="73" w:name="page74"/>
    <w:bookmarkEnd w:id="7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9.3. </w:t>
      </w:r>
      <w:r>
        <w:rPr>
          <w:rFonts w:ascii="Arial" w:cs="Arial" w:eastAsia="Arial" w:hAnsi="Arial"/>
          <w:sz w:val="16"/>
          <w:szCs w:val="16"/>
          <w:i w:val="1"/>
          <w:iCs w:val="1"/>
          <w:color w:val="auto"/>
        </w:rPr>
        <w:t>Effect of Headings</w:t>
      </w:r>
      <w:r>
        <w:rPr>
          <w:rFonts w:ascii="Arial" w:cs="Arial" w:eastAsia="Arial" w:hAnsi="Arial"/>
          <w:sz w:val="16"/>
          <w:szCs w:val="16"/>
          <w:color w:val="auto"/>
        </w:rPr>
        <w:t>. The Article and Section headings herein are for convenience only and shall not affect the construction hereof.</w:t>
      </w:r>
    </w:p>
    <w:p>
      <w:pPr>
        <w:spacing w:after="0" w:line="248"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i w:val="1"/>
          <w:iCs w:val="1"/>
          <w:color w:val="auto"/>
        </w:rPr>
        <w:t>Successors and Assigns</w:t>
      </w:r>
      <w:r>
        <w:rPr>
          <w:rFonts w:ascii="Arial" w:cs="Arial" w:eastAsia="Arial" w:hAnsi="Arial"/>
          <w:sz w:val="18"/>
          <w:szCs w:val="18"/>
          <w:color w:val="auto"/>
        </w:rPr>
        <w:t>. All covenants and agreements by the Company and the Trustee in this Tenth Supplemental Indenture shall bind its successors and assigns, whether so expressed or not.</w:t>
      </w:r>
    </w:p>
    <w:p>
      <w:pPr>
        <w:spacing w:after="0" w:line="170"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 xml:space="preserve">Section 9.5. </w:t>
      </w:r>
      <w:r>
        <w:rPr>
          <w:rFonts w:ascii="Arial" w:cs="Arial" w:eastAsia="Arial" w:hAnsi="Arial"/>
          <w:sz w:val="16"/>
          <w:szCs w:val="16"/>
          <w:i w:val="1"/>
          <w:iCs w:val="1"/>
          <w:color w:val="auto"/>
        </w:rPr>
        <w:t>Separability Clause</w:t>
      </w:r>
      <w:r>
        <w:rPr>
          <w:rFonts w:ascii="Arial" w:cs="Arial" w:eastAsia="Arial" w:hAnsi="Arial"/>
          <w:sz w:val="16"/>
          <w:szCs w:val="16"/>
          <w:color w:val="auto"/>
        </w:rPr>
        <w:t>. In case any provision in this Tenth Supplemental Indenture or in the Senior Notes shall be invalid, illegal or unenforceable, the validity, legality and enforceability of the remaining provisions shall not in any way be affected or impaired thereby.</w:t>
      </w:r>
    </w:p>
    <w:p>
      <w:pPr>
        <w:spacing w:after="0" w:line="12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i w:val="1"/>
          <w:iCs w:val="1"/>
          <w:color w:val="auto"/>
        </w:rPr>
        <w:t>Benefits of Tenth Supplemental Indenture</w:t>
      </w:r>
      <w:r>
        <w:rPr>
          <w:rFonts w:ascii="Arial" w:cs="Arial" w:eastAsia="Arial" w:hAnsi="Arial"/>
          <w:sz w:val="18"/>
          <w:szCs w:val="18"/>
          <w:color w:val="auto"/>
        </w:rPr>
        <w:t>. Nothing in this Tenth Supplemental Indenture or in the Senior Notes, express or implied, shall give to any Person, other than the parties hereto and their successors hereunder and the Holders, any benefit or any legal or equitable right, remedy or claim under this Tenth Supplemental Indenture.</w:t>
      </w:r>
    </w:p>
    <w:p>
      <w:pPr>
        <w:spacing w:after="0" w:line="18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9.7. </w:t>
      </w:r>
      <w:r>
        <w:rPr>
          <w:rFonts w:ascii="Arial" w:cs="Arial" w:eastAsia="Arial" w:hAnsi="Arial"/>
          <w:sz w:val="16"/>
          <w:szCs w:val="16"/>
          <w:i w:val="1"/>
          <w:iCs w:val="1"/>
          <w:color w:val="auto"/>
        </w:rPr>
        <w:t>Execution and Counterparts</w:t>
      </w:r>
      <w:r>
        <w:rPr>
          <w:rFonts w:ascii="Arial" w:cs="Arial" w:eastAsia="Arial" w:hAnsi="Arial"/>
          <w:sz w:val="16"/>
          <w:szCs w:val="16"/>
          <w:color w:val="auto"/>
        </w:rPr>
        <w:t>. This Tenth Supplemental Indenture may be executed in any number of counterparts, each of which shall be deemed to be an original, but all such counterparts shall together constitute but one and the same instrument. The exchange of copies of this Tenth Supplemental Indenture and of signature pages by facsimile or PDF transmission shall constitute effective execution and delivery of this Tenth Supplemental Indenture as to the parties hereto and may be used in lieu of the original Tenth Supplemental Indenture for all purposes. Signatures of the parties hereto transmitted by facsimile or PDF shall be deemed to be their original signatures for all purposes. This Tenth Supplemental Indenture shall be 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the Uniform Electronic Transactions Act, and/or any other relevant electronic signatures law, including any relevant provisions of the Uniform Commercial Code/UCC (collectively, “Signature Law”),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For the avoidance of doubt, original manual signatures shall be used for execution or indorsement of writings when required under the UCC or other Signature Law due to the character or intended character of the writings.</w:t>
      </w:r>
    </w:p>
    <w:p>
      <w:pPr>
        <w:spacing w:after="0" w:line="17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i w:val="1"/>
          <w:iCs w:val="1"/>
          <w:color w:val="auto"/>
        </w:rPr>
        <w:t>Governing Law</w:t>
      </w:r>
      <w:r>
        <w:rPr>
          <w:rFonts w:ascii="Arial" w:cs="Arial" w:eastAsia="Arial" w:hAnsi="Arial"/>
          <w:sz w:val="18"/>
          <w:szCs w:val="18"/>
          <w:color w:val="auto"/>
        </w:rPr>
        <w:t>. This Tenth Supplemental Indenture and the Senior Notes shall be governed by and construed in accordance with the laws of the State of New York.</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4" w:right="499" w:bottom="1440" w:gutter="0" w:footer="0" w:header="0"/>
        </w:sectPr>
      </w:pPr>
    </w:p>
    <w:bookmarkStart w:id="74" w:name="page75"/>
    <w:bookmarkEnd w:id="74"/>
    <w:p>
      <w:pPr>
        <w:ind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9.9. </w:t>
      </w:r>
      <w:r>
        <w:rPr>
          <w:rFonts w:ascii="Arial" w:cs="Arial" w:eastAsia="Arial" w:hAnsi="Arial"/>
          <w:sz w:val="18"/>
          <w:szCs w:val="18"/>
          <w:i w:val="1"/>
          <w:iCs w:val="1"/>
          <w:color w:val="auto"/>
        </w:rPr>
        <w:t>U.S.A. Patriot Act</w:t>
      </w:r>
      <w:r>
        <w:rPr>
          <w:rFonts w:ascii="Arial" w:cs="Arial" w:eastAsia="Arial" w:hAnsi="Arial"/>
          <w:sz w:val="18"/>
          <w:szCs w:val="18"/>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Tenth Supplemental Indenture agree that they will provide the Trustee with such information as it may request in order for the Trustee to satisfy the requirements of the U.S.A. Patriot Act.</w:t>
      </w:r>
    </w:p>
    <w:p>
      <w:pPr>
        <w:spacing w:after="0" w:line="188"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i w:val="1"/>
          <w:iCs w:val="1"/>
          <w:color w:val="auto"/>
        </w:rPr>
        <w:t>Force Majeure</w:t>
      </w:r>
      <w:r>
        <w:rPr>
          <w:rFonts w:ascii="Arial" w:cs="Arial" w:eastAsia="Arial" w:hAnsi="Arial"/>
          <w:sz w:val="16"/>
          <w:szCs w:val="16"/>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61"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i w:val="1"/>
          <w:iCs w:val="1"/>
          <w:color w:val="auto"/>
        </w:rPr>
        <w:t>Trustee’s Disclaimer</w:t>
      </w:r>
      <w:r>
        <w:rPr>
          <w:rFonts w:ascii="Arial" w:cs="Arial" w:eastAsia="Arial" w:hAnsi="Arial"/>
          <w:sz w:val="17"/>
          <w:szCs w:val="17"/>
          <w:color w:val="auto"/>
        </w:rPr>
        <w:t>. The Trustee accepts the amendments of the Original Indenture effected by this Tenth Supplemental Indenture, but on the terms and conditions set forth in the Original Indenture, including the terms and provisions defining and limiting the liabilities and responsibilities of the Trustee. Without limiting the generality of the foregoing, the Trustee shall not be responsible in any manner whatsoever for or with respect to any of the recitals or statements contained herein, all of which recitals or statements are made solely by the Company, or for or with respect to (i) the validity or sufficiency of this Tenth Supplemental Indenture or any of the terms or provisions hereof, (ii) proper authorization hereof by the Company by action or otherwise, (iii) the due execution hereof by the Company or (iv) the consequences of any amendment herein provided for, and the Trustee makes no representation with respect to any such matters.</w:t>
      </w:r>
    </w:p>
    <w:p>
      <w:pPr>
        <w:spacing w:after="0" w:line="17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i w:val="1"/>
          <w:iCs w:val="1"/>
          <w:color w:val="auto"/>
        </w:rPr>
        <w:t>Company Representation</w:t>
      </w:r>
      <w:r>
        <w:rPr>
          <w:rFonts w:ascii="Arial" w:cs="Arial" w:eastAsia="Arial" w:hAnsi="Arial"/>
          <w:sz w:val="18"/>
          <w:szCs w:val="18"/>
          <w:color w:val="auto"/>
        </w:rPr>
        <w:t>. The Company hereby represents and warrants that this Tenth Supplemental Indenture is its legal, valid and binding obligation, enforceable against it in accordance with its terms.</w:t>
      </w:r>
    </w:p>
    <w:p>
      <w:pPr>
        <w:spacing w:after="0" w:line="17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i w:val="1"/>
          <w:iCs w:val="1"/>
          <w:color w:val="auto"/>
        </w:rPr>
        <w:t>Ratification of Original Indenture</w:t>
      </w:r>
      <w:r>
        <w:rPr>
          <w:rFonts w:ascii="Arial" w:cs="Arial" w:eastAsia="Arial" w:hAnsi="Arial"/>
          <w:sz w:val="18"/>
          <w:szCs w:val="18"/>
          <w:color w:val="auto"/>
        </w:rPr>
        <w:t>. The Original Indenture, as supplemented by this Tenth Supplemental Indenture, is in all respects ratified and confirmed. For the avoidance of doubt, each of the Company and each Holder of Senior Notes, by its acceptance of such Securities, acknowledges and agrees that all of the rights, privileges, protections, immunities and benefits, including the right to be indemnified, afforded to the Trustee under the Original Indenture are deemed to be incorporated herein, and shall be enforceable by the Trustee hereunder, in each of its capacities hereunder as if set forth herein in full.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75" w:name="page76"/>
    <w:bookmarkEnd w:id="75"/>
    <w:p>
      <w:pPr>
        <w:jc w:val="cente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Tenth Supplemental Indenture to be duly executed as of the day and year first above written.</w:t>
      </w:r>
    </w:p>
    <w:p>
      <w:pPr>
        <w:spacing w:after="0" w:line="19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NASDAQ,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Michael Ptasznik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14605</wp:posOffset>
            </wp:positionV>
            <wp:extent cx="25628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Michael Ptasznik</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Corporate Strategy and</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WELLS FARGO BANK, NATIONAL ASSOCIATION, as</w:t>
      </w:r>
    </w:p>
    <w:p>
      <w:pPr>
        <w:spacing w:after="0" w:line="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Patrick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14605</wp:posOffset>
            </wp:positionV>
            <wp:extent cx="25628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Patrick Giordano</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WELLS FARGO BANK, NATIONAL ASSOCIATION, as</w:t>
      </w:r>
    </w:p>
    <w:p>
      <w:pPr>
        <w:spacing w:after="0" w:line="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Paying Agent</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Patrick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14605</wp:posOffset>
            </wp:positionV>
            <wp:extent cx="25628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Patrick Giordano</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WELLS FARGO BANK, NATIONAL ASSOCIATION, as</w:t>
      </w:r>
    </w:p>
    <w:p>
      <w:pPr>
        <w:spacing w:after="0" w:line="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Transfer Agent</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Patrick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14605</wp:posOffset>
            </wp:positionV>
            <wp:extent cx="25628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Patrick Giordano</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660"/>
          </w:cols>
          <w:pgMar w:left="660" w:top="274" w:right="57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1.650% SENIOR NOTES DUE 2031]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any legend required by the Internal Revenue Code and the regulations thereunder.]</w:t>
      </w:r>
    </w:p>
    <w:p>
      <w:pPr>
        <w:spacing w:after="0" w:line="225" w:lineRule="exact"/>
        <w:rPr>
          <w:sz w:val="20"/>
          <w:szCs w:val="20"/>
          <w:color w:val="auto"/>
        </w:rPr>
      </w:pPr>
    </w:p>
    <w:p>
      <w:pPr>
        <w:ind w:right="720"/>
        <w:spacing w:after="0" w:line="286" w:lineRule="auto"/>
        <w:rPr>
          <w:sz w:val="20"/>
          <w:szCs w:val="20"/>
          <w:color w:val="auto"/>
        </w:rPr>
      </w:pPr>
      <w:r>
        <w:rPr>
          <w:rFonts w:ascii="Arial" w:cs="Arial" w:eastAsia="Arial" w:hAnsi="Arial"/>
          <w:sz w:val="17"/>
          <w:szCs w:val="17"/>
          <w:color w:val="auto"/>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16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(55 WATER STREET, NEW YORK, NEW YORK) (“</w:t>
      </w:r>
      <w:r>
        <w:rPr>
          <w:rFonts w:ascii="Arial" w:cs="Arial" w:eastAsia="Arial" w:hAnsi="Arial"/>
          <w:sz w:val="18"/>
          <w:szCs w:val="18"/>
          <w:b w:val="1"/>
          <w:bCs w:val="1"/>
          <w:color w:val="auto"/>
        </w:rPr>
        <w:t>DTC</w:t>
      </w:r>
      <w:r>
        <w:rPr>
          <w:rFonts w:ascii="Arial" w:cs="Arial" w:eastAsia="Arial" w:hAnsi="Arial"/>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9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4" w:right="4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NASDAQ,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1.650% Senior Notes due 2031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No. ______</w:t>
            </w:r>
          </w:p>
        </w:tc>
        <w:tc>
          <w:tcPr>
            <w:tcW w:w="5580" w:type="dxa"/>
            <w:vAlign w:val="bottom"/>
          </w:tcPr>
          <w:p>
            <w:pPr>
              <w:jc w:val="right"/>
              <w:spacing w:after="0"/>
              <w:rPr>
                <w:sz w:val="20"/>
                <w:szCs w:val="20"/>
                <w:color w:val="auto"/>
              </w:rPr>
            </w:pPr>
            <w:r>
              <w:rPr>
                <w:rFonts w:ascii="Arial" w:cs="Arial" w:eastAsia="Arial" w:hAnsi="Arial"/>
                <w:sz w:val="18"/>
                <w:szCs w:val="18"/>
                <w:color w:val="auto"/>
              </w:rPr>
              <w:t>$650,000,000</w:t>
            </w:r>
          </w:p>
        </w:tc>
      </w:tr>
    </w:tbl>
    <w:p>
      <w:pPr>
        <w:spacing w:after="0" w:line="202" w:lineRule="exact"/>
        <w:rPr>
          <w:sz w:val="20"/>
          <w:szCs w:val="20"/>
          <w:color w:val="auto"/>
        </w:rPr>
      </w:pPr>
    </w:p>
    <w:p>
      <w:pPr>
        <w:ind w:left="9440"/>
        <w:spacing w:after="0"/>
        <w:rPr>
          <w:sz w:val="20"/>
          <w:szCs w:val="20"/>
          <w:color w:val="auto"/>
        </w:rPr>
      </w:pPr>
      <w:r>
        <w:rPr>
          <w:rFonts w:ascii="Arial" w:cs="Arial" w:eastAsia="Arial" w:hAnsi="Arial"/>
          <w:sz w:val="17"/>
          <w:szCs w:val="17"/>
          <w:color w:val="auto"/>
        </w:rPr>
        <w:t>CUSIP: 63111X AD3</w:t>
      </w:r>
    </w:p>
    <w:p>
      <w:pPr>
        <w:spacing w:after="0" w:line="23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NASDAQ, INC., a corporation duly organized and existing under the laws of the State of Delaware (herein called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which term includes any successor Person under the Indenture hereinafter referred to), for value received, hereby promises to pay to CEDE &amp; CO., or registered assigns, the principal sum of $650,000,000 (SIX HUNDRED FIFTY MILLION DOLLARS) on January 15, 2031, and to pay interest thereon from the most recent Interest Payment Date to which interest has been paid or duly provided for or, if no interest has been paid, from the Issue Date semi-annually on January 15 and July 15 in each year, commencing July 15, 2021 and at the Maturity thereof, at the rate of 1.650% per annum, until the principal hereof is paid or made available for payment,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principal and premium, and any such installment of interest, which is overdue shall bear interest at the rate 1.650%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is registered at the close of business on the Record Date for such interest, which shall be January 1 or July 1 (whether or not a Business Day), as the case may be, next preceding such Interest Payment Date.</w:t>
      </w:r>
    </w:p>
    <w:p>
      <w:pPr>
        <w:spacing w:after="0" w:line="18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Payment of the principal of (and premium, if any) and any such interest on this Security will be made at the office or agency maintained for that purpose in New York, New York, in such currency of the United States of America, as at the time of payment is legal tender for payment of public and private debts, against surrender of this Security in the case of any payment due at the Maturity of the principal hereof (other than any payment of interest that first becomes payable on a day other than an Interest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at the option of the Company payment of interest may be made by check mailed to the address of the Person entitled thereto as such address shall appear in the Register;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this Security is a Global Security, payment may be made pursuant to the Applicable Procedures of the Depositary as permitted in the Indenture.</w:t>
      </w:r>
    </w:p>
    <w:p>
      <w:pPr>
        <w:spacing w:after="0" w:line="1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Unless the certificate of authentication hereon has been executed by the Trustee or the Authenticating Agent on its behalf referred to on the reverse hereof by manual signature, this Security shall not be entitled to any benefit under the Indenture or be valid or obligatory for any purpose.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440" w:top="274" w:right="4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Company has caused this instrument to be duly executed.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NASDAQ, INC.</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019"/>
          </w:cols>
          <w:pgMar w:left="440" w:top="274" w:right="1440" w:bottom="1440" w:gutter="0" w:footer="0" w:header="0"/>
        </w:sectPr>
      </w:pPr>
    </w:p>
    <w:bookmarkStart w:id="79" w:name="page80"/>
    <w:bookmarkEnd w:id="79"/>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TRUSTEE’S 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of authentication:</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WELLS FARGO BANK, NATIONAL ASSOCIATION, as</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880"/>
          </w:cols>
          <w:pgMar w:left="440" w:top="274" w:right="57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1.650% SENIOR NOTES DUE 2031]</w:t>
      </w:r>
    </w:p>
    <w:p>
      <w:pPr>
        <w:spacing w:after="0" w:line="2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Security is one of a duly authorized issue of securities of the Company (herein called the “</w:t>
      </w:r>
      <w:r>
        <w:rPr>
          <w:rFonts w:ascii="Arial" w:cs="Arial" w:eastAsia="Arial" w:hAnsi="Arial"/>
          <w:sz w:val="18"/>
          <w:szCs w:val="18"/>
          <w:b w:val="1"/>
          <w:bCs w:val="1"/>
          <w:color w:val="auto"/>
        </w:rPr>
        <w:t>Securities</w:t>
      </w:r>
      <w:r>
        <w:rPr>
          <w:rFonts w:ascii="Arial" w:cs="Arial" w:eastAsia="Arial" w:hAnsi="Arial"/>
          <w:sz w:val="18"/>
          <w:szCs w:val="18"/>
          <w:color w:val="auto"/>
        </w:rPr>
        <w:t>”), of the series hereinafter specified, issued and to be issued in one or more series under an Indenture, dated as of June 7, 2013 (the “</w:t>
      </w:r>
      <w:r>
        <w:rPr>
          <w:rFonts w:ascii="Arial" w:cs="Arial" w:eastAsia="Arial" w:hAnsi="Arial"/>
          <w:sz w:val="18"/>
          <w:szCs w:val="18"/>
          <w:b w:val="1"/>
          <w:bCs w:val="1"/>
          <w:color w:val="auto"/>
        </w:rPr>
        <w:t>Original Indenture</w:t>
      </w:r>
      <w:r>
        <w:rPr>
          <w:rFonts w:ascii="Arial" w:cs="Arial" w:eastAsia="Arial" w:hAnsi="Arial"/>
          <w:sz w:val="18"/>
          <w:szCs w:val="18"/>
          <w:color w:val="auto"/>
        </w:rPr>
        <w:t>”), as supplemented by the Tenth Supplemental Indenture, dated as of December 21, 2020 (the “</w:t>
      </w:r>
      <w:r>
        <w:rPr>
          <w:rFonts w:ascii="Arial" w:cs="Arial" w:eastAsia="Arial" w:hAnsi="Arial"/>
          <w:sz w:val="18"/>
          <w:szCs w:val="18"/>
          <w:b w:val="1"/>
          <w:bCs w:val="1"/>
          <w:color w:val="auto"/>
        </w:rPr>
        <w:t>Tenth Supplemental Indenture</w:t>
      </w:r>
      <w:r>
        <w:rPr>
          <w:rFonts w:ascii="Arial" w:cs="Arial" w:eastAsia="Arial" w:hAnsi="Arial"/>
          <w:sz w:val="18"/>
          <w:szCs w:val="18"/>
          <w:color w:val="auto"/>
        </w:rPr>
        <w:t>” and as so supplemented,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Wells Fargo Bank, National Association, as Trustee (herein called the “</w:t>
      </w:r>
      <w:r>
        <w:rPr>
          <w:rFonts w:ascii="Arial" w:cs="Arial" w:eastAsia="Arial" w:hAnsi="Arial"/>
          <w:sz w:val="18"/>
          <w:szCs w:val="18"/>
          <w:b w:val="1"/>
          <w:bCs w:val="1"/>
          <w:color w:val="auto"/>
        </w:rPr>
        <w:t>Trustee</w:t>
      </w:r>
      <w:r>
        <w:rPr>
          <w:rFonts w:ascii="Arial" w:cs="Arial" w:eastAsia="Arial" w:hAnsi="Arial"/>
          <w:sz w:val="18"/>
          <w:szCs w:val="18"/>
          <w:color w:val="auto"/>
        </w:rPr>
        <w:t xml:space="preserve">”, which term includes any successor trustee under the Indenture), paying agent, registrar and transfer agent, and reference is hereby made to the Indenture for a statement of the respective rights, limitations of rights, duties and immunities thereunder of the Company, the Trustee and the Holders of the Securities and of the terms upon which this Security are, and are to be, authenticated and delivered. This Security is one of the series designated on the face hereof initially limited in aggregate principal amount to $650,000,000,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may, without the consent of any Holder, at any time and from time to time increase the initial principal amount.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of this series are subject to redemption as provided in Sections 4.1, 4.2, 4.3 and 4.4 of the Tenth Supplemental Indenture.</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Indenture contains provisions for defeasance at any time of the entire indebtedness of this Security and certain restrictive covenants and Events of Default with respect to this Security, in each case upon compliance with certain conditions set forth in the Indenture.</w:t>
      </w:r>
    </w:p>
    <w:p>
      <w:pPr>
        <w:spacing w:after="0" w:line="1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an Event of Default with respect to the Securities of this series shall occur and be continuing, the unpaid principal of the Securities of this series may be declared due and payable in the manner and with the effect provided in the Indenture.</w:t>
      </w:r>
    </w:p>
    <w:p>
      <w:pPr>
        <w:spacing w:after="0" w:line="17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(i) permitting the Holders of not less than a majority in principal amount of the Securities of any series at the time Outstanding, on behalf of the Holders of all Securities of such series, to waive compliance by the Company with certain provisions of the Indenture with respect to such series and (ii) permitting the Holders of a majority in principal amount of the Securities at the time Outstanding of any series to be affected under the Indenture (with each such series considered separately for this purpose), on behalf of the Holders of all Securities of such series, to waive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80"/>
          </w:cols>
          <w:pgMar w:left="440" w:top="274" w:right="479" w:bottom="1440" w:gutter="0" w:footer="0" w:header="0"/>
        </w:sectPr>
      </w:pPr>
    </w:p>
    <w:bookmarkStart w:id="81" w:name="page82"/>
    <w:bookmarkEnd w:id="81"/>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reasonably satisfactory,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provided in the Indenture and subject to certain limitations therein set forth, the transfer of this Security is registrable in the Register, upon surrender of this Security for registration of transfer at the Registrar, duly endorsed by, or accompanied by a written instrument of transfer in form satisfactory to the Company and the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Securities of this series are issuable only in registered form without coupons in minimum denominations of $2,000 and integral multiples of $1,000 in excess thereof. A Holder who, as a result of trading or otherwise, holds a principal amount of the Securities that is less than the minimum denomination of the Securities is required to purchase an additional principal amount of the Securities such that its holdings of the Securities amounts to the minimum specified denomination. As provided in the Indenture and subject to certain limitations therein set forth, the Securities of this series are exchangeable for a like aggregate principal amount of the Securities of this series of a different authorized denomination, as requested by the Holder surrendering the same.</w:t>
      </w:r>
    </w:p>
    <w:p>
      <w:pPr>
        <w:spacing w:after="0" w:line="1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00"/>
          </w:cols>
          <w:pgMar w:left="440" w:top="274" w:right="459" w:bottom="1440" w:gutter="0" w:footer="0" w:header="0"/>
        </w:sectPr>
      </w:pPr>
    </w:p>
    <w:bookmarkStart w:id="82" w:name="page83"/>
    <w:bookmarkEnd w:id="82"/>
    <w:p>
      <w:pPr>
        <w:ind w:right="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Security is a Global Security and is subject to the provisions of the Indenture relating to Global Securities, including the limitations in Section 3.06 of the Original Indenture and Section 2.8 of the Tenth Supplemental Indenture on transfers and exchanges of Global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Interest on the principal balance of the Securities of this series shall be calculated on the basis of a 360-day year of twelve 30-day months.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any Interest Payment Date, Redemption Date or Maturity falls on a day that is not a Business Day, then the relevant payment may be made on the next succeeding Business Day and no interest will accrue because of such delayed payment.</w:t>
      </w:r>
    </w:p>
    <w:p>
      <w:pPr>
        <w:spacing w:after="0" w:line="27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THE SECURITIES OF THIS SERIES SHALL BE GOVERNED BY AND CONSTRUED IN ACCORDANCE WITH THE LAWS OF THE STATE OF NEW YORK.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but not defined in this Security shall have the meanings assigned to them in the Indenture.</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00"/>
          </w:cols>
          <w:pgMar w:left="440" w:top="274" w:right="45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4.4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w:t>
      </w:r>
      <w:r>
        <w:rPr>
          <w:rFonts w:ascii="Arial" w:cs="Arial" w:eastAsia="Arial" w:hAnsi="Arial"/>
          <w:sz w:val="14"/>
          <w:szCs w:val="14"/>
          <w:b w:val="1"/>
          <w:bCs w:val="1"/>
          <w:i w:val="1"/>
          <w:iCs w:val="1"/>
          <w:color w:val="auto"/>
        </w:rPr>
        <w:t>XECUTION</w:t>
      </w:r>
      <w:r>
        <w:rPr>
          <w:rFonts w:ascii="Arial" w:cs="Arial" w:eastAsia="Arial" w:hAnsi="Arial"/>
          <w:sz w:val="18"/>
          <w:szCs w:val="18"/>
          <w:b w:val="1"/>
          <w:bCs w:val="1"/>
          <w:i w:val="1"/>
          <w:iCs w:val="1"/>
          <w:color w:val="auto"/>
        </w:rPr>
        <w:t xml:space="preserve"> V</w:t>
      </w:r>
      <w:r>
        <w:rPr>
          <w:rFonts w:ascii="Arial" w:cs="Arial" w:eastAsia="Arial" w:hAnsi="Arial"/>
          <w:sz w:val="14"/>
          <w:szCs w:val="14"/>
          <w:b w:val="1"/>
          <w:bCs w:val="1"/>
          <w:i w:val="1"/>
          <w:iCs w:val="1"/>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340360</wp:posOffset>
            </wp:positionV>
            <wp:extent cx="6995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NASDAQ,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6"/>
          <w:szCs w:val="16"/>
          <w:b w:val="1"/>
          <w:bCs w:val="1"/>
          <w:color w:val="auto"/>
        </w:rPr>
        <w:t>Eleventh Supplemental Indenture</w:t>
      </w:r>
    </w:p>
    <w:p>
      <w:pPr>
        <w:spacing w:after="0" w:line="50"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 December 21, 2020</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2.500% Senior Notes due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WELLS FARGO BANK,</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NATIONAL ASSOCIATION</w:t>
      </w:r>
      <w:r>
        <w:rPr>
          <w:rFonts w:ascii="Arial" w:cs="Arial" w:eastAsia="Arial" w:hAnsi="Arial"/>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84" w:name="page85"/>
    <w:bookmarkEnd w:id="84"/>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ELEVENTH SUPPLEMENTAL INDENTURE, dated as of December 21, 2020 (herein called the “</w:t>
      </w:r>
      <w:r>
        <w:rPr>
          <w:rFonts w:ascii="Arial" w:cs="Arial" w:eastAsia="Arial" w:hAnsi="Arial"/>
          <w:sz w:val="18"/>
          <w:szCs w:val="18"/>
          <w:b w:val="1"/>
          <w:bCs w:val="1"/>
          <w:color w:val="auto"/>
        </w:rPr>
        <w:t>Eleventh Supplemental Indenture</w:t>
      </w:r>
      <w:r>
        <w:rPr>
          <w:rFonts w:ascii="Arial" w:cs="Arial" w:eastAsia="Arial" w:hAnsi="Arial"/>
          <w:sz w:val="18"/>
          <w:szCs w:val="18"/>
          <w:color w:val="auto"/>
        </w:rPr>
        <w:t>”), between Nasdaq, Inc. (formerly The NASDAQ OMX Group, Inc.), a corporation duly organized and existing under the laws of the State of Delaware (hereinafter called the “</w:t>
      </w:r>
      <w:r>
        <w:rPr>
          <w:rFonts w:ascii="Arial" w:cs="Arial" w:eastAsia="Arial" w:hAnsi="Arial"/>
          <w:sz w:val="18"/>
          <w:szCs w:val="18"/>
          <w:b w:val="1"/>
          <w:bCs w:val="1"/>
          <w:color w:val="auto"/>
        </w:rPr>
        <w:t>Company</w:t>
      </w:r>
      <w:r>
        <w:rPr>
          <w:rFonts w:ascii="Arial" w:cs="Arial" w:eastAsia="Arial" w:hAnsi="Arial"/>
          <w:sz w:val="18"/>
          <w:szCs w:val="18"/>
          <w:color w:val="auto"/>
        </w:rPr>
        <w:t>”), and Wells Fargo Bank, National Association, a national banking association, as Trustee under the Original Indenture referred to below (hereinafter called the “</w:t>
      </w:r>
      <w:r>
        <w:rPr>
          <w:rFonts w:ascii="Arial" w:cs="Arial" w:eastAsia="Arial" w:hAnsi="Arial"/>
          <w:sz w:val="18"/>
          <w:szCs w:val="18"/>
          <w:b w:val="1"/>
          <w:bCs w:val="1"/>
          <w:color w:val="auto"/>
        </w:rPr>
        <w:t>Trustee</w:t>
      </w:r>
      <w:r>
        <w:rPr>
          <w:rFonts w:ascii="Arial" w:cs="Arial" w:eastAsia="Arial" w:hAnsi="Arial"/>
          <w:sz w:val="18"/>
          <w:szCs w:val="18"/>
          <w:color w:val="auto"/>
        </w:rPr>
        <w:t>”), as paying agent (in such capacity, the “</w:t>
      </w:r>
      <w:r>
        <w:rPr>
          <w:rFonts w:ascii="Arial" w:cs="Arial" w:eastAsia="Arial" w:hAnsi="Arial"/>
          <w:sz w:val="18"/>
          <w:szCs w:val="18"/>
          <w:b w:val="1"/>
          <w:bCs w:val="1"/>
          <w:color w:val="auto"/>
        </w:rPr>
        <w:t>Paying Agent</w:t>
      </w:r>
      <w:r>
        <w:rPr>
          <w:rFonts w:ascii="Arial" w:cs="Arial" w:eastAsia="Arial" w:hAnsi="Arial"/>
          <w:sz w:val="18"/>
          <w:szCs w:val="18"/>
          <w:color w:val="auto"/>
        </w:rPr>
        <w:t>”) and as registrar and transfer agent (until such time as a successor may be appointed by the Company) (in such capacity, the “</w:t>
      </w:r>
      <w:r>
        <w:rPr>
          <w:rFonts w:ascii="Arial" w:cs="Arial" w:eastAsia="Arial" w:hAnsi="Arial"/>
          <w:sz w:val="18"/>
          <w:szCs w:val="18"/>
          <w:b w:val="1"/>
          <w:bCs w:val="1"/>
          <w:color w:val="auto"/>
        </w:rPr>
        <w:t>Transfer Agent</w:t>
      </w:r>
      <w:r>
        <w:rPr>
          <w:rFonts w:ascii="Arial" w:cs="Arial" w:eastAsia="Arial" w:hAnsi="Arial"/>
          <w:sz w:val="18"/>
          <w:szCs w:val="18"/>
          <w:color w:val="auto"/>
        </w:rPr>
        <w:t>” and, together with the Paying Agent, the “</w:t>
      </w:r>
      <w:r>
        <w:rPr>
          <w:rFonts w:ascii="Arial" w:cs="Arial" w:eastAsia="Arial" w:hAnsi="Arial"/>
          <w:sz w:val="18"/>
          <w:szCs w:val="18"/>
          <w:b w:val="1"/>
          <w:bCs w:val="1"/>
          <w:color w:val="auto"/>
        </w:rPr>
        <w:t>Agents</w:t>
      </w:r>
      <w:r>
        <w:rPr>
          <w:rFonts w:ascii="Arial" w:cs="Arial" w:eastAsia="Arial" w:hAnsi="Arial"/>
          <w:sz w:val="18"/>
          <w:szCs w:val="18"/>
          <w:color w:val="auto"/>
        </w:rPr>
        <w:t>” and each, an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WHEREAS, the Company has heretofore executed and delivered to the Trustee an indenture dated as of June 7, 2013 (herein called the “</w:t>
      </w:r>
      <w:r>
        <w:rPr>
          <w:rFonts w:ascii="Arial" w:cs="Arial" w:eastAsia="Arial" w:hAnsi="Arial"/>
          <w:sz w:val="18"/>
          <w:szCs w:val="18"/>
          <w:b w:val="1"/>
          <w:bCs w:val="1"/>
          <w:color w:val="auto"/>
        </w:rPr>
        <w:t>Original</w:t>
      </w:r>
      <w:r>
        <w:rPr>
          <w:rFonts w:ascii="Arial" w:cs="Arial" w:eastAsia="Arial" w:hAnsi="Arial"/>
          <w:sz w:val="18"/>
          <w:szCs w:val="18"/>
          <w:color w:val="auto"/>
        </w:rPr>
        <w:t xml:space="preserve"> </w:t>
      </w:r>
      <w:r>
        <w:rPr>
          <w:rFonts w:ascii="Arial" w:cs="Arial" w:eastAsia="Arial" w:hAnsi="Arial"/>
          <w:sz w:val="18"/>
          <w:szCs w:val="18"/>
          <w:b w:val="1"/>
          <w:bCs w:val="1"/>
          <w:color w:val="auto"/>
        </w:rPr>
        <w:t>Indenture</w:t>
      </w:r>
      <w:r>
        <w:rPr>
          <w:rFonts w:ascii="Arial" w:cs="Arial" w:eastAsia="Arial" w:hAnsi="Arial"/>
          <w:sz w:val="18"/>
          <w:szCs w:val="18"/>
          <w:color w:val="auto"/>
        </w:rPr>
        <w:t>” and, together with the Eleventh Supplemental Indenture, the “</w:t>
      </w:r>
      <w:r>
        <w:rPr>
          <w:rFonts w:ascii="Arial" w:cs="Arial" w:eastAsia="Arial" w:hAnsi="Arial"/>
          <w:sz w:val="18"/>
          <w:szCs w:val="18"/>
          <w:b w:val="1"/>
          <w:bCs w:val="1"/>
          <w:color w:val="auto"/>
        </w:rPr>
        <w:t>Indenture</w:t>
      </w:r>
      <w:r>
        <w:rPr>
          <w:rFonts w:ascii="Arial" w:cs="Arial" w:eastAsia="Arial" w:hAnsi="Arial"/>
          <w:sz w:val="18"/>
          <w:szCs w:val="18"/>
          <w:color w:val="auto"/>
        </w:rPr>
        <w:t>”), to provide for the issuance from time to time in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series of its debentures, notes, bonds or other evidences of indebtedness (herein called the “</w:t>
      </w:r>
      <w:r>
        <w:rPr>
          <w:rFonts w:ascii="Arial" w:cs="Arial" w:eastAsia="Arial" w:hAnsi="Arial"/>
          <w:sz w:val="18"/>
          <w:szCs w:val="18"/>
          <w:b w:val="1"/>
          <w:bCs w:val="1"/>
          <w:color w:val="auto"/>
        </w:rPr>
        <w:t>Securities</w:t>
      </w:r>
      <w:r>
        <w:rPr>
          <w:rFonts w:ascii="Arial" w:cs="Arial" w:eastAsia="Arial" w:hAnsi="Arial"/>
          <w:sz w:val="18"/>
          <w:szCs w:val="18"/>
          <w:color w:val="auto"/>
        </w:rPr>
        <w:t>”), the form and terms of which are to be established as set forth in Sections 2.01 and 3.01 of the Original Indenture;</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WHEREAS, Section 14.01(p) of the Original Indenture provides, among other things, that the Company and the Trustee may enter into indentures supplemental to the Original Indenture to, among other things, establish the form and terms of the Securities of any series as permitted in Section 3.01 of the Original Indenture;</w:t>
      </w:r>
    </w:p>
    <w:p>
      <w:pPr>
        <w:spacing w:after="0" w:line="184"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WHEREAS, the Company desires to create one series of the Securities to be designated as its 2.500% Senior Notes due 2040 in an initial aggregate principal amount of $650,000,000 (the “</w:t>
      </w:r>
      <w:r>
        <w:rPr>
          <w:rFonts w:ascii="Arial" w:cs="Arial" w:eastAsia="Arial" w:hAnsi="Arial"/>
          <w:sz w:val="17"/>
          <w:szCs w:val="17"/>
          <w:b w:val="1"/>
          <w:bCs w:val="1"/>
          <w:color w:val="auto"/>
        </w:rPr>
        <w:t>Senior Notes</w:t>
      </w:r>
      <w:r>
        <w:rPr>
          <w:rFonts w:ascii="Arial" w:cs="Arial" w:eastAsia="Arial" w:hAnsi="Arial"/>
          <w:sz w:val="17"/>
          <w:szCs w:val="17"/>
          <w:color w:val="auto"/>
        </w:rPr>
        <w:t>”) and all action on the part of the Company necessary to authorize the issuance of the Senior Notes under the Original Indenture and this Eleventh Supplemental Indenture has been duly taken;</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WHEREAS, the Company desires to issue the Senior Notes in accordance with Section 2.4 of this Eleventh Supplemental Indenture and treat the Senior Notes as a single series of Securities for all purposes, as amended or supplemented from time to time in accordance with the terms of this Eleventh Supplemental Indenture and the Original Indenture; and</w:t>
      </w:r>
    </w:p>
    <w:p>
      <w:pPr>
        <w:spacing w:after="0" w:line="18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WHEREAS, all acts and things necessary to make the Senior Notes, when executed by the Company and completed, authenticated and delivered by the Trustee as provided in the Original Indenture and this Eleventh Supplemental Indenture, the valid and binding obligations of the Company and to constitute a valid and binding supplemental indenture and agreement according to its terms, have been done and performed.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THIS ELEVENTH SUPPLEMENTAL INDENTURE WITNESSETH:</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That in consideration of the premises and of the acceptance and purchase of the Senior Notes by the Holders thereof and of the acceptance of this trust by the Trustee, the Company covenants and agrees with the Trustee, for the equal benefit of Holders of the Senior Notes, as follows:</w:t>
      </w:r>
    </w:p>
    <w:p>
      <w:pPr>
        <w:sectPr>
          <w:pgSz w:w="11900" w:h="16838" w:orient="portrait"/>
          <w:cols w:equalWidth="0" w:num="1">
            <w:col w:w="11000"/>
          </w:cols>
          <w:pgMar w:left="440" w:top="270" w:right="4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Except to the extent such terms are otherwise defined in this Eleventh Supplemental Indenture or the context clearly requires otherwise, all terms used in this Eleventh Supplemental Indenture which are defined in the Original Indenture or the form of Senior Note, with respect to the Senior Notes,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have the meanings assigned to them therein.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used in this Eleventh Supplemental Indenture, the following terms have the following meanings: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Amounts</w:t>
      </w:r>
      <w:r>
        <w:rPr>
          <w:rFonts w:ascii="Arial" w:cs="Arial" w:eastAsia="Arial" w:hAnsi="Arial"/>
          <w:sz w:val="18"/>
          <w:szCs w:val="18"/>
          <w:color w:val="auto"/>
        </w:rPr>
        <w:t>” has the meaning given to such term in Section 3.1(a)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Procedures</w:t>
      </w:r>
      <w:r>
        <w:rPr>
          <w:rFonts w:ascii="Arial" w:cs="Arial" w:eastAsia="Arial" w:hAnsi="Arial"/>
          <w:sz w:val="18"/>
          <w:szCs w:val="18"/>
          <w:color w:val="auto"/>
        </w:rPr>
        <w:t>” has the meaning given to such term in Section 2.8(a) hereof.</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Attributable Debt</w:t>
      </w:r>
      <w:r>
        <w:rPr>
          <w:rFonts w:ascii="Arial" w:cs="Arial" w:eastAsia="Arial" w:hAnsi="Arial"/>
          <w:sz w:val="17"/>
          <w:szCs w:val="17"/>
          <w:color w:val="auto"/>
        </w:rPr>
        <w:t>” with regard to a Sale and Lease-Back Transaction with respect to any Principal Property means, at the time of determination, the present value of the total net amount of rent required to be paid under such lease during the remaining term thereof (including any period for which such lease has been extended), discounted at the rate of interest set forth or implicit in the terms of such lease (or, if not practicable to determine such rate, the weighted average interest rate per annum borne by the securities of all series then Outstanding under the Indenture) compounded semi-annually. In the case of any lease which is terminable by the lessee upon the payment of a penalty, such net amount shall be the lesser of (x) the net amount determined assuming termination upon the first date such lease may be terminated (in which case the net amount shall also include the amount of the penalty, but shall not include any rent that would be required to be paid under such lease subsequent to the first date upon which it may be so terminated) or (y) the net amount determined assuming no such termination.</w:t>
      </w:r>
    </w:p>
    <w:p>
      <w:pPr>
        <w:spacing w:after="0" w:line="17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Laws</w:t>
      </w:r>
      <w:r>
        <w:rPr>
          <w:rFonts w:ascii="Arial" w:cs="Arial" w:eastAsia="Arial" w:hAnsi="Arial"/>
          <w:sz w:val="18"/>
          <w:szCs w:val="18"/>
          <w:color w:val="auto"/>
        </w:rPr>
        <w:t>” means Title 11, U.S. Code or any similar federal or state law for the relief of debtors (or any law involving equivalent concepts applicable outside the United States).</w:t>
      </w:r>
    </w:p>
    <w:p>
      <w:pPr>
        <w:spacing w:after="0" w:line="16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Below Investment Grade Rating Event</w:t>
      </w:r>
      <w:r>
        <w:rPr>
          <w:rFonts w:ascii="Arial" w:cs="Arial" w:eastAsia="Arial" w:hAnsi="Arial"/>
          <w:sz w:val="17"/>
          <w:szCs w:val="17"/>
          <w:color w:val="auto"/>
        </w:rPr>
        <w:t xml:space="preserve">” means the ratings of the Senior Notes are decreased from an Investment Grade Rating by each of the Rating Agencies to below an Investment Grade Rating by each of the Rating Agencies on any date during the period commencing upon the first public notice of the occurrence of a Change of Control or the Company’s intention to effect a Change of Control and ending 60 days following public notice of the occurrence of the related Change of Control (which 60-day period shall be extended so long as the rating of the Senior Notes is under publicly announced consideration for possible downgrade by any of the Rating Agencies);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Triggering Event” hereunder) if the Rating Agencies making the reduction in rating to which this definition would otherwise apply do not announce or publicly confirm or inform the Holders of the Senior Notes in writing at their request that the reduction was the result, in whole or in part, of any event or circumstance comprising or arising as a result of, or in respect of, the applicable Change of Control (whether or not the applicable Change of Control shall have occurred at the time of the Below Investment Grade Rating Event).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86" w:name="page87"/>
    <w:bookmarkEnd w:id="86"/>
    <w:p>
      <w:pPr>
        <w:ind w:right="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except a Saturday, a Sunday or a day on which banking institutions in the applicable place of payment are authorized or required by law, regulation or executive order to close.</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the occurrence of any of the following: (a) the direct or indirect sale, transfer, conveyance or other disposition (other than by way of merger or consolidation), in one or a series of related transactions, of all or substantially all of the assets of the Company and its Subsidiaries taken as a whole to any Person or group of related Persons for purposes of Section 13(d) of the Exchange Act (a “</w:t>
      </w:r>
      <w:r>
        <w:rPr>
          <w:rFonts w:ascii="Arial" w:cs="Arial" w:eastAsia="Arial" w:hAnsi="Arial"/>
          <w:sz w:val="17"/>
          <w:szCs w:val="17"/>
          <w:b w:val="1"/>
          <w:bCs w:val="1"/>
          <w:color w:val="auto"/>
        </w:rPr>
        <w:t>Group</w:t>
      </w:r>
      <w:r>
        <w:rPr>
          <w:rFonts w:ascii="Arial" w:cs="Arial" w:eastAsia="Arial" w:hAnsi="Arial"/>
          <w:sz w:val="17"/>
          <w:szCs w:val="17"/>
          <w:color w:val="auto"/>
        </w:rPr>
        <w:t>”) other than the Company or one of its Subsidiaries; (b) the approval by the holders of the Company’s common stock of any plan or proposal for the Company’s liquidation or dissolution; (c) the consummation of any transaction (including, without limitation, any merger or consolidation) the result of which is that any Person or Group becomes the beneficial owner, directly or indirectly, of more than 50% of the then outstanding number of shares of the Company’s Voting Stock; or (d) the first day on which a majority of the members of the Board of Directors are not Continuing Directors. Notwithstanding the foregoing, a transaction will not be deemed to involve a Change of Control if (1) the Company becomes a direct or indirect wholly owned Subsidiary of a holding company and (2)(A) the direct or indirect holders of the Voting Stock of such holding company immediately following that transaction are substantially the same as the holders of the Company’s Voting Stock immediately prior to that transaction or (B) immediately following that transaction no Person or Group (other than a holding company satisfying the requirements of this sentence) is the beneficial owner, directly or indirectly, of more than 50% of the Voting Stock of such holding company.</w:t>
      </w:r>
    </w:p>
    <w:p>
      <w:pPr>
        <w:spacing w:after="0" w:line="17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 Triggering Event</w:t>
      </w:r>
      <w:r>
        <w:rPr>
          <w:rFonts w:ascii="Arial" w:cs="Arial" w:eastAsia="Arial" w:hAnsi="Arial"/>
          <w:sz w:val="18"/>
          <w:szCs w:val="18"/>
          <w:color w:val="auto"/>
        </w:rPr>
        <w:t>” means the occurrence of both a Change of Control and a Below Investment Grade Rating Event occurring in respect of that Change of Control.</w:t>
      </w:r>
    </w:p>
    <w:p>
      <w:pPr>
        <w:spacing w:after="0" w:line="16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that United States Treasury security selected by the Quotation Agent as having a maturity comparable to the remaining term of the Senior Notes to be redeemed (assuming the Senior Notes matured on the Par Call Date) that would be utilized, at the time of selection and in accordance with customary financial practice, in pricing new issues of corporate notes of comparable maturity to the remaining term of the Senior Notes (assuming the Senior Notes matured on the Par Call Date).</w:t>
      </w:r>
    </w:p>
    <w:p>
      <w:pPr>
        <w:spacing w:after="0" w:line="180"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(a) the average of four Reference Treasury Dealer Quotations for such Redemption Date, after excluding the highest and lowest such Reference Treasury Dealer Quotations or (b) if the Quotation Agent obtains fewer than four such Reference Treasury Dealer Quotations, the average of all such quotations.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87" w:name="page88"/>
    <w:bookmarkEnd w:id="87"/>
    <w:p>
      <w:pPr>
        <w:ind w:left="4" w:right="100"/>
        <w:spacing w:after="0" w:line="31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5"/>
          <w:szCs w:val="15"/>
          <w:b w:val="1"/>
          <w:bCs w:val="1"/>
          <w:color w:val="auto"/>
        </w:rPr>
        <w:t>Consolidated Net Tangible Assets</w:t>
      </w:r>
      <w:r>
        <w:rPr>
          <w:rFonts w:ascii="Arial" w:cs="Arial" w:eastAsia="Arial" w:hAnsi="Arial"/>
          <w:sz w:val="15"/>
          <w:szCs w:val="15"/>
          <w:color w:val="auto"/>
        </w:rPr>
        <w:t>” means, at any date, the aggregate amount of assets (less applicable reserves) of the Company and its Subsidiaries after deducting therefrom (a) all goodwill, trade names, trademarks, patents, unamortized debt discount and expense and other like intangibles and</w:t>
      </w:r>
    </w:p>
    <w:p>
      <w:pPr>
        <w:ind w:left="4" w:right="80" w:hanging="4"/>
        <w:spacing w:after="0" w:line="253" w:lineRule="auto"/>
        <w:tabs>
          <w:tab w:leader="none" w:pos="259"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current liabilities (excluding any current liability for money borrowed having a maturity of less than 12 months but by its terms is renewable or extendible beyond 12 months from such date at the option of the borrower), all as reflected in the Company’s most recent consolidated balance sheet as at the end of its fiscal quarter ending not more than 135 days prior to such date, prepared in accordance with United States generally accepted accounting principles.</w:t>
      </w:r>
    </w:p>
    <w:p>
      <w:pPr>
        <w:spacing w:after="0" w:line="189" w:lineRule="exact"/>
        <w:rPr>
          <w:sz w:val="20"/>
          <w:szCs w:val="20"/>
          <w:color w:val="auto"/>
        </w:rPr>
      </w:pPr>
    </w:p>
    <w:p>
      <w:pPr>
        <w:ind w:left="4"/>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Continuing Directors</w:t>
      </w:r>
      <w:r>
        <w:rPr>
          <w:rFonts w:ascii="Arial" w:cs="Arial" w:eastAsia="Arial" w:hAnsi="Arial"/>
          <w:sz w:val="16"/>
          <w:szCs w:val="16"/>
          <w:color w:val="auto"/>
        </w:rPr>
        <w:t>” means, as of any date of determination, any member of the Board of Directors who (a) was a member of the Board of Directors on the Issue Date or (b) was nominated or approved for election, elected or appointed to the Board of Directors with the approval of a majority of the Continuing Directors who were members of the Board of Directors at the time of such nomination, approval, election or appointment (either by a specific vote or by approval of the proxy statement issued by the Company in which such member was named as a nominee for election as a director).</w:t>
      </w:r>
    </w:p>
    <w:p>
      <w:pPr>
        <w:spacing w:after="0" w:line="151" w:lineRule="exact"/>
        <w:rPr>
          <w:sz w:val="20"/>
          <w:szCs w:val="20"/>
          <w:color w:val="auto"/>
        </w:rPr>
      </w:pPr>
    </w:p>
    <w:p>
      <w:pPr>
        <w:ind w:left="4" w:right="1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Definitive Securities</w:t>
      </w:r>
      <w:r>
        <w:rPr>
          <w:rFonts w:ascii="Arial" w:cs="Arial" w:eastAsia="Arial" w:hAnsi="Arial"/>
          <w:sz w:val="17"/>
          <w:szCs w:val="17"/>
          <w:color w:val="auto"/>
        </w:rPr>
        <w:t xml:space="preserve">” means certificated Securities registered in the name of the Holder thereof and issued in accordance with Section 2.3(b) hereof,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except that each such Security shall not bear the Global Security Legend.</w:t>
      </w:r>
    </w:p>
    <w:p>
      <w:pPr>
        <w:spacing w:after="0" w:line="140" w:lineRule="exact"/>
        <w:rPr>
          <w:sz w:val="20"/>
          <w:szCs w:val="20"/>
          <w:color w:val="auto"/>
        </w:rPr>
      </w:pPr>
    </w:p>
    <w:p>
      <w:pPr>
        <w:ind w:left="4"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notwithstanding Section 3.03(h) of the Original Indenture, with respect to Securities issuable or issued in whole or in part in the form of one more Global Securities, DTC, together with any Person succeeding thereto by merger, consolidation or acquisition of all or substantially all of its assets, including substantially all of its securities payment and transfer operations.</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DTC</w:t>
      </w:r>
      <w:r>
        <w:rPr>
          <w:rFonts w:ascii="Arial" w:cs="Arial" w:eastAsia="Arial" w:hAnsi="Arial"/>
          <w:sz w:val="16"/>
          <w:szCs w:val="16"/>
          <w:color w:val="auto"/>
        </w:rPr>
        <w:t>” means The Depository Trust Company, a New York corporation, having a principal office at 55 Water Street, New York, New York 10041-0099.</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Termination Date</w:t>
      </w:r>
      <w:r>
        <w:rPr>
          <w:rFonts w:ascii="Arial" w:cs="Arial" w:eastAsia="Arial" w:hAnsi="Arial"/>
          <w:sz w:val="18"/>
          <w:szCs w:val="18"/>
          <w:color w:val="auto"/>
        </w:rPr>
        <w:t>” has the meaning given to such term in Section 4.4(a).</w:t>
      </w:r>
    </w:p>
    <w:p>
      <w:pPr>
        <w:spacing w:after="0" w:line="225" w:lineRule="exact"/>
        <w:rPr>
          <w:sz w:val="20"/>
          <w:szCs w:val="20"/>
          <w:color w:val="auto"/>
        </w:rPr>
      </w:pPr>
    </w:p>
    <w:p>
      <w:pPr>
        <w:ind w:left="4" w:right="6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Foreign Successor Issuer</w:t>
      </w:r>
      <w:r>
        <w:rPr>
          <w:rFonts w:ascii="Arial" w:cs="Arial" w:eastAsia="Arial" w:hAnsi="Arial"/>
          <w:sz w:val="16"/>
          <w:szCs w:val="16"/>
          <w:color w:val="auto"/>
        </w:rPr>
        <w:t>” means any entity that is organized in a jurisdiction other than the United States, any state thereof or the District of Columbia and becomes a successor of the Company as a result of a merger of the Company with and into such entity after the date hereof.</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 Legend</w:t>
      </w:r>
      <w:r>
        <w:rPr>
          <w:rFonts w:ascii="Arial" w:cs="Arial" w:eastAsia="Arial" w:hAnsi="Arial"/>
          <w:sz w:val="18"/>
          <w:szCs w:val="18"/>
          <w:color w:val="auto"/>
        </w:rPr>
        <w:t>” means the legend set forth in Section 3.03(g) of the Original Indenture.</w:t>
      </w:r>
    </w:p>
    <w:p>
      <w:pPr>
        <w:spacing w:after="0" w:line="225" w:lineRule="exact"/>
        <w:rPr>
          <w:sz w:val="20"/>
          <w:szCs w:val="20"/>
          <w:color w:val="auto"/>
        </w:rPr>
      </w:pPr>
    </w:p>
    <w:p>
      <w:pPr>
        <w:ind w:left="4"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any indebtedness (whether being principal, premium, interest or other amounts) for or in respect of any notes, bonds, debentures or other instruments for money borrowed or any borrowed money or any liability under or in respect of any banker’s acceptance (other than a daylight overdraft).</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0" w:right="47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Indirect Participant</w:t>
      </w:r>
      <w:r>
        <w:rPr>
          <w:rFonts w:ascii="Arial" w:cs="Arial" w:eastAsia="Arial" w:hAnsi="Arial"/>
          <w:sz w:val="18"/>
          <w:szCs w:val="18"/>
          <w:color w:val="auto"/>
        </w:rPr>
        <w:t>” means a Person who holds a beneficial interest in a Global Security through a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June 21 and December 21 of each year.</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 Grade Rating</w:t>
      </w:r>
      <w:r>
        <w:rPr>
          <w:rFonts w:ascii="Arial" w:cs="Arial" w:eastAsia="Arial" w:hAnsi="Arial"/>
          <w:sz w:val="17"/>
          <w:szCs w:val="17"/>
          <w:color w:val="auto"/>
        </w:rPr>
        <w:t>” means a rating equal to or higher than Baa3 (or the equivalent) by Moody’s and BBB- (or the equivalent) by S&amp;P or the equivalent investment grade credit rating from any additional Rating Agency or Rating Agencies selected by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Issue Date</w:t>
      </w:r>
      <w:r>
        <w:rPr>
          <w:rFonts w:ascii="Arial" w:cs="Arial" w:eastAsia="Arial" w:hAnsi="Arial"/>
          <w:sz w:val="17"/>
          <w:szCs w:val="17"/>
          <w:color w:val="auto"/>
        </w:rPr>
        <w:t>” means December 21, 2020, the date on which the Senior Notes are originally issued under this Eleventh Supplemental Indenture.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mortgage, deed of trust, hypothecation, pledge, security interest, charge or encumbrance of any kind.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Redemption Price</w:t>
      </w:r>
      <w:r>
        <w:rPr>
          <w:rFonts w:ascii="Arial" w:cs="Arial" w:eastAsia="Arial" w:hAnsi="Arial"/>
          <w:sz w:val="18"/>
          <w:szCs w:val="18"/>
          <w:color w:val="auto"/>
        </w:rPr>
        <w:t>” has the meaning given to such term in Section 4.1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 subsidiary of Moody’s Corporation, and its successors.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 Call Date</w:t>
      </w:r>
      <w:r>
        <w:rPr>
          <w:rFonts w:ascii="Arial" w:cs="Arial" w:eastAsia="Arial" w:hAnsi="Arial"/>
          <w:sz w:val="18"/>
          <w:szCs w:val="18"/>
          <w:color w:val="auto"/>
        </w:rPr>
        <w:t>” has the meaning given to such term in Section 4.1(a)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with respect to the Depositary, a Person who has an account with the Depositary.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121" w:lineRule="exact"/>
        <w:rPr>
          <w:sz w:val="20"/>
          <w:szCs w:val="20"/>
          <w:color w:val="auto"/>
        </w:rPr>
      </w:pPr>
    </w:p>
    <w:p>
      <w:pPr>
        <w:ind w:left="440" w:right="160" w:firstLine="419"/>
        <w:spacing w:after="0" w:line="342" w:lineRule="auto"/>
        <w:tabs>
          <w:tab w:leader="none" w:pos="1108" w:val="left"/>
        </w:tabs>
        <w:numPr>
          <w:ilvl w:val="0"/>
          <w:numId w:val="79"/>
        </w:numPr>
        <w:rPr>
          <w:rFonts w:ascii="Arial" w:cs="Arial" w:eastAsia="Arial" w:hAnsi="Arial"/>
          <w:sz w:val="16"/>
          <w:szCs w:val="16"/>
          <w:color w:val="auto"/>
        </w:rPr>
      </w:pPr>
      <w:r>
        <w:rPr>
          <w:rFonts w:ascii="Arial" w:cs="Arial" w:eastAsia="Arial" w:hAnsi="Arial"/>
          <w:sz w:val="16"/>
          <w:szCs w:val="16"/>
          <w:color w:val="auto"/>
        </w:rPr>
        <w:t>Liens imposed by law or any governmental authority for taxes, assessments, levies or charges that are not yet overdue by more than 60 days or are being contested in good faith (and, if necessary, by appropriate proceedings) or for commitments that have not been violated;</w:t>
      </w:r>
    </w:p>
    <w:p>
      <w:pPr>
        <w:spacing w:after="0" w:line="15" w:lineRule="exact"/>
        <w:rPr>
          <w:rFonts w:ascii="Arial" w:cs="Arial" w:eastAsia="Arial" w:hAnsi="Arial"/>
          <w:sz w:val="16"/>
          <w:szCs w:val="16"/>
          <w:color w:val="auto"/>
        </w:rPr>
      </w:pPr>
    </w:p>
    <w:p>
      <w:pPr>
        <w:ind w:left="440" w:firstLine="419"/>
        <w:spacing w:after="0" w:line="263" w:lineRule="auto"/>
        <w:tabs>
          <w:tab w:leader="none" w:pos="11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landlords’ and similar Liens imposed by law, or which arise by operation of law and which are incurred in the ordinary course of business or where the validity or amount thereof is being contested in good faith (and, if necessary, by appropriate proceedings);</w:t>
      </w:r>
    </w:p>
    <w:p>
      <w:pPr>
        <w:spacing w:after="0" w:line="75" w:lineRule="exact"/>
        <w:rPr>
          <w:rFonts w:ascii="Arial" w:cs="Arial" w:eastAsia="Arial" w:hAnsi="Arial"/>
          <w:sz w:val="18"/>
          <w:szCs w:val="18"/>
          <w:color w:val="auto"/>
        </w:rPr>
      </w:pPr>
    </w:p>
    <w:p>
      <w:pPr>
        <w:jc w:val="both"/>
        <w:ind w:left="440" w:right="20" w:firstLine="419"/>
        <w:spacing w:after="0" w:line="263" w:lineRule="auto"/>
        <w:tabs>
          <w:tab w:leader="none" w:pos="1108"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Liens incurred or pledges or deposits made in compliance with workers’ compensation, pension liabilities, unemployment insurance and other social security laws or regulations or other insurance-related obligations (including, without limitation, pledges or deposits securing liability to insurance carriers under insurance or self-insurance arrangements);</w:t>
      </w:r>
    </w:p>
    <w:p>
      <w:pPr>
        <w:spacing w:after="0" w:line="75" w:lineRule="exact"/>
        <w:rPr>
          <w:rFonts w:ascii="Arial" w:cs="Arial" w:eastAsia="Arial" w:hAnsi="Arial"/>
          <w:sz w:val="18"/>
          <w:szCs w:val="18"/>
          <w:color w:val="auto"/>
        </w:rPr>
      </w:pPr>
    </w:p>
    <w:p>
      <w:pPr>
        <w:ind w:left="440" w:right="280" w:firstLine="419"/>
        <w:spacing w:after="0" w:line="263" w:lineRule="auto"/>
        <w:tabs>
          <w:tab w:leader="none" w:pos="11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Liens incurred or pledges or deposits made to secure the performance of bids, trade contracts, tenders, leases, statutory obligations, surety, customs and appeal bonds, performance bonds, customer deposits and other obligations of a similar nature, in each case in the ordinary course of business;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0" w:right="499" w:bottom="1440" w:gutter="0" w:footer="0" w:header="0"/>
        </w:sectPr>
      </w:pPr>
    </w:p>
    <w:bookmarkStart w:id="89" w:name="page90"/>
    <w:bookmarkEnd w:id="89"/>
    <w:p>
      <w:pPr>
        <w:ind w:left="4" w:right="420" w:firstLine="419"/>
        <w:spacing w:after="0" w:line="277" w:lineRule="auto"/>
        <w:tabs>
          <w:tab w:leader="none" w:pos="671" w:val="left"/>
        </w:tabs>
        <w:numPr>
          <w:ilvl w:val="1"/>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judgment Liens in respect of judgments, decrees, orders of any court or in connection with legal proceedings or actions at law or in equity that do not constitute an Event of Default under the Indenture;</w:t>
      </w:r>
    </w:p>
    <w:p>
      <w:pPr>
        <w:spacing w:after="0" w:line="62" w:lineRule="exact"/>
        <w:rPr>
          <w:rFonts w:ascii="Arial" w:cs="Arial" w:eastAsia="Arial" w:hAnsi="Arial"/>
          <w:sz w:val="18"/>
          <w:szCs w:val="18"/>
          <w:color w:val="auto"/>
        </w:rPr>
      </w:pPr>
    </w:p>
    <w:p>
      <w:pPr>
        <w:ind w:left="4" w:firstLine="419"/>
        <w:spacing w:after="0" w:line="257" w:lineRule="auto"/>
        <w:tabs>
          <w:tab w:leader="none" w:pos="651" w:val="left"/>
        </w:tabs>
        <w:numPr>
          <w:ilvl w:val="1"/>
          <w:numId w:val="80"/>
        </w:numPr>
        <w:rPr>
          <w:rFonts w:ascii="Arial" w:cs="Arial" w:eastAsia="Arial" w:hAnsi="Arial"/>
          <w:sz w:val="18"/>
          <w:szCs w:val="18"/>
          <w:color w:val="auto"/>
        </w:rPr>
      </w:pPr>
      <w:r>
        <w:rPr>
          <w:rFonts w:ascii="Arial" w:cs="Arial" w:eastAsia="Arial" w:hAnsi="Arial"/>
          <w:sz w:val="18"/>
          <w:szCs w:val="18"/>
          <w:color w:val="auto"/>
        </w:rPr>
        <w:t>Liens arising in connection with the operations of the Company or any Subsidiary relating to clearing, depository, matched principal, regulated exchange or settlement activities, including without limitation, Liens on securities sold by the Company or any of its Subsidiaries in repurchase agreements, reverse repurchase agreements, sell-buy-back and buy-sell-back agreements, securities lending and borrowing agreements and any other similar agreement or transaction entered into in the ordinary course of clearing, depository, matched principal and settlement operations or in the management of liabilities;</w:t>
      </w:r>
    </w:p>
    <w:p>
      <w:pPr>
        <w:spacing w:after="0" w:line="79" w:lineRule="exact"/>
        <w:rPr>
          <w:rFonts w:ascii="Arial" w:cs="Arial" w:eastAsia="Arial" w:hAnsi="Arial"/>
          <w:sz w:val="18"/>
          <w:szCs w:val="18"/>
          <w:color w:val="auto"/>
        </w:rPr>
      </w:pPr>
    </w:p>
    <w:p>
      <w:pPr>
        <w:ind w:left="684" w:hanging="261"/>
        <w:spacing w:after="0"/>
        <w:tabs>
          <w:tab w:leader="none" w:pos="684"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Liens on (1) any property or asset prior to the acquisition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 may only extend to such property or asset or</w:t>
      </w:r>
    </w:p>
    <w:p>
      <w:pPr>
        <w:spacing w:after="0" w:line="46" w:lineRule="exact"/>
        <w:rPr>
          <w:rFonts w:ascii="Arial" w:cs="Arial" w:eastAsia="Arial" w:hAnsi="Arial"/>
          <w:sz w:val="16"/>
          <w:szCs w:val="16"/>
          <w:color w:val="auto"/>
        </w:rPr>
      </w:pPr>
    </w:p>
    <w:p>
      <w:pPr>
        <w:ind w:left="4" w:right="120" w:hanging="4"/>
        <w:spacing w:after="0" w:line="281" w:lineRule="auto"/>
        <w:tabs>
          <w:tab w:leader="none" w:pos="258" w:val="left"/>
        </w:tabs>
        <w:numPr>
          <w:ilvl w:val="0"/>
          <w:numId w:val="81"/>
        </w:numPr>
        <w:rPr>
          <w:rFonts w:ascii="Arial" w:cs="Arial" w:eastAsia="Arial" w:hAnsi="Arial"/>
          <w:sz w:val="16"/>
          <w:szCs w:val="16"/>
          <w:color w:val="auto"/>
        </w:rPr>
      </w:pPr>
      <w:r>
        <w:rPr>
          <w:rFonts w:ascii="Arial" w:cs="Arial" w:eastAsia="Arial" w:hAnsi="Arial"/>
          <w:sz w:val="16"/>
          <w:szCs w:val="16"/>
          <w:color w:val="auto"/>
        </w:rPr>
        <w:t>property of a Significant Subsidiary where (A) such Significant Subsidiary becomes a Subsidiary after December 7, 2020, (B)(i) the Lien exists at the time such Significant Subsidiary becomes a Subsidiary or (ii) was incurred pursuant to contractual commitments entered into before such Subsidiary became a Subsidiary, (C) the Lien was not created in contemplation of such Significant Subsidiary becoming a Subsidiary and</w:t>
      </w:r>
    </w:p>
    <w:p>
      <w:pPr>
        <w:spacing w:after="0" w:line="1" w:lineRule="exact"/>
        <w:rPr>
          <w:rFonts w:ascii="Arial" w:cs="Arial" w:eastAsia="Arial" w:hAnsi="Arial"/>
          <w:sz w:val="16"/>
          <w:szCs w:val="16"/>
          <w:color w:val="auto"/>
        </w:rPr>
      </w:pPr>
    </w:p>
    <w:p>
      <w:pPr>
        <w:ind w:left="4" w:right="500"/>
        <w:spacing w:after="0" w:line="260" w:lineRule="auto"/>
        <w:rPr>
          <w:rFonts w:ascii="Arial" w:cs="Arial" w:eastAsia="Arial" w:hAnsi="Arial"/>
          <w:sz w:val="16"/>
          <w:szCs w:val="16"/>
          <w:color w:val="auto"/>
        </w:rPr>
      </w:pPr>
      <w:r>
        <w:rPr>
          <w:rFonts w:ascii="Arial" w:cs="Arial" w:eastAsia="Arial" w:hAnsi="Arial"/>
          <w:sz w:val="18"/>
          <w:szCs w:val="18"/>
          <w:color w:val="auto"/>
        </w:rPr>
        <w:t>(D) the principal amount secured by the Lien at the time such Significant Subsidiary becomes a Subsidiary is not subsequently increased or extended to any other assets other than those owned by the entity becoming a Subsidiary;</w:t>
      </w:r>
    </w:p>
    <w:p>
      <w:pPr>
        <w:spacing w:after="0" w:line="77" w:lineRule="exact"/>
        <w:rPr>
          <w:rFonts w:ascii="Arial" w:cs="Arial" w:eastAsia="Arial" w:hAnsi="Arial"/>
          <w:sz w:val="16"/>
          <w:szCs w:val="16"/>
          <w:color w:val="auto"/>
        </w:rPr>
      </w:pPr>
    </w:p>
    <w:p>
      <w:pPr>
        <w:ind w:left="684" w:hanging="261"/>
        <w:spacing w:after="0"/>
        <w:tabs>
          <w:tab w:leader="none" w:pos="684"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Lien existing on the Issue Date;</w:t>
      </w:r>
    </w:p>
    <w:p>
      <w:pPr>
        <w:spacing w:after="0" w:line="117" w:lineRule="exact"/>
        <w:rPr>
          <w:rFonts w:ascii="Arial" w:cs="Arial" w:eastAsia="Arial" w:hAnsi="Arial"/>
          <w:sz w:val="18"/>
          <w:szCs w:val="18"/>
          <w:color w:val="auto"/>
        </w:rPr>
      </w:pPr>
    </w:p>
    <w:p>
      <w:pPr>
        <w:ind w:left="4" w:right="100" w:firstLine="419"/>
        <w:spacing w:after="0" w:line="257" w:lineRule="auto"/>
        <w:tabs>
          <w:tab w:leader="none" w:pos="641"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Liens upon fixed, capital, real and/or tangible personal property acquired after December 7, 2020 (by purchase, construction, development, improvement, capital lease, Synthetic Lease or otherwise) by the Company or any Significant Subsidiary, each of which Liens was created for the purpose of securing Indebtedness representing, or incurred to finance, refinance or refund, the cost (including the cost of construction, development or improvement) of such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Lien shall extend to or cover any property other than the property so acquired and improvements thereon;</w:t>
      </w:r>
    </w:p>
    <w:p>
      <w:pPr>
        <w:spacing w:after="0" w:line="79" w:lineRule="exact"/>
        <w:rPr>
          <w:rFonts w:ascii="Arial" w:cs="Arial" w:eastAsia="Arial" w:hAnsi="Arial"/>
          <w:sz w:val="18"/>
          <w:szCs w:val="18"/>
          <w:color w:val="auto"/>
        </w:rPr>
      </w:pPr>
    </w:p>
    <w:p>
      <w:pPr>
        <w:ind w:left="644" w:hanging="221"/>
        <w:spacing w:after="0"/>
        <w:tabs>
          <w:tab w:leader="none" w:pos="644" w:val="left"/>
        </w:tabs>
        <w:numPr>
          <w:ilvl w:val="1"/>
          <w:numId w:val="81"/>
        </w:numPr>
        <w:rPr>
          <w:rFonts w:ascii="Arial" w:cs="Arial" w:eastAsia="Arial" w:hAnsi="Arial"/>
          <w:sz w:val="18"/>
          <w:szCs w:val="18"/>
          <w:color w:val="auto"/>
        </w:rPr>
      </w:pPr>
      <w:r>
        <w:rPr>
          <w:rFonts w:ascii="Arial" w:cs="Arial" w:eastAsia="Arial" w:hAnsi="Arial"/>
          <w:sz w:val="18"/>
          <w:szCs w:val="18"/>
          <w:color w:val="auto"/>
        </w:rPr>
        <w:t>Liens in favor of the Company or any Subsidiary;</w:t>
      </w:r>
    </w:p>
    <w:p>
      <w:pPr>
        <w:spacing w:after="0" w:line="117" w:lineRule="exact"/>
        <w:rPr>
          <w:rFonts w:ascii="Arial" w:cs="Arial" w:eastAsia="Arial" w:hAnsi="Arial"/>
          <w:sz w:val="18"/>
          <w:szCs w:val="18"/>
          <w:color w:val="auto"/>
        </w:rPr>
      </w:pPr>
    </w:p>
    <w:p>
      <w:pPr>
        <w:ind w:left="684" w:hanging="261"/>
        <w:spacing w:after="0"/>
        <w:tabs>
          <w:tab w:leader="none" w:pos="684" w:val="left"/>
        </w:tabs>
        <w:numPr>
          <w:ilvl w:val="1"/>
          <w:numId w:val="81"/>
        </w:numPr>
        <w:rPr>
          <w:rFonts w:ascii="Arial" w:cs="Arial" w:eastAsia="Arial" w:hAnsi="Arial"/>
          <w:sz w:val="18"/>
          <w:szCs w:val="18"/>
          <w:color w:val="auto"/>
        </w:rPr>
      </w:pPr>
      <w:r>
        <w:rPr>
          <w:rFonts w:ascii="Arial" w:cs="Arial" w:eastAsia="Arial" w:hAnsi="Arial"/>
          <w:sz w:val="18"/>
          <w:szCs w:val="18"/>
          <w:color w:val="auto"/>
        </w:rPr>
        <w:t>Liens arising from the sale of accounts receivable for which fair equivalent value is received;</w:t>
      </w:r>
    </w:p>
    <w:p>
      <w:pPr>
        <w:spacing w:after="0" w:line="117" w:lineRule="exact"/>
        <w:rPr>
          <w:rFonts w:ascii="Arial" w:cs="Arial" w:eastAsia="Arial" w:hAnsi="Arial"/>
          <w:sz w:val="18"/>
          <w:szCs w:val="18"/>
          <w:color w:val="auto"/>
        </w:rPr>
      </w:pPr>
    </w:p>
    <w:p>
      <w:pPr>
        <w:ind w:left="4" w:right="100" w:firstLine="419"/>
        <w:spacing w:after="0" w:line="279" w:lineRule="auto"/>
        <w:tabs>
          <w:tab w:leader="none" w:pos="641" w:val="left"/>
        </w:tabs>
        <w:numPr>
          <w:ilvl w:val="1"/>
          <w:numId w:val="81"/>
        </w:numPr>
        <w:rPr>
          <w:rFonts w:ascii="Arial" w:cs="Arial" w:eastAsia="Arial" w:hAnsi="Arial"/>
          <w:sz w:val="17"/>
          <w:szCs w:val="17"/>
          <w:color w:val="auto"/>
        </w:rPr>
      </w:pPr>
      <w:r>
        <w:rPr>
          <w:rFonts w:ascii="Arial" w:cs="Arial" w:eastAsia="Arial" w:hAnsi="Arial"/>
          <w:sz w:val="17"/>
          <w:szCs w:val="17"/>
          <w:color w:val="auto"/>
        </w:rPr>
        <w:t xml:space="preserve">any extension, renewal or replacement (or successive extensions, renewals or replacements) in whole or in part, of any Liens referred to in the foregoing clauses (f), (g), (h), (i), (j) and (k);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principal amount of Indebtedness secured thereby and not otherwise authorized as a Permitted Lien shall not exceed the principal amount of Indebtedness, plus any premium or fee payable in connection with any such extension, renewal or replacement, so secured at the time of such extension, renewal or replacement;</w:t>
      </w:r>
    </w:p>
    <w:p>
      <w:pPr>
        <w:spacing w:after="0" w:line="104"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24"/>
          </w:cols>
          <w:pgMar w:left="876" w:top="274" w:right="499" w:bottom="1440" w:gutter="0" w:footer="0" w:header="0"/>
        </w:sectPr>
      </w:pPr>
    </w:p>
    <w:bookmarkStart w:id="90" w:name="page91"/>
    <w:bookmarkEnd w:id="90"/>
    <w:p>
      <w:pPr>
        <w:ind w:left="440" w:right="400" w:firstLine="419"/>
        <w:spacing w:after="0" w:line="263" w:lineRule="auto"/>
        <w:tabs>
          <w:tab w:leader="none" w:pos="1168"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securing obligations of the Company or any Subsidiary of the Company in respect of any swap agreements or other hedging arrangements entered into (1) in the ordinary course of business and for non-speculative purposes or (2) solely in order to serve clearing, depository, regulated exchange or settlement activities in respect thereof;</w:t>
      </w:r>
    </w:p>
    <w:p>
      <w:pPr>
        <w:spacing w:after="0" w:line="75" w:lineRule="exact"/>
        <w:rPr>
          <w:rFonts w:ascii="Arial" w:cs="Arial" w:eastAsia="Arial" w:hAnsi="Arial"/>
          <w:sz w:val="18"/>
          <w:szCs w:val="18"/>
          <w:color w:val="auto"/>
        </w:rPr>
      </w:pPr>
    </w:p>
    <w:p>
      <w:pPr>
        <w:ind w:left="440" w:firstLine="419"/>
        <w:spacing w:after="0" w:line="279" w:lineRule="auto"/>
        <w:tabs>
          <w:tab w:leader="none" w:pos="1118" w:val="left"/>
        </w:tabs>
        <w:numPr>
          <w:ilvl w:val="0"/>
          <w:numId w:val="82"/>
        </w:numPr>
        <w:rPr>
          <w:rFonts w:ascii="Arial" w:cs="Arial" w:eastAsia="Arial" w:hAnsi="Arial"/>
          <w:sz w:val="17"/>
          <w:szCs w:val="17"/>
          <w:color w:val="auto"/>
        </w:rPr>
      </w:pPr>
      <w:r>
        <w:rPr>
          <w:rFonts w:ascii="Arial" w:cs="Arial" w:eastAsia="Arial" w:hAnsi="Arial"/>
          <w:sz w:val="17"/>
          <w:szCs w:val="17"/>
          <w:color w:val="auto"/>
        </w:rPr>
        <w:t>easements, zoning restrictions, minor title defects, irregularities or imperfections, restrictions on use, rights of way, leases, subleases and similar charges and other similar encumbrances on real property imposed by law or arising in the ordinary course of business that do not secure any monetary obligations (other than customary maintenance requirements) and which could not reasonably be expected to have a material adverse effect on the business or financial condition of the Company and its Subsidiaries taken as a whole;</w:t>
      </w:r>
    </w:p>
    <w:p>
      <w:pPr>
        <w:spacing w:after="0" w:line="63" w:lineRule="exact"/>
        <w:rPr>
          <w:rFonts w:ascii="Arial" w:cs="Arial" w:eastAsia="Arial" w:hAnsi="Arial"/>
          <w:sz w:val="17"/>
          <w:szCs w:val="17"/>
          <w:color w:val="auto"/>
        </w:rPr>
      </w:pPr>
    </w:p>
    <w:p>
      <w:pPr>
        <w:ind w:left="440" w:right="120" w:firstLine="419"/>
        <w:spacing w:after="0" w:line="277" w:lineRule="auto"/>
        <w:tabs>
          <w:tab w:leader="none" w:pos="1118"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created in connection with any share repurchase program in favor of any broker, dealer, custodian, trustee or agent administering or effecting transactions pursuant to a share repurchase program; and</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consisting of an agreement to sell, transfer or dispose of any asset or property (to the extent such sale, transfer or disposition is not prohibited by Section 6.04 of the Original Indenture).</w:t>
      </w:r>
    </w:p>
    <w:p>
      <w:pPr>
        <w:spacing w:after="0" w:line="16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firm, limited liability company, corporation, partnership, association, joint venture, tribunal, trust, government or political subdivision or agency or instrumentality thereof, or any other entity or organization and includes a “person” as used in Section 13(d)(3) of the Exchange Act.</w:t>
      </w:r>
    </w:p>
    <w:p>
      <w:pPr>
        <w:spacing w:after="0" w:line="17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 Property</w:t>
      </w:r>
      <w:r>
        <w:rPr>
          <w:rFonts w:ascii="Arial" w:cs="Arial" w:eastAsia="Arial" w:hAnsi="Arial"/>
          <w:sz w:val="16"/>
          <w:szCs w:val="16"/>
          <w:color w:val="auto"/>
        </w:rPr>
        <w:t>” means the land, improvements, buildings and fixtures (including any leasehold interest therein) constituting a corporate office, facility or other capital asset which is owned or leased by the Company or any of its Significant Subsidiaries the net book value of which on the date as of which the determination is being made exceeds 2% of Consolidated Net Tangible Assets, unless the Board of Directors has determined in good faith that such office, facility or capital asset is not of material importance to the total business conducted by the Company and its Significant Subsidiaries taken as a whole. With respect to any Sale and Lease-Back Transaction or series of related Sale and Lease-Back Transactions, the determination of whether any property is a Principal Property shall be determined by reference to all properties affected by such transaction or series of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a Reference Treasury Dealer appointed by the Company.</w:t>
      </w:r>
    </w:p>
    <w:p>
      <w:pPr>
        <w:spacing w:after="0" w:line="16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91" w:name="page92"/>
    <w:bookmarkEnd w:id="91"/>
    <w:p>
      <w:pPr>
        <w:ind w:right="20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Rating Agencies</w:t>
      </w:r>
      <w:r>
        <w:rPr>
          <w:rFonts w:ascii="Arial" w:cs="Arial" w:eastAsia="Arial" w:hAnsi="Arial"/>
          <w:sz w:val="18"/>
          <w:szCs w:val="18"/>
          <w:color w:val="auto"/>
        </w:rPr>
        <w:t>” means (a) each of Moody’s and S&amp;P and (b) if any of Moody’s or S&amp;P ceases to rate the Senior Notes or fails to make a rating of the Senior Notes publicly available for reasons outside of the Company’s control, a “nationally recognized statistical rating organization” within the meaning of Section 3(a)(62) of the Exchange Act, that the Company selects (as certified by an executive officer of the Company) as a replacement agency for Moody’s or S&amp;P, or both of them, as the case may be.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Record Date</w:t>
      </w:r>
      <w:r>
        <w:rPr>
          <w:rFonts w:ascii="Arial" w:cs="Arial" w:eastAsia="Arial" w:hAnsi="Arial"/>
          <w:sz w:val="17"/>
          <w:szCs w:val="17"/>
          <w:color w:val="auto"/>
        </w:rPr>
        <w:t>” means June 6 and December 6, whether or not a Business Day, immediately preceding the applicable Interest Payment Date.</w:t>
      </w:r>
    </w:p>
    <w:p>
      <w:pPr>
        <w:spacing w:after="0" w:line="23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means each of (i) J.P. Morgan Securities LLC, BofA Securities, Inc., Goldman Sachs &amp; Co. LLC and Morgan Stanley &amp; Co. LLC (or their respective affiliates that are primary U.S. Government securities dealers in New York City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any of the foregoing shall cease to be a Primary Treasury Dealer, the Company will substitute therefor another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Dealer; and (ii) any other Primary Treasury Dealer selected by the Company.</w:t>
      </w:r>
    </w:p>
    <w:p>
      <w:pPr>
        <w:spacing w:after="0" w:line="18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Taxing Jurisdiction</w:t>
      </w:r>
      <w:r>
        <w:rPr>
          <w:rFonts w:ascii="Arial" w:cs="Arial" w:eastAsia="Arial" w:hAnsi="Arial"/>
          <w:sz w:val="18"/>
          <w:szCs w:val="18"/>
          <w:color w:val="auto"/>
        </w:rPr>
        <w:t>” has the meaning given to such term in Section 3.1(a)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S&amp;P Global Ratings (a division of S&amp;P Global Inc.) or any successor to the rating agency business thereof.</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and Lease-Back Transaction</w:t>
      </w:r>
      <w:r>
        <w:rPr>
          <w:rFonts w:ascii="Arial" w:cs="Arial" w:eastAsia="Arial" w:hAnsi="Arial"/>
          <w:sz w:val="18"/>
          <w:szCs w:val="18"/>
          <w:color w:val="auto"/>
        </w:rPr>
        <w:t>” means any arrangement with any Person providing for the leasing by the Company or any of its Significant Subsidiaries of any Principal Property, whether now owned or hereafter acquired, which Principal Property has been or is to be sold or transferred by the Company or such Significant Subsidiary to such Person.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Notes</w:t>
      </w:r>
      <w:r>
        <w:rPr>
          <w:rFonts w:ascii="Arial" w:cs="Arial" w:eastAsia="Arial" w:hAnsi="Arial"/>
          <w:sz w:val="18"/>
          <w:szCs w:val="18"/>
          <w:color w:val="auto"/>
        </w:rPr>
        <w:t>” has the meaning given to such term in the preamble hereof.</w:t>
      </w:r>
    </w:p>
    <w:p>
      <w:pPr>
        <w:spacing w:after="0" w:line="22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Subsidiary</w:t>
      </w:r>
      <w:r>
        <w:rPr>
          <w:rFonts w:ascii="Arial" w:cs="Arial" w:eastAsia="Arial" w:hAnsi="Arial"/>
          <w:sz w:val="18"/>
          <w:szCs w:val="18"/>
          <w:color w:val="auto"/>
        </w:rPr>
        <w:t>” with respect to any Person, means any Subsidiary of such Person that satisfies the criteria for a “significant subsidiary” set forth in Rule l-02(w) of Regulation S-X under the Exchange 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Mandatory Redemption Date</w:t>
      </w:r>
      <w:r>
        <w:rPr>
          <w:rFonts w:ascii="Arial" w:cs="Arial" w:eastAsia="Arial" w:hAnsi="Arial"/>
          <w:sz w:val="18"/>
          <w:szCs w:val="18"/>
          <w:color w:val="auto"/>
        </w:rPr>
        <w:t>” has the meaning given to such term in Section 4.4(b).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Mandatory Redemption End Date</w:t>
      </w:r>
      <w:r>
        <w:rPr>
          <w:rFonts w:ascii="Arial" w:cs="Arial" w:eastAsia="Arial" w:hAnsi="Arial"/>
          <w:sz w:val="18"/>
          <w:szCs w:val="18"/>
          <w:color w:val="auto"/>
        </w:rPr>
        <w:t>” has the meaning given to such term in Section 4.4(a).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Mandatory Redemption Price</w:t>
      </w:r>
      <w:r>
        <w:rPr>
          <w:rFonts w:ascii="Arial" w:cs="Arial" w:eastAsia="Arial" w:hAnsi="Arial"/>
          <w:sz w:val="18"/>
          <w:szCs w:val="18"/>
          <w:color w:val="auto"/>
        </w:rPr>
        <w:t>” has the meaning given to such term in Section 4.4(a).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Mandatory Redemption Trigger Date</w:t>
      </w:r>
      <w:r>
        <w:rPr>
          <w:rFonts w:ascii="Arial" w:cs="Arial" w:eastAsia="Arial" w:hAnsi="Arial"/>
          <w:sz w:val="18"/>
          <w:szCs w:val="18"/>
          <w:color w:val="auto"/>
        </w:rPr>
        <w:t>” has the meaning given to such term in Section 4.4(a).</w:t>
      </w:r>
    </w:p>
    <w:p>
      <w:pPr>
        <w:spacing w:after="0" w:line="16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0" w:right="47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Subject Lien</w:t>
      </w:r>
      <w:r>
        <w:rPr>
          <w:rFonts w:ascii="Arial" w:cs="Arial" w:eastAsia="Arial" w:hAnsi="Arial"/>
          <w:sz w:val="18"/>
          <w:szCs w:val="18"/>
          <w:color w:val="auto"/>
        </w:rPr>
        <w:t>” has the meaning given to such term in Section 3.2(a) hereof.</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limited liability company or other similar type of business entity in which the Company and/or one or more of its subsidiaries together own more than 50% of the total voting power of shares of Capital Stock entitled (without regard to the occurrence of any contingency) to vote in the election of the board of directors or similar governing body of such corporation, limited liability company or other similar type of business entity, directly or indirectly.</w:t>
      </w:r>
    </w:p>
    <w:p>
      <w:pPr>
        <w:spacing w:after="0" w:line="180" w:lineRule="exact"/>
        <w:rPr>
          <w:sz w:val="20"/>
          <w:szCs w:val="20"/>
          <w:color w:val="auto"/>
        </w:rPr>
      </w:pPr>
    </w:p>
    <w:p>
      <w:pPr>
        <w:jc w:val="both"/>
        <w:ind w:right="2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Substitute Rating Agency</w:t>
      </w:r>
      <w:r>
        <w:rPr>
          <w:rFonts w:ascii="Arial" w:cs="Arial" w:eastAsia="Arial" w:hAnsi="Arial"/>
          <w:sz w:val="17"/>
          <w:szCs w:val="17"/>
          <w:color w:val="auto"/>
        </w:rPr>
        <w:t>” means, in the Company’s discretion at any time and from time to time, Fitch, Inc. or any other “nationally recognized statistical rating organization” within the meaning of Section 3(a)(62) of the Exchange Act selected by the Company (as certified to the Trustee by a resolution of the Board of Directors) as a replacement agency for Moody’s or S&amp;P, or either of them, as the case may be.</w:t>
      </w:r>
    </w:p>
    <w:p>
      <w:pPr>
        <w:spacing w:after="0" w:line="158" w:lineRule="exact"/>
        <w:rPr>
          <w:sz w:val="20"/>
          <w:szCs w:val="20"/>
          <w:color w:val="auto"/>
        </w:rPr>
      </w:pPr>
    </w:p>
    <w:p>
      <w:pPr>
        <w:ind w:right="52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Synthetic Lease</w:t>
      </w:r>
      <w:r>
        <w:rPr>
          <w:rFonts w:ascii="Arial" w:cs="Arial" w:eastAsia="Arial" w:hAnsi="Arial"/>
          <w:sz w:val="17"/>
          <w:szCs w:val="17"/>
          <w:color w:val="auto"/>
        </w:rPr>
        <w:t>” means any tax retention or other synthetic lease which is treated as an operating lease under United States generally accepted accounting principles, but the liabilities under which are or would be characterized as indebtedness for tax purposes.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has the meaning given to such term in Section 3.1(a) hereof.</w:t>
      </w:r>
    </w:p>
    <w:p>
      <w:pPr>
        <w:spacing w:after="0" w:line="225"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Verafin Transaction</w:t>
      </w:r>
      <w:r>
        <w:rPr>
          <w:rFonts w:ascii="Arial" w:cs="Arial" w:eastAsia="Arial" w:hAnsi="Arial"/>
          <w:sz w:val="18"/>
          <w:szCs w:val="18"/>
          <w:color w:val="auto"/>
        </w:rPr>
        <w:t>” means the Company’s acquisition of Verafin.</w:t>
      </w:r>
    </w:p>
    <w:p>
      <w:pPr>
        <w:spacing w:after="0" w:line="225"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Verafin Transaction Agreement</w:t>
      </w:r>
      <w:r>
        <w:rPr>
          <w:rFonts w:ascii="Arial" w:cs="Arial" w:eastAsia="Arial" w:hAnsi="Arial"/>
          <w:sz w:val="17"/>
          <w:szCs w:val="17"/>
          <w:color w:val="auto"/>
        </w:rPr>
        <w:t>” means that certain Share Purchase Agreement, dated as of November 18, 2020, among the Company, Osprey Acquisition Corporation, a wholly owned subsidiary of the Company, Verafin Holdings Inc. (“</w:t>
      </w:r>
      <w:r>
        <w:rPr>
          <w:rFonts w:ascii="Arial" w:cs="Arial" w:eastAsia="Arial" w:hAnsi="Arial"/>
          <w:sz w:val="17"/>
          <w:szCs w:val="17"/>
          <w:b w:val="1"/>
          <w:bCs w:val="1"/>
          <w:color w:val="auto"/>
        </w:rPr>
        <w:t>Verafin</w:t>
      </w:r>
      <w:r>
        <w:rPr>
          <w:rFonts w:ascii="Arial" w:cs="Arial" w:eastAsia="Arial" w:hAnsi="Arial"/>
          <w:sz w:val="17"/>
          <w:szCs w:val="17"/>
          <w:color w:val="auto"/>
        </w:rPr>
        <w:t>”), certain shareholders of Verafin, and Shareholder Representative Services LLC, solely in its capacity as the representative of the selling shareholders.</w:t>
      </w:r>
    </w:p>
    <w:p>
      <w:pPr>
        <w:spacing w:after="0" w:line="15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of any specified Person as of any date means the capital stock of such Person that is at the time entitled to vote generally in the election of the board of directors of such Person.</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TWO</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TERMS AND ISSUANCE OF THE SENIOR NOTES</w:t>
      </w:r>
    </w:p>
    <w:p>
      <w:pPr>
        <w:spacing w:after="0" w:line="225" w:lineRule="exact"/>
        <w:rPr>
          <w:sz w:val="20"/>
          <w:szCs w:val="20"/>
          <w:color w:val="auto"/>
        </w:rPr>
      </w:pPr>
    </w:p>
    <w:p>
      <w:pPr>
        <w:jc w:val="both"/>
        <w:ind w:right="440" w:firstLine="440"/>
        <w:spacing w:after="0" w:line="26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Issue of Senior Notes</w:t>
      </w:r>
      <w:r>
        <w:rPr>
          <w:rFonts w:ascii="Arial" w:cs="Arial" w:eastAsia="Arial" w:hAnsi="Arial"/>
          <w:sz w:val="18"/>
          <w:szCs w:val="18"/>
          <w:color w:val="auto"/>
        </w:rPr>
        <w:t>. A series of Securities which shall be designated the “2.500% Senior Notes due 2040” shall be executed, authenticated and delivered in accordance with the provisions of, and shall in all respects be subject to the terms, conditions and covenants of, the Original Indenture and this Eleventh Supplemental Indenture (including the form of such</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40" w:top="270" w:right="539" w:bottom="1440" w:gutter="0" w:footer="0" w:header="0"/>
        </w:sectPr>
      </w:pPr>
    </w:p>
    <w:bookmarkStart w:id="93" w:name="page94"/>
    <w:bookmarkEnd w:id="93"/>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Senior Notes set forth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aggregate principal amount of Senior Notes which may be authenticated and delivered under this Eleventh Supplemental Indenture shall not, except as permitted by the provisions of the Original Indenture, initially exceed $650,000,000;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may from time to time or at any time, without the consent of the Holders of the Senior Notes, issue additional Senior Notes of the same or a different series in an unlimited aggregate principal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such additional Senior Notes are not fungible with the Senior Notes (or any other tranche of additional Senior Notes) for U.S. federal income tax purposes, then such additional Senior Notes will have different CUSIP numbers than the Senior Notes (or any such other tranche of additional Senior Notes).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2.2. Interest Rate Adjustment</w:t>
      </w:r>
    </w:p>
    <w:p>
      <w:pPr>
        <w:spacing w:after="0" w:line="117" w:lineRule="exact"/>
        <w:rPr>
          <w:sz w:val="20"/>
          <w:szCs w:val="20"/>
          <w:color w:val="auto"/>
        </w:rPr>
      </w:pPr>
    </w:p>
    <w:p>
      <w:pPr>
        <w:ind w:right="180" w:firstLine="436"/>
        <w:spacing w:after="0" w:line="342" w:lineRule="auto"/>
        <w:tabs>
          <w:tab w:leader="none" w:pos="685"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interest rate payable on the Senior Notes will be subject to adjustment from time to time if either Moody’s or S&amp;P, or, in either case, any Substitute Rating Agency downgrades (or subsequently upgrades) the credit rating assigned to the Senior Notes, in the manner described below.</w:t>
      </w:r>
    </w:p>
    <w:p>
      <w:pPr>
        <w:spacing w:after="0" w:line="15" w:lineRule="exact"/>
        <w:rPr>
          <w:rFonts w:ascii="Arial" w:cs="Arial" w:eastAsia="Arial" w:hAnsi="Arial"/>
          <w:sz w:val="16"/>
          <w:szCs w:val="16"/>
          <w:color w:val="auto"/>
        </w:rPr>
      </w:pPr>
    </w:p>
    <w:p>
      <w:pPr>
        <w:ind w:right="180" w:firstLine="436"/>
        <w:spacing w:after="0" w:line="263"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rating from Moody’s (or any Substitute Rating Agency) of the Senior Notes is decreased to a rating set forth in the immediately following table, the interest rate on the Senior Notes will increase such that it will equal the interest rate payable on the Senior Notes on the Issue Date plus the percentage set forth opposite the ratings from the table below:</w:t>
      </w:r>
    </w:p>
    <w:p>
      <w:pPr>
        <w:spacing w:after="0" w:line="202"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Moody’s Rating*</w:t>
            </w:r>
          </w:p>
        </w:tc>
        <w:tc>
          <w:tcPr>
            <w:tcW w:w="566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Percentage</w:t>
            </w:r>
          </w:p>
        </w:tc>
      </w:tr>
      <w:tr>
        <w:trPr>
          <w:trHeight w:val="203"/>
        </w:trPr>
        <w:tc>
          <w:tcPr>
            <w:tcW w:w="10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Ba1</w:t>
            </w:r>
          </w:p>
        </w:tc>
        <w:tc>
          <w:tcPr>
            <w:tcW w:w="56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0.25%</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Ba2</w:t>
            </w:r>
          </w:p>
        </w:tc>
        <w:tc>
          <w:tcPr>
            <w:tcW w:w="6400" w:type="dxa"/>
            <w:vAlign w:val="bottom"/>
            <w:gridSpan w:val="3"/>
          </w:tcPr>
          <w:p>
            <w:pPr>
              <w:jc w:val="right"/>
              <w:ind w:right="60"/>
              <w:spacing w:after="0"/>
              <w:rPr>
                <w:sz w:val="20"/>
                <w:szCs w:val="20"/>
                <w:color w:val="auto"/>
              </w:rPr>
            </w:pPr>
            <w:r>
              <w:rPr>
                <w:rFonts w:ascii="Arial" w:cs="Arial" w:eastAsia="Arial" w:hAnsi="Arial"/>
                <w:sz w:val="18"/>
                <w:szCs w:val="18"/>
                <w:color w:val="auto"/>
              </w:rPr>
              <w:t>0.50%</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Ba3</w:t>
            </w:r>
          </w:p>
        </w:tc>
        <w:tc>
          <w:tcPr>
            <w:tcW w:w="6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B1 or below</w:t>
            </w:r>
          </w:p>
        </w:tc>
        <w:tc>
          <w:tcPr>
            <w:tcW w:w="64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bl>
    <w:p>
      <w:pPr>
        <w:spacing w:after="0" w:line="214" w:lineRule="exact"/>
        <w:rPr>
          <w:sz w:val="20"/>
          <w:szCs w:val="20"/>
          <w:color w:val="auto"/>
        </w:rPr>
      </w:pPr>
    </w:p>
    <w:p>
      <w:pPr>
        <w:ind w:left="960" w:hanging="532"/>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Including the equivalent ratings of any Substitute Rating Agency.</w:t>
      </w:r>
    </w:p>
    <w:p>
      <w:pPr>
        <w:spacing w:after="0" w:line="225" w:lineRule="exact"/>
        <w:rPr>
          <w:rFonts w:ascii="Arial" w:cs="Arial" w:eastAsia="Arial" w:hAnsi="Arial"/>
          <w:sz w:val="18"/>
          <w:szCs w:val="18"/>
          <w:color w:val="auto"/>
        </w:rPr>
      </w:pPr>
    </w:p>
    <w:p>
      <w:pPr>
        <w:jc w:val="both"/>
        <w:ind w:right="260" w:firstLine="436"/>
        <w:spacing w:after="0" w:line="263" w:lineRule="auto"/>
        <w:tabs>
          <w:tab w:leader="none" w:pos="685"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the rating from S&amp;P (or any Substitute Rating Agency) of the Senior Notes is decreased to a rating set forth in the immediately following table, the interest rate on the Senior Notes will increase such that it will equal the interest rate payable on the Senior Notes on the Issue Date plus the percentage set forth opposite the ratings from the table below:</w:t>
      </w:r>
    </w:p>
    <w:p>
      <w:pPr>
        <w:spacing w:after="0" w:line="202"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S&amp;P Rating*</w:t>
            </w:r>
          </w:p>
        </w:tc>
        <w:tc>
          <w:tcPr>
            <w:tcW w:w="59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Percentage</w:t>
            </w:r>
          </w:p>
        </w:tc>
      </w:tr>
      <w:tr>
        <w:trPr>
          <w:trHeight w:val="203"/>
        </w:trPr>
        <w:tc>
          <w:tcPr>
            <w:tcW w:w="6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BB+</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0.25%</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BB</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B+ or below</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bl>
    <w:p>
      <w:pPr>
        <w:spacing w:after="0" w:line="214" w:lineRule="exact"/>
        <w:rPr>
          <w:sz w:val="20"/>
          <w:szCs w:val="20"/>
          <w:color w:val="auto"/>
        </w:rPr>
      </w:pPr>
    </w:p>
    <w:p>
      <w:pPr>
        <w:jc w:val="right"/>
        <w:ind w:left="5360" w:right="5320" w:hanging="4932"/>
        <w:spacing w:after="0" w:line="535" w:lineRule="auto"/>
        <w:tabs>
          <w:tab w:leader="none" w:pos="974"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Including the equivalent ratings of any Substitute Rating Agency. -10-</w:t>
      </w:r>
    </w:p>
    <w:p>
      <w:pPr>
        <w:sectPr>
          <w:pgSz w:w="11900" w:h="16838" w:orient="portrait"/>
          <w:cols w:equalWidth="0" w:num="1">
            <w:col w:w="11000"/>
          </w:cols>
          <w:pgMar w:left="440" w:top="274" w:right="459" w:bottom="1440" w:gutter="0" w:footer="0" w:header="0"/>
        </w:sectPr>
      </w:pPr>
    </w:p>
    <w:bookmarkStart w:id="94" w:name="page95"/>
    <w:bookmarkEnd w:id="94"/>
    <w:p>
      <w:pPr>
        <w:ind w:left="4" w:firstLine="436"/>
        <w:spacing w:after="0" w:line="269" w:lineRule="auto"/>
        <w:tabs>
          <w:tab w:leader="none" w:pos="699" w:val="left"/>
        </w:tabs>
        <w:numPr>
          <w:ilvl w:val="1"/>
          <w:numId w:val="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at any time the interest rate on the Senior Notes has been adjusted upward and either Moody’s or S&amp;P (or, in either case, a Substitute Rating Agency), as the case may be, subsequently increases its rating of the Senior Notes to any of the threshold ratings set forth above, the interest rate on the Senior Notes shall be decreased such that the interest rate for the Senior Notes shall equal the interest rate payable on the Senior Notes on the Issue Date plus the percentages set forth opposite the ratings from the tables in Sections 2.2(b) and (c) in effect immediately following the increase in rating. If Moody’s (or any Substitute Rating Agency) subsequently increases its rating of the Senior Notes to Baa3 (or its equivalent, in the case of a Substitute Rating Agency) or higher, and S&amp;P (or any Substitute Rating Agency) increases its rating to BBB- (or its equivalent, in the case of a Substitute Rating Agency) or higher, the interest rate on the Senior Notes will be decreased to the interest rate payable on the Senior Notes on the Issue Date. In addition, the interest rate on the Senior Notes will permanently cease to be subject to any adjustment described above (notwithstanding any subsequent decrease in the ratings by either or both Rating Agencies (or any Substitute Rating Agency)) if the Senior Notes become rated Baa1 and BBB+ (or the equivalent of either such rating, in the case of a Substitute Rating Agency) or higher by each of Moody’s and S&amp;P (or, in either case, a Substitute Rating Agency thereof), respectively (or by one Rating Agency in the event the Senior Notes are only rated by one Rating Agency and the Company has not obtained ratings from a Substitute Rating Agency).</w:t>
      </w:r>
    </w:p>
    <w:p>
      <w:pPr>
        <w:spacing w:after="0" w:line="70" w:lineRule="exact"/>
        <w:rPr>
          <w:rFonts w:ascii="Arial" w:cs="Arial" w:eastAsia="Arial" w:hAnsi="Arial"/>
          <w:sz w:val="17"/>
          <w:szCs w:val="17"/>
          <w:color w:val="auto"/>
        </w:rPr>
      </w:pPr>
    </w:p>
    <w:p>
      <w:pPr>
        <w:ind w:left="4" w:right="100" w:firstLine="436"/>
        <w:spacing w:after="0" w:line="279" w:lineRule="auto"/>
        <w:tabs>
          <w:tab w:leader="none" w:pos="689" w:val="left"/>
        </w:tabs>
        <w:numPr>
          <w:ilvl w:val="1"/>
          <w:numId w:val="86"/>
        </w:numPr>
        <w:rPr>
          <w:rFonts w:ascii="Arial" w:cs="Arial" w:eastAsia="Arial" w:hAnsi="Arial"/>
          <w:sz w:val="17"/>
          <w:szCs w:val="17"/>
          <w:color w:val="auto"/>
        </w:rPr>
      </w:pPr>
      <w:r>
        <w:rPr>
          <w:rFonts w:ascii="Arial" w:cs="Arial" w:eastAsia="Arial" w:hAnsi="Arial"/>
          <w:sz w:val="17"/>
          <w:szCs w:val="17"/>
          <w:color w:val="auto"/>
        </w:rPr>
        <w:t>Each adjustment required by any decrease or increase in a rating set forth above, whether occasioned by the action of Moody’s or S&amp;P (or, in either case, a Substitute Rating Agency), shall be made independent of any and all other adjustments, provided, however, that in no event shall (1) the interest rate for the Senior Notes be reduced to below the interest rate payable on the Senior Notes on the Issue Date or (2) the total increase in the interest rate on the Senior Notes exceed 2.00% above the interest rate payable on the Senior Notes on the Issue Date.</w:t>
      </w:r>
    </w:p>
    <w:p>
      <w:pPr>
        <w:spacing w:after="0" w:line="63" w:lineRule="exact"/>
        <w:rPr>
          <w:rFonts w:ascii="Arial" w:cs="Arial" w:eastAsia="Arial" w:hAnsi="Arial"/>
          <w:sz w:val="17"/>
          <w:szCs w:val="17"/>
          <w:color w:val="auto"/>
        </w:rPr>
      </w:pPr>
    </w:p>
    <w:p>
      <w:pPr>
        <w:ind w:left="4" w:right="120" w:firstLine="436"/>
        <w:spacing w:after="0" w:line="285" w:lineRule="auto"/>
        <w:tabs>
          <w:tab w:leader="none" w:pos="669" w:val="left"/>
        </w:tabs>
        <w:numPr>
          <w:ilvl w:val="1"/>
          <w:numId w:val="86"/>
        </w:numPr>
        <w:rPr>
          <w:rFonts w:ascii="Arial" w:cs="Arial" w:eastAsia="Arial" w:hAnsi="Arial"/>
          <w:sz w:val="16"/>
          <w:szCs w:val="16"/>
          <w:color w:val="auto"/>
        </w:rPr>
      </w:pPr>
      <w:r>
        <w:rPr>
          <w:rFonts w:ascii="Arial" w:cs="Arial" w:eastAsia="Arial" w:hAnsi="Arial"/>
          <w:sz w:val="16"/>
          <w:szCs w:val="16"/>
          <w:color w:val="auto"/>
        </w:rPr>
        <w:t>No adjustments in the interest rate of the Senior Notes shall be made solely as a result of a Rating Agency ceasing to provide a rating of the Senior Notes. If at any time Moody’s or S&amp;P ceases to provide a rating of the Senior Notes for any reason, the Company will use its commercially reasonable efforts to obtain a rating of the Senior Notes from a Substitute Rating Agency, to the extent one exists, and if a Substitute Rating Agency exists, for purposes of determining any increase or decrease in the interest rate on the Senior Notes pursuant to the tables above, (a) such Substitute Rating Agency will be substituted for the last Rating Agency to provide a rating of the Senior Notes but which has since ceased to provide such rating,</w:t>
      </w:r>
    </w:p>
    <w:p>
      <w:pPr>
        <w:spacing w:after="0" w:line="1" w:lineRule="exact"/>
        <w:rPr>
          <w:rFonts w:ascii="Arial" w:cs="Arial" w:eastAsia="Arial" w:hAnsi="Arial"/>
          <w:sz w:val="16"/>
          <w:szCs w:val="16"/>
          <w:color w:val="auto"/>
        </w:rPr>
      </w:pPr>
    </w:p>
    <w:p>
      <w:pPr>
        <w:ind w:left="4" w:right="180" w:hanging="4"/>
        <w:spacing w:after="0" w:line="287" w:lineRule="auto"/>
        <w:tabs>
          <w:tab w:leader="none" w:pos="259"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relative rating scale used by such Substitute Rating Agency to assign ratings to senior unsecured debt will be determined in good faith by an independent investment banking institution of national standing appointed by the Company and, for purposes of determining the applicable ratings included in the applicable table above with respect to such Substitute Rating Agency, such ratings will be deemed to be the equivalent ratings used by Moody’s or S&amp;P, as applicable, in such table and (c) the interest rate on the Senior Notes will increase or decrease, as the case may be, such that the interest rate equals the interest rate payable on the Senior Notes on the Issue Date plus the appropriate percentage, if any, set forth opposite the rating from such Substitute Rating Agency in the applicable table above (taking into account the provisions of clause (b) above) (plus any applicable percentage resulting from a decreased rating by the other Rating Agency). For so long as only one of Moody’s or S&amp;P provides a rating of the Senior Notes and no Substitute Rating Agency is offered to replace the other Rating Agency, any</w:t>
      </w:r>
    </w:p>
    <w:p>
      <w:pPr>
        <w:spacing w:after="0" w:line="10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4"/>
          </w:cols>
          <w:pgMar w:left="436" w:top="274" w:right="499" w:bottom="1440" w:gutter="0" w:footer="0" w:header="0"/>
        </w:sectPr>
      </w:pPr>
    </w:p>
    <w:bookmarkStart w:id="95" w:name="page96"/>
    <w:bookmarkEnd w:id="9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subsequent increase or decrease in the interest rate of the Senior Notes necessitated by a reduction or increase in the rating by the agency providing the rating shall be twice the percentage set forth in the applicable table above. For so long as none of Moody’s, S&amp;P or a Substitute Rating Agency provides a rating of the Senior Notes, the interest rate on the Senior Notes will increase to, or remain at, as the case may be, 2.00% above the interest rate payable on the Senior Notes on the Issue Date.</w:t>
      </w:r>
    </w:p>
    <w:p>
      <w:pPr>
        <w:spacing w:after="0" w:line="79" w:lineRule="exact"/>
        <w:rPr>
          <w:sz w:val="20"/>
          <w:szCs w:val="20"/>
          <w:color w:val="auto"/>
        </w:rPr>
      </w:pPr>
    </w:p>
    <w:p>
      <w:pPr>
        <w:ind w:right="140" w:firstLine="436"/>
        <w:spacing w:after="0" w:line="277"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interest rate increase or decrease described in this Section 2.2 will take effect on the next Business Day after the day on which the rating change has occurred.</w:t>
      </w:r>
    </w:p>
    <w:p>
      <w:pPr>
        <w:spacing w:after="0" w:line="62" w:lineRule="exact"/>
        <w:rPr>
          <w:rFonts w:ascii="Arial" w:cs="Arial" w:eastAsia="Arial" w:hAnsi="Arial"/>
          <w:sz w:val="18"/>
          <w:szCs w:val="18"/>
          <w:color w:val="auto"/>
        </w:rPr>
      </w:pPr>
    </w:p>
    <w:p>
      <w:pPr>
        <w:ind w:right="220" w:firstLine="436"/>
        <w:spacing w:after="0" w:line="277"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interest rate payable on the Senior Notes is increased as described above, the term “interest,” as used with respect to the Senior Notes, will be deemed to include any such additional interest unless the context otherwise requires.</w:t>
      </w:r>
    </w:p>
    <w:p>
      <w:pPr>
        <w:spacing w:after="0" w:line="62" w:lineRule="exact"/>
        <w:rPr>
          <w:rFonts w:ascii="Arial" w:cs="Arial" w:eastAsia="Arial" w:hAnsi="Arial"/>
          <w:sz w:val="18"/>
          <w:szCs w:val="18"/>
          <w:color w:val="auto"/>
        </w:rPr>
      </w:pPr>
    </w:p>
    <w:p>
      <w:pPr>
        <w:ind w:right="80" w:firstLine="436"/>
        <w:spacing w:after="0" w:line="275" w:lineRule="auto"/>
        <w:tabs>
          <w:tab w:leader="none" w:pos="655"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Company shall promptly notify the Paying Agent on becoming aware of any decrease in the rating assigned to the Senior Notes by either Moody’s or S&amp;P (or any Substitute Rating Agency). The Trustee shall not be responsible for and makes no representation as to any act or omission of any Rating Agency or any rating with respect to the Senior Notes or the selection of a Substitute Rating agency. The Trustee shall have no obligation to independently determine or verify if an event has occurred or notify the holders of any event dependent upon the rating of the Senior Notes, or if the rating on the Senior Notes has been changed, suspended or withdrawn by any Rating Agency.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Form of Senior Notes; Incorporation of Terms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3" w:lineRule="auto"/>
        <w:tabs>
          <w:tab w:leader="none" w:pos="685"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Each of the Senior Notes shall be issued initially in the form of one or more Global Securities and, together with the Authenticating Agent’s certificate of authentication thereon, shall be in substantially the form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The Senior Notes may have such notations, legends or endorsements approved as to form by the Company and required, as applicable, by law, stock exchange or depository rules and agreements to which the Company is subject and/or usage. The terms of the Senior Notes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are herein incorporated by reference and are part of the terms of this Eleventh Supplemental Indenture. The Senior Notes shall be issued in fully registered form without coupons only in minimum denominations of $2,000 and integral multiples of $1,000 in excess thereof.</w:t>
      </w:r>
    </w:p>
    <w:p>
      <w:pPr>
        <w:spacing w:after="0" w:line="69" w:lineRule="exact"/>
        <w:rPr>
          <w:rFonts w:ascii="Arial" w:cs="Arial" w:eastAsia="Arial" w:hAnsi="Arial"/>
          <w:sz w:val="17"/>
          <w:szCs w:val="17"/>
          <w:color w:val="auto"/>
        </w:rPr>
      </w:pPr>
    </w:p>
    <w:p>
      <w:pPr>
        <w:ind w:right="140" w:firstLine="436"/>
        <w:spacing w:after="0" w:line="290" w:lineRule="auto"/>
        <w:tabs>
          <w:tab w:leader="none" w:pos="695"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Each of the Senior Notes issued in global form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(including the Global Security Legend thereon). Senior Notes issued in definitive certificated form in accordance with the terms of the Original Indenture and this Eleventh Supplemental Indenture, if any,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(but without the Global Security Legend thereon). Each Global Security shall represent such of the outstanding Senior Notes as shall be specified therein and each shall provide that it shall represent the aggregate principal amount of Outstanding Senior Notes from time to time endorsed thereon and that the aggregate principal amount of outstanding Senior Notes represented thereby may from time to time be reduced or increased, as appropriate, to reflect exchanges and redemptions. Any endorsement of a Global Security to reflect the amount of any increase or decrease in the aggregate principal amount of Outstanding Senior Notes represented thereby shall be made by the Transfer Agent in accordance with instructions given by the Holder thereof as required by Section 2.9 hereof.</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96" w:name="page97"/>
    <w:bookmarkEnd w:id="96"/>
    <w:p>
      <w:pPr>
        <w:ind w:right="2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2.4. </w:t>
      </w:r>
      <w:r>
        <w:rPr>
          <w:rFonts w:ascii="Arial" w:cs="Arial" w:eastAsia="Arial" w:hAnsi="Arial"/>
          <w:sz w:val="17"/>
          <w:szCs w:val="17"/>
          <w:i w:val="1"/>
          <w:iCs w:val="1"/>
          <w:color w:val="auto"/>
        </w:rPr>
        <w:t>Execution and Authentication</w:t>
      </w:r>
      <w:r>
        <w:rPr>
          <w:rFonts w:ascii="Arial" w:cs="Arial" w:eastAsia="Arial" w:hAnsi="Arial"/>
          <w:sz w:val="17"/>
          <w:szCs w:val="17"/>
          <w:color w:val="auto"/>
        </w:rPr>
        <w:t>. The Trustee, upon a Company Order and pursuant to the terms of the Original Indenture and this Eleventh Supplemental Indenture, shall authenticate and deliver the Senior Notes for original issue in an initial aggregate principal amount of $650,000,000. Such Company Order shall specify the amount of the Senior Notes to be authenticated, the date on which the original issue of Senior Notes is to be authenticated and the aggregate principal amount of Senior Notes outstanding on the date of authentication. All of the Senior Notes issued under this Eleventh Supplemental Indenture shall be treated as a single series for all purposes under the Original Indenture and this Eleventh Supplemental Indenture, including, without limitation, waivers, amendments and offers to purchase.</w:t>
      </w:r>
    </w:p>
    <w:p>
      <w:pPr>
        <w:spacing w:after="0" w:line="178"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i w:val="1"/>
          <w:iCs w:val="1"/>
          <w:color w:val="auto"/>
        </w:rPr>
        <w:t>Depositary for Global Securities</w:t>
      </w:r>
      <w:r>
        <w:rPr>
          <w:rFonts w:ascii="Arial" w:cs="Arial" w:eastAsia="Arial" w:hAnsi="Arial"/>
          <w:sz w:val="18"/>
          <w:szCs w:val="18"/>
          <w:color w:val="auto"/>
        </w:rPr>
        <w:t>. The Depositary for the Senior Notes issued under this Eleventh Supplemental Indenture shall be DTC in the City of New York.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i w:val="1"/>
          <w:iCs w:val="1"/>
          <w:color w:val="auto"/>
        </w:rPr>
        <w:t>[Reserved].</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i w:val="1"/>
          <w:iCs w:val="1"/>
          <w:color w:val="auto"/>
        </w:rPr>
        <w:t>Place of Payment</w:t>
      </w:r>
      <w:r>
        <w:rPr>
          <w:rFonts w:ascii="Arial" w:cs="Arial" w:eastAsia="Arial" w:hAnsi="Arial"/>
          <w:sz w:val="18"/>
          <w:szCs w:val="18"/>
          <w:color w:val="auto"/>
        </w:rPr>
        <w:t>. The Place of Payment in respect of the Senior Notes shall initially be at the office or agency of the Paying Agent at 150 East 42nd Street, 40</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10017, until such time as the Company designates an alternate place of payment. The Paying Agent for the Senior Notes shall be the Trustee.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i w:val="1"/>
          <w:iCs w:val="1"/>
          <w:color w:val="auto"/>
        </w:rPr>
        <w:t>Transfer and Exchange</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68" w:lineRule="auto"/>
        <w:tabs>
          <w:tab w:leader="none" w:pos="685"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transfer and exchange of beneficial interests in the Global Securities shall be effected through the Depositary, in accordance with the provisions of the Original Indenture, this Eleventh Supplemental Indenture and the then applicable procedures of the Depositary (the “</w:t>
      </w:r>
      <w:r>
        <w:rPr>
          <w:rFonts w:ascii="Arial" w:cs="Arial" w:eastAsia="Arial" w:hAnsi="Arial"/>
          <w:sz w:val="17"/>
          <w:szCs w:val="17"/>
          <w:b w:val="1"/>
          <w:bCs w:val="1"/>
          <w:color w:val="auto"/>
        </w:rPr>
        <w:t>Applicable</w:t>
      </w:r>
      <w:r>
        <w:rPr>
          <w:rFonts w:ascii="Arial" w:cs="Arial" w:eastAsia="Arial" w:hAnsi="Arial"/>
          <w:sz w:val="17"/>
          <w:szCs w:val="17"/>
          <w:color w:val="auto"/>
        </w:rPr>
        <w:t xml:space="preserve"> </w:t>
      </w:r>
      <w:r>
        <w:rPr>
          <w:rFonts w:ascii="Arial" w:cs="Arial" w:eastAsia="Arial" w:hAnsi="Arial"/>
          <w:sz w:val="17"/>
          <w:szCs w:val="17"/>
          <w:b w:val="1"/>
          <w:bCs w:val="1"/>
          <w:color w:val="auto"/>
        </w:rPr>
        <w:t>Procedures</w:t>
      </w:r>
      <w:r>
        <w:rPr>
          <w:rFonts w:ascii="Arial" w:cs="Arial" w:eastAsia="Arial" w:hAnsi="Arial"/>
          <w:sz w:val="17"/>
          <w:szCs w:val="17"/>
          <w:color w:val="auto"/>
        </w:rPr>
        <w:t>”). In connection with all transfers and exchanges of beneficial interests, the transferor of such beneficial interest must deliver to the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Agent either (A)(1) a written order from a Participant or an Indirect Participant given to the Depositary in accordance with the Applicable Procedures directing the Depositary to credit or cause to be credited a beneficial interest in another Global Security in an amount equal to the beneficial interest to be transferred or exchanged and (2) instructions given in accordance with the Applicable Procedures containing information regarding the Participant account to be credited with such increase or, if Definitive Securities are at such time permitted to be issued pursuant to this Eleventh Supplemental Indenture and the Original Indenture, (B)(1) a written order from a Participant or an Indirect Participant given to the Depositary in accordance with the Applicable Procedures directing the Depositary to cause to be issued a Definitive Security in an amount equal to the beneficial interest to be transferred or exchanged and (2) instructions given by the Depositary to the Registrar containing information regarding the Person in whose name such Definitive Security shall be registered to effect the transfer or exchange referred to in (1) above. Upon satisfaction of all of the requirements for transfer or exchange of beneficial interests in Global Securities contained in the Original Indenture, this Eleventh Supplemental Indenture and the Senior Notes or otherwise applicable under the Securities Act, the Registrar shall adjust the principal amount of the relevant Global Securities pursuant to Section 2.9 hereof.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97" w:name="page98"/>
    <w:bookmarkEnd w:id="97"/>
    <w:p>
      <w:pPr>
        <w:ind w:right="40" w:firstLine="436"/>
        <w:spacing w:after="0" w:line="269" w:lineRule="auto"/>
        <w:tabs>
          <w:tab w:leader="none" w:pos="695" w:val="left"/>
        </w:tabs>
        <w:numPr>
          <w:ilvl w:val="0"/>
          <w:numId w:val="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request by a Holder of Definitive Securities and such Holder’s compliance with the provisions of this Section 2.8(b), the Registrar shall register the transfer or exchange of Definitive Securities. Prior to such registration of transfer or exchange, the requesting Holder shall present or surrender to the Transfer Agent the Definitive Securities duly endorsed or accompanied by a written instruction of transfer in form satisfactory to the Registrar duly executed by such Holder or by its attorney, duly authorized in writing. The Authenticating Agent shall cancel any such Definitive Securities so surrendered, and the Company shall execute and, upon receipt of a Company Order pursuant to Section 2.01 of the Original Indenture, the Authenticating Agent shall authenticate and deliver to the Person designated in the instructions a new Definitive Security in the appropriate principal amount. Any Definitive Security issued pursuant to this Section 2.8(b) shall be registered in such name or names and in such authorized denomination or denominations as the Holder of such beneficial interest shall instruct the Registrar through instructions from the Depositary and the Participant or Indirect Participant. The Paying Agent shall deliver such Definitive Securities to the Persons in whose names such Definitive Securities are so registered. In addition, the requesting Holder shall provide any additional certifications, documents and information, as applicable, required pursuant to Section 3.06 of the Original Indenture.</w:t>
      </w:r>
    </w:p>
    <w:p>
      <w:pPr>
        <w:spacing w:after="0" w:line="73" w:lineRule="exact"/>
        <w:rPr>
          <w:rFonts w:ascii="Arial" w:cs="Arial" w:eastAsia="Arial" w:hAnsi="Arial"/>
          <w:sz w:val="17"/>
          <w:szCs w:val="17"/>
          <w:color w:val="auto"/>
        </w:rPr>
      </w:pPr>
    </w:p>
    <w:p>
      <w:pPr>
        <w:ind w:right="260" w:firstLine="436"/>
        <w:spacing w:after="0" w:line="277" w:lineRule="auto"/>
        <w:tabs>
          <w:tab w:leader="none" w:pos="68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hereby appoints the Trustee as the Registrar for the Senior Notes issued under this Eleventh Supplemental Indenture and the Trustee accepts such appointment.</w:t>
      </w:r>
    </w:p>
    <w:p>
      <w:pPr>
        <w:spacing w:after="0" w:line="17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i w:val="1"/>
          <w:iCs w:val="1"/>
          <w:color w:val="auto"/>
        </w:rPr>
        <w:t>Cancellation and/or Adjustment of Global Securities</w:t>
      </w:r>
      <w:r>
        <w:rPr>
          <w:rFonts w:ascii="Arial" w:cs="Arial" w:eastAsia="Arial" w:hAnsi="Arial"/>
          <w:sz w:val="16"/>
          <w:szCs w:val="16"/>
          <w:color w:val="auto"/>
        </w:rPr>
        <w:t>. At such time as all beneficial interests in a particular Global Security have been exchanged for Definitive Securities or a particular Global Security has been redeemed, repurchased or canceled in whole and not in part, each such Global Security shall be returned to or retained and canceled by the Registrar in accordance with Section 3.09 of the Original Indenture. At any time prior to such cancellation, if any beneficial interest in a Global Security is exchanged for or transferred to a Person who will take delivery thereof in the form of a beneficial interest in another Global Security or for Definitive Securities, the principal amount of Securities represented by such Global Security shall be reduced accordingly and an endorsement shall be made on such Global Security by the Registrar or by the Depositary at the direction of the Trustee to reflect such reduction; and if the beneficial interest is being exchanged for or transferred to a Person who will take delivery thereof in the form of a beneficial interest in another Global Security, such other Global Security shall be increased accordingly and an endorsement shall be made on such Global Security by the Registrar or by the Depositary at the direction of the Registrar to reflect such increase.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right="700" w:firstLine="436"/>
        <w:spacing w:after="0" w:line="277" w:lineRule="auto"/>
        <w:tabs>
          <w:tab w:leader="none" w:pos="68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provisions of Section 7.01 of the Original Indenture as they relate to the Senior Notes, shall be replaced in their entirety with the following: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40" w:top="274" w:right="519" w:bottom="1440" w:gutter="0" w:footer="0" w:header="0"/>
        </w:sectPr>
      </w:pPr>
    </w:p>
    <w:bookmarkStart w:id="98" w:name="page99"/>
    <w:bookmarkEnd w:id="98"/>
    <w:p>
      <w:pPr>
        <w:ind w:right="2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7.01. </w:t>
      </w:r>
      <w:r>
        <w:rPr>
          <w:rFonts w:ascii="Arial" w:cs="Arial" w:eastAsia="Arial" w:hAnsi="Arial"/>
          <w:sz w:val="16"/>
          <w:szCs w:val="16"/>
          <w:i w:val="1"/>
          <w:iCs w:val="1"/>
          <w:color w:val="auto"/>
        </w:rPr>
        <w:t>Events of Default</w:t>
      </w:r>
      <w:r>
        <w:rPr>
          <w:rFonts w:ascii="Arial" w:cs="Arial" w:eastAsia="Arial" w:hAnsi="Arial"/>
          <w:sz w:val="16"/>
          <w:szCs w:val="16"/>
          <w:color w:val="auto"/>
        </w:rPr>
        <w:t>. Except where otherwise indicated by the context or where the term is otherwise defined for a specific purpose, the term “</w:t>
      </w:r>
      <w:r>
        <w:rPr>
          <w:rFonts w:ascii="Arial" w:cs="Arial" w:eastAsia="Arial" w:hAnsi="Arial"/>
          <w:sz w:val="16"/>
          <w:szCs w:val="16"/>
          <w:b w:val="1"/>
          <w:bCs w:val="1"/>
          <w:color w:val="auto"/>
        </w:rPr>
        <w:t>Event of Default</w:t>
      </w:r>
      <w:r>
        <w:rPr>
          <w:rFonts w:ascii="Arial" w:cs="Arial" w:eastAsia="Arial" w:hAnsi="Arial"/>
          <w:sz w:val="16"/>
          <w:szCs w:val="16"/>
          <w:color w:val="auto"/>
        </w:rPr>
        <w:t>” as used in this Indenture with respect to Securities of any series shall mean one of the following described events unless it is either inapplicable to a particular series or it is specifically deleted or modified in the manner contemplated in Section 3.01 hereof:</w:t>
      </w:r>
    </w:p>
    <w:p>
      <w:pPr>
        <w:spacing w:after="0" w:line="41" w:lineRule="exact"/>
        <w:rPr>
          <w:sz w:val="20"/>
          <w:szCs w:val="20"/>
          <w:color w:val="auto"/>
        </w:rPr>
      </w:pPr>
    </w:p>
    <w:p>
      <w:pPr>
        <w:ind w:left="1200" w:hanging="252"/>
        <w:spacing w:after="0"/>
        <w:tabs>
          <w:tab w:leader="none" w:pos="12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does not pay interest on any of the Senior Notes within 30 days of their due date;</w:t>
      </w:r>
    </w:p>
    <w:p>
      <w:pPr>
        <w:spacing w:after="0" w:line="117" w:lineRule="exact"/>
        <w:rPr>
          <w:rFonts w:ascii="Arial" w:cs="Arial" w:eastAsia="Arial" w:hAnsi="Arial"/>
          <w:sz w:val="18"/>
          <w:szCs w:val="18"/>
          <w:color w:val="auto"/>
        </w:rPr>
      </w:pPr>
    </w:p>
    <w:p>
      <w:pPr>
        <w:ind w:left="540" w:firstLine="408"/>
        <w:spacing w:after="0" w:line="277" w:lineRule="auto"/>
        <w:tabs>
          <w:tab w:leader="none" w:pos="119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fails to pay the principal (or premium, if any) of any Senior Notes when such principal becomes due and payable, at Maturity, upon acceleration, upon redemption or otherwise;</w:t>
      </w:r>
    </w:p>
    <w:p>
      <w:pPr>
        <w:spacing w:after="0" w:line="62" w:lineRule="exact"/>
        <w:rPr>
          <w:rFonts w:ascii="Arial" w:cs="Arial" w:eastAsia="Arial" w:hAnsi="Arial"/>
          <w:sz w:val="18"/>
          <w:szCs w:val="18"/>
          <w:color w:val="auto"/>
        </w:rPr>
      </w:pPr>
    </w:p>
    <w:p>
      <w:pPr>
        <w:ind w:left="1200" w:hanging="252"/>
        <w:spacing w:after="0"/>
        <w:tabs>
          <w:tab w:leader="none" w:pos="12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obligations under Section 6.04 hereof;</w:t>
      </w:r>
    </w:p>
    <w:p>
      <w:pPr>
        <w:spacing w:after="0" w:line="117" w:lineRule="exact"/>
        <w:rPr>
          <w:rFonts w:ascii="Arial" w:cs="Arial" w:eastAsia="Arial" w:hAnsi="Arial"/>
          <w:sz w:val="18"/>
          <w:szCs w:val="18"/>
          <w:color w:val="auto"/>
        </w:rPr>
      </w:pPr>
    </w:p>
    <w:p>
      <w:pPr>
        <w:ind w:left="540" w:right="20" w:firstLine="408"/>
        <w:spacing w:after="0" w:line="311" w:lineRule="auto"/>
        <w:tabs>
          <w:tab w:leader="none" w:pos="1196"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Company remains in breach of a covenant or warranty in respect of this Indenture or the Senior Notes (other than a covenant included in this Indenture solely for the benefit of debt securities of another series) for 90 days after the Company receives a written notice of default, which notice must be sent by either the Trustee or Holders of at least 25% in principal amount of the Outstanding Senior Notes;</w:t>
      </w:r>
    </w:p>
    <w:p>
      <w:pPr>
        <w:spacing w:after="0" w:line="40" w:lineRule="exact"/>
        <w:rPr>
          <w:rFonts w:ascii="Arial" w:cs="Arial" w:eastAsia="Arial" w:hAnsi="Arial"/>
          <w:sz w:val="16"/>
          <w:szCs w:val="16"/>
          <w:color w:val="auto"/>
        </w:rPr>
      </w:pPr>
    </w:p>
    <w:p>
      <w:pPr>
        <w:ind w:left="540" w:right="40" w:firstLine="408"/>
        <w:spacing w:after="0" w:line="275" w:lineRule="auto"/>
        <w:tabs>
          <w:tab w:leader="none" w:pos="1185"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entry by a court having jurisdiction in the premises of a decree or order for relief in respect of the Company in an involuntary case under the federal Bankruptcy Laws, as now or hereafter constituted, or any other applicable federal or state bankruptcy, insolvency or other similar law now or hereafter in effect, or appointing a receiver, liquidator, assignee, custodian, trustee or sequestrator (or similar official) of the Company or of substantially all the property of the Company or ordering the winding-up or liquidation of its affairs and such decree or order shall remain unstayed and in effect for a period of 60 consecutive days;</w:t>
      </w:r>
    </w:p>
    <w:p>
      <w:pPr>
        <w:spacing w:after="0" w:line="68" w:lineRule="exact"/>
        <w:rPr>
          <w:rFonts w:ascii="Arial" w:cs="Arial" w:eastAsia="Arial" w:hAnsi="Arial"/>
          <w:sz w:val="17"/>
          <w:szCs w:val="17"/>
          <w:color w:val="auto"/>
        </w:rPr>
      </w:pPr>
    </w:p>
    <w:p>
      <w:pPr>
        <w:ind w:left="540" w:right="20" w:firstLine="408"/>
        <w:spacing w:after="0" w:line="293" w:lineRule="auto"/>
        <w:tabs>
          <w:tab w:leader="none" w:pos="1166"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commencement by the Company of a voluntary case under the federal Bankruptcy Laws, as now or hereafter constituted, or any other applicable federal or state bankruptcy, insolvency or other similar law now or hereafter in effect, or the consent by the Company to the entry of an order for relief in an involuntary case under any such law, or the consent by the Company to the appointment of or taking possession by a receiver, liquidator, assignee, trustee, custodian or sequestrator (or similar official) of the Company or of substantially all the property of the Company or the making by it of an assignment for the benefit of creditors or the admission by it in writing of its inability to pay its debts generally as they become due, or the taking of corporate action by the Company in furtherance of any action;</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99" w:name="page100"/>
    <w:bookmarkEnd w:id="99"/>
    <w:p>
      <w:pPr>
        <w:ind w:left="980" w:right="20" w:firstLine="408"/>
        <w:spacing w:after="0" w:line="279" w:lineRule="auto"/>
        <w:tabs>
          <w:tab w:leader="none" w:pos="1636" w:val="left"/>
        </w:tabs>
        <w:numPr>
          <w:ilvl w:val="1"/>
          <w:numId w:val="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or any Significant Subsidiary defaults on any of its indebtedness having an aggregate amount of at least $200,000,000, constituting a default either of payment of principal when due and payable or which results in acceleration of the indebtedness unless the default has been cured or waived or the indebtedness discharged in full within 60 days after the Company has been notified of the default by the Trustee or Holders of at least 25% in principal amount of the outstanding Senior Notes; or</w:t>
      </w:r>
    </w:p>
    <w:p>
      <w:pPr>
        <w:spacing w:after="0" w:line="63" w:lineRule="exact"/>
        <w:rPr>
          <w:rFonts w:ascii="Arial" w:cs="Arial" w:eastAsia="Arial" w:hAnsi="Arial"/>
          <w:sz w:val="17"/>
          <w:szCs w:val="17"/>
          <w:color w:val="auto"/>
        </w:rPr>
      </w:pPr>
    </w:p>
    <w:p>
      <w:pPr>
        <w:ind w:left="980" w:right="580" w:firstLine="408"/>
        <w:spacing w:after="0" w:line="286" w:lineRule="auto"/>
        <w:tabs>
          <w:tab w:leader="none" w:pos="1636" w:val="left"/>
        </w:tabs>
        <w:numPr>
          <w:ilvl w:val="1"/>
          <w:numId w:val="94"/>
        </w:numPr>
        <w:rPr>
          <w:rFonts w:ascii="Arial" w:cs="Arial" w:eastAsia="Arial" w:hAnsi="Arial"/>
          <w:sz w:val="17"/>
          <w:szCs w:val="17"/>
          <w:color w:val="auto"/>
        </w:rPr>
      </w:pPr>
      <w:r>
        <w:rPr>
          <w:rFonts w:ascii="Arial" w:cs="Arial" w:eastAsia="Arial" w:hAnsi="Arial"/>
          <w:sz w:val="17"/>
          <w:szCs w:val="17"/>
          <w:color w:val="auto"/>
        </w:rPr>
        <w:t>one or more final judgments for the payment of money in an aggregate amount in excess of $200,000,000 above available insurance or indemnity coverage shall be rendered against the Company or any Significant Subsidiary and the same shall remain undischarged for a period of 60 consecutive days during which execution shall not be effectively stayed.”</w:t>
      </w:r>
    </w:p>
    <w:p>
      <w:pPr>
        <w:spacing w:after="0" w:line="57" w:lineRule="exact"/>
        <w:rPr>
          <w:rFonts w:ascii="Arial" w:cs="Arial" w:eastAsia="Arial" w:hAnsi="Arial"/>
          <w:sz w:val="17"/>
          <w:szCs w:val="17"/>
          <w:color w:val="auto"/>
        </w:rPr>
      </w:pPr>
    </w:p>
    <w:p>
      <w:pPr>
        <w:ind w:right="560" w:firstLine="436"/>
        <w:spacing w:after="0" w:line="277" w:lineRule="auto"/>
        <w:tabs>
          <w:tab w:leader="none" w:pos="69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provisions of Section 7.02(a) of the Original Indenture as they relate to the Senior Notes, shall be replaced in their entirety with the following:</w:t>
      </w:r>
    </w:p>
    <w:p>
      <w:pPr>
        <w:spacing w:after="0" w:line="62" w:lineRule="exact"/>
        <w:rPr>
          <w:sz w:val="20"/>
          <w:szCs w:val="20"/>
          <w:color w:val="auto"/>
        </w:rPr>
      </w:pPr>
    </w:p>
    <w:p>
      <w:pPr>
        <w:ind w:left="440" w:firstLine="423"/>
        <w:spacing w:after="0" w:line="283" w:lineRule="auto"/>
        <w:rPr>
          <w:sz w:val="20"/>
          <w:szCs w:val="20"/>
          <w:color w:val="auto"/>
        </w:rPr>
      </w:pPr>
      <w:r>
        <w:rPr>
          <w:rFonts w:ascii="Arial" w:cs="Arial" w:eastAsia="Arial" w:hAnsi="Arial"/>
          <w:sz w:val="16"/>
          <w:szCs w:val="16"/>
          <w:color w:val="auto"/>
        </w:rPr>
        <w:t>“(a) Except as otherwise provided as contemplated by Section 3.01 hereof with respect to any series of Securities, if any one or more of the above-described Events of Default (other than an Event of Default specified in Section 7.01(e) or 7.01(f) hereof) shall happen with respect to Securities of any series at the time Outstanding, then, and in each and every such case, during the continuance of any such Event of Default, the Trustee or the Holders of 25% or more in principal amount of the Securities of such series then Outstanding may declare the principal (or premium if any) (or, if the Securities of that series are Original Issue Discount Securities, such portion of the principal amount as may be specified in the terms of that series) of and all accrued but unpaid interest on all the Securities of such series then Outstanding to be due and payable immediately by a notice in writing to the Company (and to the Trustee if given by Holders), and upon any such declaration such principal amount (or specified amount) shall become immediately due and payable. If an Event of Default specified in Section 7.01(e) or 7.01(f) hereof occurs and is continuing, then in every such case, the principal amount of all of the Securities of that series then Outstanding shall automatically, and without any declaration or any other action on the part of the Trustee or any Holder, become due and payable immediately. Upon payment of such amounts in the Currency in which such Securities are denominated (subject to Section 7.01 hereof and except as otherwise provided pursuant to</w:t>
      </w:r>
    </w:p>
    <w:p>
      <w:pPr>
        <w:spacing w:after="0" w:line="4" w:lineRule="exact"/>
        <w:rPr>
          <w:sz w:val="20"/>
          <w:szCs w:val="20"/>
          <w:color w:val="auto"/>
        </w:rPr>
      </w:pPr>
    </w:p>
    <w:p>
      <w:pPr>
        <w:ind w:left="440" w:right="320"/>
        <w:spacing w:after="0" w:line="260" w:lineRule="auto"/>
        <w:rPr>
          <w:sz w:val="20"/>
          <w:szCs w:val="20"/>
          <w:color w:val="auto"/>
        </w:rPr>
      </w:pPr>
      <w:r>
        <w:rPr>
          <w:rFonts w:ascii="Arial" w:cs="Arial" w:eastAsia="Arial" w:hAnsi="Arial"/>
          <w:sz w:val="18"/>
          <w:szCs w:val="18"/>
          <w:color w:val="auto"/>
        </w:rPr>
        <w:t>Section 3.01 hereof), all obligations of the Company in respect of the payment of principal of and interest on the Securities of such series shall terminate.”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THREE</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Payments of Additional Amounts by a Foreign Successor Issuer.</w:t>
      </w:r>
    </w:p>
    <w:p>
      <w:pPr>
        <w:spacing w:after="0" w:line="117" w:lineRule="exact"/>
        <w:rPr>
          <w:sz w:val="20"/>
          <w:szCs w:val="20"/>
          <w:color w:val="auto"/>
        </w:rPr>
      </w:pPr>
    </w:p>
    <w:p>
      <w:pPr>
        <w:ind w:left="-60" w:firstLine="436"/>
        <w:spacing w:after="0" w:line="286" w:lineRule="auto"/>
        <w:tabs>
          <w:tab w:leader="none" w:pos="625" w:val="left"/>
        </w:tabs>
        <w:numPr>
          <w:ilvl w:val="0"/>
          <w:numId w:val="96"/>
        </w:numPr>
        <w:rPr>
          <w:rFonts w:ascii="Arial" w:cs="Arial" w:eastAsia="Arial" w:hAnsi="Arial"/>
          <w:sz w:val="16"/>
          <w:szCs w:val="16"/>
          <w:color w:val="auto"/>
        </w:rPr>
      </w:pPr>
      <w:r>
        <w:rPr>
          <w:rFonts w:ascii="Arial" w:cs="Arial" w:eastAsia="Arial" w:hAnsi="Arial"/>
          <w:sz w:val="16"/>
          <w:szCs w:val="16"/>
          <w:color w:val="auto"/>
        </w:rPr>
        <w:t>All payments made under or with respect to the Senior Notes by any Foreign Successor Issuer will be made free and clear of and without withholding or deduction for or on account of any present or future tax, duty, levy, impost, assessment or other governmental charge (including, without limitation, penalties, interest and other similar liabilities related thereto) of whatever nature (collectively, “</w:t>
      </w:r>
      <w:r>
        <w:rPr>
          <w:rFonts w:ascii="Arial" w:cs="Arial" w:eastAsia="Arial" w:hAnsi="Arial"/>
          <w:sz w:val="16"/>
          <w:szCs w:val="16"/>
          <w:b w:val="1"/>
          <w:bCs w:val="1"/>
          <w:color w:val="auto"/>
        </w:rPr>
        <w:t>Taxes</w:t>
      </w:r>
      <w:r>
        <w:rPr>
          <w:rFonts w:ascii="Arial" w:cs="Arial" w:eastAsia="Arial" w:hAnsi="Arial"/>
          <w:sz w:val="16"/>
          <w:szCs w:val="16"/>
          <w:color w:val="auto"/>
        </w:rPr>
        <w:t>”) imposed or levied by or on behalf of any jurisdiction in which such Foreign Successor Issuer is organized, resident or doing business for tax purposes or from or through which such Foreign Successor Issuer makes any payment on the Senior Notes, or, in each case, any department or political subdivision thereof (each, a “</w:t>
      </w:r>
      <w:r>
        <w:rPr>
          <w:rFonts w:ascii="Arial" w:cs="Arial" w:eastAsia="Arial" w:hAnsi="Arial"/>
          <w:sz w:val="16"/>
          <w:szCs w:val="16"/>
          <w:b w:val="1"/>
          <w:bCs w:val="1"/>
          <w:color w:val="auto"/>
        </w:rPr>
        <w:t>Relevant Taxing</w:t>
      </w:r>
      <w:r>
        <w:rPr>
          <w:rFonts w:ascii="Arial" w:cs="Arial" w:eastAsia="Arial" w:hAnsi="Arial"/>
          <w:sz w:val="16"/>
          <w:szCs w:val="16"/>
          <w:color w:val="auto"/>
        </w:rPr>
        <w:t xml:space="preserve"> </w:t>
      </w:r>
      <w:r>
        <w:rPr>
          <w:rFonts w:ascii="Arial" w:cs="Arial" w:eastAsia="Arial" w:hAnsi="Arial"/>
          <w:sz w:val="16"/>
          <w:szCs w:val="16"/>
          <w:b w:val="1"/>
          <w:bCs w:val="1"/>
          <w:color w:val="auto"/>
        </w:rPr>
        <w:t>Jurisdiction</w:t>
      </w:r>
      <w:r>
        <w:rPr>
          <w:rFonts w:ascii="Arial" w:cs="Arial" w:eastAsia="Arial" w:hAnsi="Arial"/>
          <w:sz w:val="16"/>
          <w:szCs w:val="16"/>
          <w:color w:val="auto"/>
        </w:rPr>
        <w:t>”), unless such Foreign Successor Issuer or any other applicable withholding agent is required to withhold or deduct Taxes by law.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avoidance of doubt a Relevant Taxing Jurisdiction shall not include the United States, any state thereof or the District of Columbia. If a Foreign Successor Issuer or any other applicable withholding agent is required by law to make any such withholding or deduction, the Foreign Successor Issuer, subject to the exceptions listed below, will pay such additional amounts (“</w:t>
      </w:r>
      <w:r>
        <w:rPr>
          <w:rFonts w:ascii="Arial" w:cs="Arial" w:eastAsia="Arial" w:hAnsi="Arial"/>
          <w:sz w:val="16"/>
          <w:szCs w:val="16"/>
          <w:b w:val="1"/>
          <w:bCs w:val="1"/>
          <w:color w:val="auto"/>
        </w:rPr>
        <w:t>Additional Amounts</w:t>
      </w:r>
      <w:r>
        <w:rPr>
          <w:rFonts w:ascii="Arial" w:cs="Arial" w:eastAsia="Arial" w:hAnsi="Arial"/>
          <w:sz w:val="16"/>
          <w:szCs w:val="16"/>
          <w:color w:val="auto"/>
        </w:rPr>
        <w:t>”) as may be necessary to ensure that the net amount received by each beneficial owner of the Senior Notes after such withholding or deduction (including withholding or deduction attributable to Additional Amounts payable hereunder) will not be less than the amount the beneficial owner would have received if such Taxes had not been withheld or deducted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applicable withholding agent is a Person other than a Foreign Successor Issuer, the Additional Amounts payable by the Foreign Successor Issuer under this Section 3.1 shall not exceed the Additional Amounts that would have been payable by the Foreign Successor Issuer under this Section 3.1 had the Foreign Successor Issuer been the applicable withholding agent (</w:t>
      </w:r>
      <w:r>
        <w:rPr>
          <w:rFonts w:ascii="Arial" w:cs="Arial" w:eastAsia="Arial" w:hAnsi="Arial"/>
          <w:sz w:val="16"/>
          <w:szCs w:val="16"/>
          <w:i w:val="1"/>
          <w:iCs w:val="1"/>
          <w:color w:val="auto"/>
        </w:rPr>
        <w:t>i.e.</w:t>
      </w:r>
      <w:r>
        <w:rPr>
          <w:rFonts w:ascii="Arial" w:cs="Arial" w:eastAsia="Arial" w:hAnsi="Arial"/>
          <w:sz w:val="16"/>
          <w:szCs w:val="16"/>
          <w:color w:val="auto"/>
        </w:rPr>
        <w:t>, had the Foreign Successor Issuer made payments directly to the applicable beneficial owner of the Senior Notes)).</w:t>
      </w:r>
    </w:p>
    <w:p>
      <w:pPr>
        <w:spacing w:after="0" w:line="59" w:lineRule="exact"/>
        <w:rPr>
          <w:rFonts w:ascii="Arial" w:cs="Arial" w:eastAsia="Arial" w:hAnsi="Arial"/>
          <w:sz w:val="16"/>
          <w:szCs w:val="16"/>
          <w:color w:val="auto"/>
        </w:rPr>
      </w:pPr>
    </w:p>
    <w:p>
      <w:pPr>
        <w:ind w:left="640" w:hanging="264"/>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Foreign Successor Issuer will not, however, pay Additional Amounts to a Holder or beneficial owner of Senior Notes:</w:t>
      </w:r>
    </w:p>
    <w:p>
      <w:pPr>
        <w:spacing w:after="0" w:line="117" w:lineRule="exact"/>
        <w:rPr>
          <w:rFonts w:ascii="Arial" w:cs="Arial" w:eastAsia="Arial" w:hAnsi="Arial"/>
          <w:sz w:val="18"/>
          <w:szCs w:val="18"/>
          <w:color w:val="auto"/>
        </w:rPr>
      </w:pPr>
    </w:p>
    <w:p>
      <w:pPr>
        <w:ind w:left="380" w:right="140" w:firstLine="948"/>
        <w:spacing w:after="0" w:line="259" w:lineRule="auto"/>
        <w:tabs>
          <w:tab w:leader="none" w:pos="1547" w:val="left"/>
        </w:tabs>
        <w:numPr>
          <w:ilvl w:val="1"/>
          <w:numId w:val="96"/>
        </w:numPr>
        <w:rPr>
          <w:rFonts w:ascii="Arial" w:cs="Arial" w:eastAsia="Arial" w:hAnsi="Arial"/>
          <w:sz w:val="18"/>
          <w:szCs w:val="18"/>
          <w:color w:val="auto"/>
        </w:rPr>
      </w:pPr>
      <w:r>
        <w:rPr>
          <w:rFonts w:ascii="Arial" w:cs="Arial" w:eastAsia="Arial" w:hAnsi="Arial"/>
          <w:sz w:val="18"/>
          <w:szCs w:val="18"/>
          <w:color w:val="auto"/>
        </w:rPr>
        <w:t>to the extent the Taxes giving rise to such Additional Amounts would not have been imposed, withheld or deducted but for the Holder’s or beneficial owner’s present or former connection with the Relevant Taxing Jurisdiction (other than any connection resulting from the acquisition, ownership, holding or disposition of Senior Notes, the receipt of payments thereunder and/or the exercise or enforcement of rights under any Senior Notes);</w:t>
      </w:r>
    </w:p>
    <w:p>
      <w:pPr>
        <w:spacing w:after="0" w:line="78" w:lineRule="exact"/>
        <w:rPr>
          <w:rFonts w:ascii="Arial" w:cs="Arial" w:eastAsia="Arial" w:hAnsi="Arial"/>
          <w:sz w:val="18"/>
          <w:szCs w:val="18"/>
          <w:color w:val="auto"/>
        </w:rPr>
      </w:pPr>
    </w:p>
    <w:p>
      <w:pPr>
        <w:ind w:left="380" w:right="180" w:firstLine="948"/>
        <w:spacing w:after="0" w:line="286" w:lineRule="auto"/>
        <w:tabs>
          <w:tab w:leader="none" w:pos="1597" w:val="left"/>
        </w:tabs>
        <w:numPr>
          <w:ilvl w:val="1"/>
          <w:numId w:val="96"/>
        </w:numPr>
        <w:rPr>
          <w:rFonts w:ascii="Arial" w:cs="Arial" w:eastAsia="Arial" w:hAnsi="Arial"/>
          <w:sz w:val="17"/>
          <w:szCs w:val="17"/>
          <w:color w:val="auto"/>
        </w:rPr>
      </w:pPr>
      <w:r>
        <w:rPr>
          <w:rFonts w:ascii="Arial" w:cs="Arial" w:eastAsia="Arial" w:hAnsi="Arial"/>
          <w:sz w:val="17"/>
          <w:szCs w:val="17"/>
          <w:color w:val="auto"/>
        </w:rPr>
        <w:t>to the extent the Taxes giving rise to such Additional Amounts would not have been imposed, withheld or deducted but for the failure of the Holder or beneficial owner of Senior Notes, following the Foreign Successor Issuer’s written request addressed to the Holder or beneficial owner, to the extent such Holder or beneficial owner is legally eligible to do so, to comply with any certification,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80"/>
          </w:cols>
          <w:pgMar w:left="500" w:top="274" w:right="519" w:bottom="1440" w:gutter="0" w:footer="0" w:header="0"/>
        </w:sectPr>
      </w:pPr>
    </w:p>
    <w:bookmarkStart w:id="101" w:name="page102"/>
    <w:bookmarkEnd w:id="101"/>
    <w:p>
      <w:pPr>
        <w:ind w:left="40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identification, information or other reporting requirements, whether required by statute, treaty, regulation or administrative practice of a Relevant Taxing Jurisdiction, as a precondition to exemption from, or reduction in the rate of deduction or withholding of, Taxes imposed by the Relevant Taxing Jurisdiction (including, without limitation, a certification that the Holder or beneficial owner is not resident in the Relevant Taxing Jurisdiction);</w:t>
      </w:r>
    </w:p>
    <w:p>
      <w:pPr>
        <w:spacing w:after="0" w:line="79" w:lineRule="exact"/>
        <w:rPr>
          <w:sz w:val="20"/>
          <w:szCs w:val="20"/>
          <w:color w:val="auto"/>
        </w:rPr>
      </w:pPr>
    </w:p>
    <w:p>
      <w:pPr>
        <w:ind w:left="1660" w:hanging="312"/>
        <w:spacing w:after="0"/>
        <w:tabs>
          <w:tab w:leader="none" w:pos="1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with respect to any estate, inheritance, gift, sales, transfer, personal property, wealth or any similar Taxes;</w:t>
      </w:r>
    </w:p>
    <w:p>
      <w:pPr>
        <w:spacing w:after="0" w:line="117" w:lineRule="exact"/>
        <w:rPr>
          <w:rFonts w:ascii="Arial" w:cs="Arial" w:eastAsia="Arial" w:hAnsi="Arial"/>
          <w:sz w:val="18"/>
          <w:szCs w:val="18"/>
          <w:color w:val="auto"/>
        </w:rPr>
      </w:pPr>
    </w:p>
    <w:p>
      <w:pPr>
        <w:ind w:left="400" w:right="60" w:firstLine="948"/>
        <w:spacing w:after="0" w:line="257" w:lineRule="auto"/>
        <w:tabs>
          <w:tab w:leader="none" w:pos="1657" w:val="left"/>
        </w:tabs>
        <w:numPr>
          <w:ilvl w:val="1"/>
          <w:numId w:val="97"/>
        </w:numPr>
        <w:rPr>
          <w:rFonts w:ascii="Arial" w:cs="Arial" w:eastAsia="Arial" w:hAnsi="Arial"/>
          <w:sz w:val="18"/>
          <w:szCs w:val="18"/>
          <w:color w:val="auto"/>
        </w:rPr>
      </w:pPr>
      <w:r>
        <w:rPr>
          <w:rFonts w:ascii="Arial" w:cs="Arial" w:eastAsia="Arial" w:hAnsi="Arial"/>
          <w:sz w:val="18"/>
          <w:szCs w:val="18"/>
          <w:color w:val="auto"/>
        </w:rPr>
        <w:t>if such Holder is a fiduciary or partnership or Person other than the sole beneficial owner of such payment and the Taxes giving rise to such Additional Amounts would not have been imposed on such payment had the Holder been the beneficiary, partner or sole beneficial owner, as the case may be, of such Senior Note (but only if there is no material cost or expense associated with transferring such Senior Note to such beneficiary, partner or sole beneficial owner and no restriction on such transfer that is outside the control of such beneficiary, partner or sole beneficial owner);</w:t>
      </w:r>
    </w:p>
    <w:p>
      <w:pPr>
        <w:spacing w:after="0" w:line="79" w:lineRule="exact"/>
        <w:rPr>
          <w:rFonts w:ascii="Arial" w:cs="Arial" w:eastAsia="Arial" w:hAnsi="Arial"/>
          <w:sz w:val="18"/>
          <w:szCs w:val="18"/>
          <w:color w:val="auto"/>
        </w:rPr>
      </w:pPr>
    </w:p>
    <w:p>
      <w:pPr>
        <w:ind w:left="400" w:right="100" w:firstLine="948"/>
        <w:spacing w:after="0" w:line="311" w:lineRule="auto"/>
        <w:tabs>
          <w:tab w:leader="none" w:pos="1607" w:val="left"/>
        </w:tabs>
        <w:numPr>
          <w:ilvl w:val="1"/>
          <w:numId w:val="97"/>
        </w:numPr>
        <w:rPr>
          <w:rFonts w:ascii="Arial" w:cs="Arial" w:eastAsia="Arial" w:hAnsi="Arial"/>
          <w:sz w:val="16"/>
          <w:szCs w:val="16"/>
          <w:color w:val="auto"/>
        </w:rPr>
      </w:pPr>
      <w:r>
        <w:rPr>
          <w:rFonts w:ascii="Arial" w:cs="Arial" w:eastAsia="Arial" w:hAnsi="Arial"/>
          <w:sz w:val="16"/>
          <w:szCs w:val="16"/>
          <w:color w:val="auto"/>
        </w:rPr>
        <w:t>to the extent the Taxes giving rise to such Additional Amounts would not have been imposed, withheld or deducted but for the presentation by the Holder or beneficial owner of any Senior Note, where presentation is required, for payment on a date more than 30 days after the date on which payment became due and payable or the date on which payment thereof is duly provided for, whichever occurs later;</w:t>
      </w:r>
    </w:p>
    <w:p>
      <w:pPr>
        <w:spacing w:after="0" w:line="40" w:lineRule="exact"/>
        <w:rPr>
          <w:rFonts w:ascii="Arial" w:cs="Arial" w:eastAsia="Arial" w:hAnsi="Arial"/>
          <w:sz w:val="16"/>
          <w:szCs w:val="16"/>
          <w:color w:val="auto"/>
        </w:rPr>
      </w:pPr>
    </w:p>
    <w:p>
      <w:pPr>
        <w:ind w:left="400" w:right="40" w:firstLine="948"/>
        <w:spacing w:after="0" w:line="275" w:lineRule="auto"/>
        <w:tabs>
          <w:tab w:leader="none" w:pos="1657" w:val="left"/>
        </w:tabs>
        <w:numPr>
          <w:ilvl w:val="1"/>
          <w:numId w:val="97"/>
        </w:numPr>
        <w:rPr>
          <w:rFonts w:ascii="Arial" w:cs="Arial" w:eastAsia="Arial" w:hAnsi="Arial"/>
          <w:sz w:val="17"/>
          <w:szCs w:val="17"/>
          <w:color w:val="auto"/>
        </w:rPr>
      </w:pPr>
      <w:r>
        <w:rPr>
          <w:rFonts w:ascii="Arial" w:cs="Arial" w:eastAsia="Arial" w:hAnsi="Arial"/>
          <w:sz w:val="17"/>
          <w:szCs w:val="17"/>
          <w:color w:val="auto"/>
        </w:rPr>
        <w:t>with respect to any withholding or deduction required pursuant to Sections 1471 through 1474 of the Code (or any amended or successor version that is substantively comparable and not materially more onerous to comply with), any current or future regulations or official interpretations thereof, any agreement entered into pursuant to current Section 1471(b) of the Code (or any amended or successor version as described above) or any related fiscal or regulatory legislation, rules or official administrative practice adopted pursuant to any intergovernmental agreement entered into in connection with implementing any of the foregoing; or</w:t>
      </w:r>
    </w:p>
    <w:p>
      <w:pPr>
        <w:spacing w:after="0" w:line="68" w:lineRule="exact"/>
        <w:rPr>
          <w:rFonts w:ascii="Arial" w:cs="Arial" w:eastAsia="Arial" w:hAnsi="Arial"/>
          <w:sz w:val="17"/>
          <w:szCs w:val="17"/>
          <w:color w:val="auto"/>
        </w:rPr>
      </w:pPr>
    </w:p>
    <w:p>
      <w:pPr>
        <w:ind w:left="1700" w:hanging="352"/>
        <w:spacing w:after="0"/>
        <w:tabs>
          <w:tab w:leader="none" w:pos="17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combination of items (i), (ii), (iii), (iv), (v) and (vi).</w:t>
      </w:r>
    </w:p>
    <w:p>
      <w:pPr>
        <w:spacing w:after="0" w:line="117" w:lineRule="exact"/>
        <w:rPr>
          <w:rFonts w:ascii="Arial" w:cs="Arial" w:eastAsia="Arial" w:hAnsi="Arial"/>
          <w:sz w:val="18"/>
          <w:szCs w:val="18"/>
          <w:color w:val="auto"/>
        </w:rPr>
      </w:pPr>
    </w:p>
    <w:p>
      <w:pPr>
        <w:ind w:left="-40" w:firstLine="436"/>
        <w:spacing w:after="0" w:line="293" w:lineRule="auto"/>
        <w:tabs>
          <w:tab w:leader="none" w:pos="645" w:val="left"/>
        </w:tabs>
        <w:numPr>
          <w:ilvl w:val="0"/>
          <w:numId w:val="98"/>
        </w:numPr>
        <w:rPr>
          <w:rFonts w:ascii="Arial" w:cs="Arial" w:eastAsia="Arial" w:hAnsi="Arial"/>
          <w:sz w:val="16"/>
          <w:szCs w:val="16"/>
          <w:color w:val="auto"/>
        </w:rPr>
      </w:pPr>
      <w:r>
        <w:rPr>
          <w:rFonts w:ascii="Arial" w:cs="Arial" w:eastAsia="Arial" w:hAnsi="Arial"/>
          <w:sz w:val="16"/>
          <w:szCs w:val="16"/>
          <w:color w:val="auto"/>
        </w:rPr>
        <w:t>A Foreign Successor Issuer will (i) make any such withholding or deduction required by applicable law and (ii) remit the full amount deducted or withheld to the relevant authority in accordance with applicable law. The Foreign Successor Issuer will make reasonable efforts to obtain certified copies of tax receipts evidencing the payment of any Taxes so deducted or withheld from each Relevant Taxing Jurisdiction imposing such Taxes. The Foreign Successor Issuer will provide to the Trustee, within a reasonable time after the date the payment of any Taxes so deducted or withheld are due pursuant to applicable law, either a certified copy of tax receipts evidencing such payment, or, if such tax receipts are not reasonably available to the Foreign Successor Issuer, such other documentation that provides reasonable evidence of such payment by the Foreign Successor Issuer.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480" w:top="274" w:right="499" w:bottom="1440" w:gutter="0" w:footer="0" w:header="0"/>
        </w:sectPr>
      </w:pPr>
    </w:p>
    <w:bookmarkStart w:id="102" w:name="page103"/>
    <w:bookmarkEnd w:id="102"/>
    <w:p>
      <w:pPr>
        <w:ind w:left="-20" w:firstLine="436"/>
        <w:spacing w:after="0" w:line="272" w:lineRule="auto"/>
        <w:tabs>
          <w:tab w:leader="none" w:pos="675" w:val="left"/>
        </w:tabs>
        <w:numPr>
          <w:ilvl w:val="0"/>
          <w:numId w:val="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least 30 calendar days prior to each date on which any payment under or with respect to the Senior Notes is due and payable, if the Foreign Successor Issuer will be obligated to pay Additional Amounts with respect to such payment (unless such obligation to pay Additional Amounts arises after the 35th day prior to the date on which payment under or with respect to the Senior Notes is due and payable, in which case it will be promptly thereafter), the Foreign Successor Issuer will deliver to the Trustee an Officers’ Certificate stating that such Additional Amounts will be payable and the amounts so payable and will set forth such other information necessary to enable the Trustee to pay such Additional Amounts to Holders on the payment date. The Foreign Successor Issuer will promptly publish a notice in accordance with the Section 16.04 of the Original Indenture stating that such Additional Amounts will be payable and describing the obligation to pay such amounts.</w:t>
      </w:r>
    </w:p>
    <w:p>
      <w:pPr>
        <w:spacing w:after="0" w:line="69" w:lineRule="exact"/>
        <w:rPr>
          <w:rFonts w:ascii="Arial" w:cs="Arial" w:eastAsia="Arial" w:hAnsi="Arial"/>
          <w:sz w:val="17"/>
          <w:szCs w:val="17"/>
          <w:color w:val="auto"/>
        </w:rPr>
      </w:pPr>
    </w:p>
    <w:p>
      <w:pPr>
        <w:ind w:left="-20" w:firstLine="436"/>
        <w:spacing w:after="0" w:line="296" w:lineRule="auto"/>
        <w:tabs>
          <w:tab w:leader="none" w:pos="665"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addition, a Foreign Successor Issuer will pay any stamp, issue, registration, court, documentation, excise or other similar taxes, charges and duties, including interest and penalties with respect thereto, imposed by any Relevant Taxing Jurisdiction at any time after the merger described above in respect of the execution, issuance, registration or delivery of the Senior Notes or any other document or instrument referred to thereunder and any such taxes, charges or duties imposed by any Relevant Taxing Jurisdiction at any time after the merger described above as a result of, or in connection with, any payments made pursuant to the Senior Notes and/or the enforcement of the Senior Notes and/or any other such document or instrument.</w:t>
      </w:r>
    </w:p>
    <w:p>
      <w:pPr>
        <w:spacing w:after="0" w:line="53" w:lineRule="exact"/>
        <w:rPr>
          <w:rFonts w:ascii="Arial" w:cs="Arial" w:eastAsia="Arial" w:hAnsi="Arial"/>
          <w:sz w:val="16"/>
          <w:szCs w:val="16"/>
          <w:color w:val="auto"/>
        </w:rPr>
      </w:pPr>
    </w:p>
    <w:p>
      <w:pPr>
        <w:ind w:left="-20" w:right="160" w:firstLine="436"/>
        <w:spacing w:after="0" w:line="257" w:lineRule="auto"/>
        <w:tabs>
          <w:tab w:leader="none" w:pos="645"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The obligations described under this heading will survive any termination, defeasance or discharge of the Indenture and will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mutandis </w:t>
      </w:r>
      <w:r>
        <w:rPr>
          <w:rFonts w:ascii="Arial" w:cs="Arial" w:eastAsia="Arial" w:hAnsi="Arial"/>
          <w:sz w:val="18"/>
          <w:szCs w:val="18"/>
          <w:color w:val="auto"/>
        </w:rPr>
        <w:t>to any successor Person to any Foreign Successor Issuer (other than a Person organized under the laws of the United States, any state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or the District of Columbia) and to any jurisdiction in which such successor Person is organized, resident or doing business for tax purposes or any jurisdiction from or through which payment is made by such successor or its respective agents or, in each case, any department or political subdivision thereof.</w:t>
      </w:r>
    </w:p>
    <w:p>
      <w:pPr>
        <w:spacing w:after="0" w:line="79" w:lineRule="exact"/>
        <w:rPr>
          <w:rFonts w:ascii="Arial" w:cs="Arial" w:eastAsia="Arial" w:hAnsi="Arial"/>
          <w:sz w:val="18"/>
          <w:szCs w:val="18"/>
          <w:color w:val="auto"/>
        </w:rPr>
      </w:pPr>
    </w:p>
    <w:p>
      <w:pPr>
        <w:ind w:left="-20" w:right="80" w:firstLine="436"/>
        <w:spacing w:after="0" w:line="286" w:lineRule="auto"/>
        <w:tabs>
          <w:tab w:leader="none" w:pos="675" w:val="left"/>
        </w:tabs>
        <w:numPr>
          <w:ilvl w:val="0"/>
          <w:numId w:val="99"/>
        </w:numPr>
        <w:rPr>
          <w:rFonts w:ascii="Arial" w:cs="Arial" w:eastAsia="Arial" w:hAnsi="Arial"/>
          <w:sz w:val="17"/>
          <w:szCs w:val="17"/>
          <w:color w:val="auto"/>
        </w:rPr>
      </w:pPr>
      <w:r>
        <w:rPr>
          <w:rFonts w:ascii="Arial" w:cs="Arial" w:eastAsia="Arial" w:hAnsi="Arial"/>
          <w:sz w:val="17"/>
          <w:szCs w:val="17"/>
          <w:color w:val="auto"/>
        </w:rPr>
        <w:t>Whenever this Indenture or the Senior Notes refer to, in any context, the payment of principal, premium, if any, interest or any other amount payable under or with respect to any Senior Note, such reference includes the payment of Additional Amounts as described hereunder, to the extent that in such context Additional Amounts are, were or would be payable in respect thereof pursuant to this Section 3.1.</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Limitations on Liens</w:t>
      </w:r>
      <w:r>
        <w:rPr>
          <w:rFonts w:ascii="Arial" w:cs="Arial" w:eastAsia="Arial" w:hAnsi="Arial"/>
          <w:sz w:val="18"/>
          <w:szCs w:val="18"/>
          <w:color w:val="auto"/>
        </w:rPr>
        <w:t>.</w:t>
      </w:r>
    </w:p>
    <w:p>
      <w:pPr>
        <w:spacing w:after="0" w:line="117" w:lineRule="exact"/>
        <w:rPr>
          <w:sz w:val="20"/>
          <w:szCs w:val="20"/>
          <w:color w:val="auto"/>
        </w:rPr>
      </w:pPr>
    </w:p>
    <w:p>
      <w:pPr>
        <w:ind w:left="-20" w:firstLine="436"/>
        <w:spacing w:after="0" w:line="296" w:lineRule="auto"/>
        <w:tabs>
          <w:tab w:leader="none" w:pos="66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Company shall not (nor shall it permit any of its Significant Subsidiaries to) create or permit to exist any Lien on any Principal Property of the Company or any of its Significant Subsidiaries (or on any stock of a Significant Subsidiary), whether owned on the Issue Date or thereafter acquired, to secure any Indebtedness (any such Lien, a “</w:t>
      </w:r>
      <w:r>
        <w:rPr>
          <w:rFonts w:ascii="Arial" w:cs="Arial" w:eastAsia="Arial" w:hAnsi="Arial"/>
          <w:sz w:val="16"/>
          <w:szCs w:val="16"/>
          <w:b w:val="1"/>
          <w:bCs w:val="1"/>
          <w:color w:val="auto"/>
        </w:rPr>
        <w:t>Subject Lien</w:t>
      </w:r>
      <w:r>
        <w:rPr>
          <w:rFonts w:ascii="Arial" w:cs="Arial" w:eastAsia="Arial" w:hAnsi="Arial"/>
          <w:sz w:val="16"/>
          <w:szCs w:val="16"/>
          <w:color w:val="auto"/>
        </w:rPr>
        <w:t>”), unless the Company contemporaneously secures the Senior Notes (together with, if the Company so determines, any other Indebtedness of or guaranty by the Company or such Significant Subsidiary then existing or thereafter created that is not subordinated to the Senior Notes) equally and ratably with (or, at the option of the Company, prior to) that obligation.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60" w:top="274" w:right="459" w:bottom="1440" w:gutter="0" w:footer="0" w:header="0"/>
        </w:sectPr>
      </w:pPr>
    </w:p>
    <w:bookmarkStart w:id="103" w:name="page104"/>
    <w:bookmarkEnd w:id="103"/>
    <w:p>
      <w:pPr>
        <w:ind w:right="100" w:firstLine="436"/>
        <w:spacing w:after="0" w:line="275" w:lineRule="auto"/>
        <w:tabs>
          <w:tab w:leader="none" w:pos="695" w:val="left"/>
        </w:tabs>
        <w:numPr>
          <w:ilvl w:val="0"/>
          <w:numId w:val="1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restriction, however, shall not apply to (i) Permitted Liens and (ii) Liens securing Indebtedness if at the time of determination, after giving effect to the incurrence of such Indebtedness and to the retirement of Indebtedness which is being retired substantially concurrently therewith, the sum of (1) the aggregate principal amount of all Indebtedness of the Company and its Subsidiaries secured by Subject Liens (other than Permitted Liens) and (2) the Attributable Debt in respect of all Sale and Lease-Back Transactions not otherwise permitted under the first sentence of Section 3.3 hereof does not exceed fifteen percent of Consolidated Net Tangible Assets.</w:t>
      </w:r>
    </w:p>
    <w:p>
      <w:pPr>
        <w:spacing w:after="0" w:line="17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i w:val="1"/>
          <w:iCs w:val="1"/>
          <w:color w:val="auto"/>
        </w:rPr>
        <w:t>Limitations on Sale and Lease-Back Transactions</w:t>
      </w:r>
      <w:r>
        <w:rPr>
          <w:rFonts w:ascii="Arial" w:cs="Arial" w:eastAsia="Arial" w:hAnsi="Arial"/>
          <w:sz w:val="18"/>
          <w:szCs w:val="18"/>
          <w:color w:val="auto"/>
        </w:rPr>
        <w:t>. The Company shall not, and shall not permit any of its Significant Subsidiaries to, enter into any Sale and Lease-Back Transaction with respect to any Principal Property, other than (x) any such Sale and Lease-Back Transaction involving a lease for a term of not more than three years or (y) any such Sale and Lease-Back Transaction between the Company and one of its Subsidiaries or between its Subsidiaries, unless:</w:t>
      </w:r>
    </w:p>
    <w:p>
      <w:pPr>
        <w:spacing w:after="0" w:line="79" w:lineRule="exact"/>
        <w:rPr>
          <w:sz w:val="20"/>
          <w:szCs w:val="20"/>
          <w:color w:val="auto"/>
        </w:rPr>
      </w:pPr>
    </w:p>
    <w:p>
      <w:pPr>
        <w:ind w:right="80" w:firstLine="436"/>
        <w:spacing w:after="0" w:line="263" w:lineRule="auto"/>
        <w:tabs>
          <w:tab w:leader="none" w:pos="68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or such Significant Subsidiary would be entitled to incur Indebtedness secured by a Lien on the Principal Property involved in such Sale and Lease-Back Transaction at least equal in amount to the Attributable Debt with respect to such Sale and Lease-Back Transaction, without equally and ratably securing the Senior Notes, pursuant to Section 3.2 hereof; or</w:t>
      </w:r>
    </w:p>
    <w:p>
      <w:pPr>
        <w:spacing w:after="0" w:line="75" w:lineRule="exact"/>
        <w:rPr>
          <w:rFonts w:ascii="Arial" w:cs="Arial" w:eastAsia="Arial" w:hAnsi="Arial"/>
          <w:sz w:val="18"/>
          <w:szCs w:val="18"/>
          <w:color w:val="auto"/>
        </w:rPr>
      </w:pPr>
    </w:p>
    <w:p>
      <w:pPr>
        <w:ind w:right="580" w:firstLine="436"/>
        <w:spacing w:after="0" w:line="286" w:lineRule="auto"/>
        <w:tabs>
          <w:tab w:leader="none" w:pos="69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proceeds of such Sale and Lease-Back Transaction are at least equal to the fair market value of the affected Principal Property (as determined in good faith by the Board of Directors) and the Company applies an amount equal to the net proceeds of such Sale and Lease-Back Transaction within 365 days of such Sale and Lease-Back Transaction to any (or a combination) of:</w:t>
      </w:r>
    </w:p>
    <w:p>
      <w:pPr>
        <w:spacing w:after="0" w:line="57" w:lineRule="exact"/>
        <w:rPr>
          <w:rFonts w:ascii="Arial" w:cs="Arial" w:eastAsia="Arial" w:hAnsi="Arial"/>
          <w:sz w:val="17"/>
          <w:szCs w:val="17"/>
          <w:color w:val="auto"/>
        </w:rPr>
      </w:pPr>
    </w:p>
    <w:p>
      <w:pPr>
        <w:ind w:left="1600" w:hanging="212"/>
        <w:spacing w:after="0"/>
        <w:tabs>
          <w:tab w:leader="none" w:pos="16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prepayment or retirement of the Senior Notes;</w:t>
      </w:r>
    </w:p>
    <w:p>
      <w:pPr>
        <w:spacing w:after="0" w:line="117" w:lineRule="exact"/>
        <w:rPr>
          <w:rFonts w:ascii="Arial" w:cs="Arial" w:eastAsia="Arial" w:hAnsi="Arial"/>
          <w:sz w:val="18"/>
          <w:szCs w:val="18"/>
          <w:color w:val="auto"/>
        </w:rPr>
      </w:pPr>
    </w:p>
    <w:p>
      <w:pPr>
        <w:jc w:val="both"/>
        <w:ind w:left="440" w:right="40" w:firstLine="948"/>
        <w:spacing w:after="0" w:line="301" w:lineRule="auto"/>
        <w:tabs>
          <w:tab w:leader="none" w:pos="1657"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prepayment or retirement (other than any mandatory retirement, mandatory prepayment or sinking fund payment or by payment at Maturity) of other Indebtedness of the Company or of one of its Subsidiaries (other than Indebtedness that is subordinated to the Senior Notes or Indebtedness owed to the Company or one of its Subsidiaries) that matures more than 12 months after its creation (including any such Indebtedness that by its terms is renewable or extendible beyond 12 months from the date of its creation, at the option of the Company); or</w:t>
      </w:r>
    </w:p>
    <w:p>
      <w:pPr>
        <w:spacing w:after="0" w:line="49" w:lineRule="exact"/>
        <w:rPr>
          <w:rFonts w:ascii="Arial" w:cs="Arial" w:eastAsia="Arial" w:hAnsi="Arial"/>
          <w:sz w:val="16"/>
          <w:szCs w:val="16"/>
          <w:color w:val="auto"/>
        </w:rPr>
      </w:pPr>
    </w:p>
    <w:p>
      <w:pPr>
        <w:ind w:left="1700" w:hanging="312"/>
        <w:spacing w:after="0"/>
        <w:tabs>
          <w:tab w:leader="none" w:pos="17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purchase, construction, development, expansion or improvement of other comparable property.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440" w:top="274" w:right="539" w:bottom="1440" w:gutter="0" w:footer="0" w:header="0"/>
        </w:sectPr>
      </w:pPr>
    </w:p>
    <w:bookmarkStart w:id="104" w:name="page105"/>
    <w:bookmarkEnd w:id="104"/>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the Company and its Significant Subsidiaries shall be allowed to enter into any Sale and Lease-Back Transaction if, after giving effect to such Sale and Lease-Back Transaction, the sum of (i) the aggregate principal amount of all Indebtedness of the Company and its Subsidiaries secured by Subject Liens (other than Permitted Liens) and (ii) the Attributable Debt in respect of all Sale and Lease-Back Transactions not otherwise permitted under the first sentence of this Section 3.3, does not exceed fifteen percent of Consolidated Net Tangible Assets.</w:t>
      </w:r>
    </w:p>
    <w:p>
      <w:pPr>
        <w:spacing w:after="0" w:line="15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i w:val="1"/>
          <w:iCs w:val="1"/>
          <w:color w:val="auto"/>
        </w:rPr>
        <w:t>Limitations on Mergers and Other Transactions</w:t>
      </w:r>
      <w:r>
        <w:rPr>
          <w:rFonts w:ascii="Arial" w:cs="Arial" w:eastAsia="Arial" w:hAnsi="Arial"/>
          <w:sz w:val="18"/>
          <w:szCs w:val="18"/>
          <w:color w:val="auto"/>
        </w:rPr>
        <w:t>. With respect to the Senior Notes, the provisions of Section 6.04 of the Original Indenture shall be replaced in its entirety with the following:</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Company May Consolidate, Etc., Only on Certain Terms</w:t>
      </w:r>
      <w:r>
        <w:rPr>
          <w:rFonts w:ascii="Arial" w:cs="Arial" w:eastAsia="Arial" w:hAnsi="Arial"/>
          <w:sz w:val="18"/>
          <w:szCs w:val="18"/>
          <w:color w:val="auto"/>
        </w:rPr>
        <w:t>.</w:t>
      </w:r>
    </w:p>
    <w:p>
      <w:pPr>
        <w:spacing w:after="0" w:line="117" w:lineRule="exact"/>
        <w:rPr>
          <w:sz w:val="20"/>
          <w:szCs w:val="20"/>
          <w:color w:val="auto"/>
        </w:rPr>
      </w:pPr>
    </w:p>
    <w:p>
      <w:pPr>
        <w:ind w:left="440" w:right="140" w:firstLine="419"/>
        <w:spacing w:after="0" w:line="277" w:lineRule="auto"/>
        <w:tabs>
          <w:tab w:leader="none" w:pos="110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shall not consolidate or merge with another entity or sell, transfer or otherwise convey all or substantially all of its assets to another entity, unless in each case:</w:t>
      </w:r>
    </w:p>
    <w:p>
      <w:pPr>
        <w:spacing w:after="0" w:line="62" w:lineRule="exact"/>
        <w:rPr>
          <w:rFonts w:ascii="Arial" w:cs="Arial" w:eastAsia="Arial" w:hAnsi="Arial"/>
          <w:sz w:val="18"/>
          <w:szCs w:val="18"/>
          <w:color w:val="auto"/>
        </w:rPr>
      </w:pPr>
    </w:p>
    <w:p>
      <w:pPr>
        <w:ind w:left="980" w:right="260" w:firstLine="408"/>
        <w:spacing w:after="0" w:line="286" w:lineRule="auto"/>
        <w:tabs>
          <w:tab w:leader="none" w:pos="1636"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the resulting entity (if other than the Company) (x) is a Person organized under the laws of any U.S. jurisdiction, the United Kingdom or any country that is a member of the European Union on the Issue Date and (y) delivers a supplemental indenture by which such surviving entity expressly assumes the Company’s obligations under the Indenture; and</w:t>
      </w:r>
    </w:p>
    <w:p>
      <w:pPr>
        <w:spacing w:after="0" w:line="57" w:lineRule="exact"/>
        <w:rPr>
          <w:rFonts w:ascii="Arial" w:cs="Arial" w:eastAsia="Arial" w:hAnsi="Arial"/>
          <w:sz w:val="17"/>
          <w:szCs w:val="17"/>
          <w:color w:val="auto"/>
        </w:rPr>
      </w:pPr>
    </w:p>
    <w:p>
      <w:pPr>
        <w:ind w:left="980" w:right="440" w:firstLine="408"/>
        <w:spacing w:after="0" w:line="308" w:lineRule="auto"/>
        <w:tabs>
          <w:tab w:leader="none" w:pos="1636" w:val="left"/>
        </w:tabs>
        <w:numPr>
          <w:ilvl w:val="1"/>
          <w:numId w:val="103"/>
        </w:numPr>
        <w:rPr>
          <w:rFonts w:ascii="Arial" w:cs="Arial" w:eastAsia="Arial" w:hAnsi="Arial"/>
          <w:sz w:val="17"/>
          <w:szCs w:val="17"/>
          <w:color w:val="auto"/>
        </w:rPr>
      </w:pPr>
      <w:r>
        <w:rPr>
          <w:rFonts w:ascii="Arial" w:cs="Arial" w:eastAsia="Arial" w:hAnsi="Arial"/>
          <w:sz w:val="17"/>
          <w:szCs w:val="17"/>
          <w:color w:val="auto"/>
        </w:rPr>
        <w:t>immediately following the consolidation, merger, sale or conveyance, no Event of Default (as defined below) (and no event which, after notice or lapse of time or both, would become an Event of Default) shall have occurred and be continuing.</w:t>
      </w:r>
    </w:p>
    <w:p>
      <w:pPr>
        <w:spacing w:after="0" w:line="38" w:lineRule="exact"/>
        <w:rPr>
          <w:rFonts w:ascii="Arial" w:cs="Arial" w:eastAsia="Arial" w:hAnsi="Arial"/>
          <w:sz w:val="17"/>
          <w:szCs w:val="17"/>
          <w:color w:val="auto"/>
        </w:rPr>
      </w:pPr>
    </w:p>
    <w:p>
      <w:pPr>
        <w:ind w:left="440" w:firstLine="419"/>
        <w:spacing w:after="0" w:line="273" w:lineRule="auto"/>
        <w:tabs>
          <w:tab w:leader="none" w:pos="111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Upon any consolidation of the Company with, or merger of the Company into, any other Person or any conveyance, transfer or lease of the properties and assets of the Company substantially as an entirety to another Person in accordance with Section 6.04(a) hereof, the successor Person formed by such consolidation or into which the Company is merged or to which such merger, sale or conveyance,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i w:val="1"/>
          <w:iCs w:val="1"/>
          <w:color w:val="auto"/>
        </w:rPr>
        <w:t>Repurchase upon Change of Control Triggering Event</w:t>
      </w:r>
      <w:r>
        <w:rPr>
          <w:rFonts w:ascii="Arial" w:cs="Arial" w:eastAsia="Arial" w:hAnsi="Arial"/>
          <w:sz w:val="18"/>
          <w:szCs w:val="18"/>
          <w:color w:val="auto"/>
        </w:rPr>
        <w:t>.</w:t>
      </w:r>
    </w:p>
    <w:p>
      <w:pPr>
        <w:spacing w:after="0" w:line="117" w:lineRule="exact"/>
        <w:rPr>
          <w:sz w:val="20"/>
          <w:szCs w:val="20"/>
          <w:color w:val="auto"/>
        </w:rPr>
      </w:pPr>
    </w:p>
    <w:p>
      <w:pPr>
        <w:ind w:right="120" w:firstLine="436"/>
        <w:spacing w:after="0" w:line="296" w:lineRule="auto"/>
        <w:tabs>
          <w:tab w:leader="none" w:pos="68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a Change of Control Triggering Event occurs with respect to the Senior Notes, unless the Company has exercised its right pursuant to Section 4.1, Section 4.2 or Section 4.4 hereof to redeem the Senior Notes, the Company will make an offer to each Holder of the Senior Notes to repurchase all or, at such Holder’s option, any part (equal to $2,000 or any integral multiple of $1,000 in excess thereof) of such Holder’s Senior Notes (the “</w:t>
      </w:r>
      <w:r>
        <w:rPr>
          <w:rFonts w:ascii="Arial" w:cs="Arial" w:eastAsia="Arial" w:hAnsi="Arial"/>
          <w:sz w:val="16"/>
          <w:szCs w:val="16"/>
          <w:b w:val="1"/>
          <w:bCs w:val="1"/>
          <w:color w:val="auto"/>
        </w:rPr>
        <w:t>Change of Control Offer</w:t>
      </w:r>
      <w:r>
        <w:rPr>
          <w:rFonts w:ascii="Arial" w:cs="Arial" w:eastAsia="Arial" w:hAnsi="Arial"/>
          <w:sz w:val="16"/>
          <w:szCs w:val="16"/>
          <w:color w:val="auto"/>
        </w:rPr>
        <w:t>”) for payment in cash equal to 101% of the aggregate principal amount of the Senior Notes repurchased plus accrued and unpaid interest, if any, on the Senior Notes repurchased to, but not including, the date of purchase (the “</w:t>
      </w:r>
      <w:r>
        <w:rPr>
          <w:rFonts w:ascii="Arial" w:cs="Arial" w:eastAsia="Arial" w:hAnsi="Arial"/>
          <w:sz w:val="16"/>
          <w:szCs w:val="16"/>
          <w:b w:val="1"/>
          <w:bCs w:val="1"/>
          <w:color w:val="auto"/>
        </w:rPr>
        <w:t>Change of Control Payment</w:t>
      </w:r>
      <w:r>
        <w:rPr>
          <w:rFonts w:ascii="Arial" w:cs="Arial" w:eastAsia="Arial" w:hAnsi="Arial"/>
          <w:sz w:val="16"/>
          <w:szCs w:val="16"/>
          <w:color w:val="auto"/>
        </w:rPr>
        <w: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105" w:name="page106"/>
    <w:bookmarkEnd w:id="105"/>
    <w:p>
      <w:pPr>
        <w:ind w:firstLine="436"/>
        <w:spacing w:after="0" w:line="270" w:lineRule="auto"/>
        <w:tabs>
          <w:tab w:leader="none" w:pos="695" w:val="left"/>
        </w:tabs>
        <w:numPr>
          <w:ilvl w:val="0"/>
          <w:numId w:val="1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Within 30 days following any Change of Control Triggering Event with respect to the Senior Notes or, at the Company’s option, prior to any Change of Control but after the public announcement of the transaction or transactions that constitute or may constitute a Change of Control, the Company will mail a notice to Holders of the Senior Notes, with a copy to the Trustee, describing the transaction or transactions that constitute or may constitute the Change of Control Triggering Event and offering to repurchase such Senior Notes on the date specified in the notice, which date will be no earlier than 30 and no later than 60 days from the date such notice is mailed (the “</w:t>
      </w:r>
      <w:r>
        <w:rPr>
          <w:rFonts w:ascii="Arial" w:cs="Arial" w:eastAsia="Arial" w:hAnsi="Arial"/>
          <w:sz w:val="17"/>
          <w:szCs w:val="17"/>
          <w:b w:val="1"/>
          <w:bCs w:val="1"/>
          <w:color w:val="auto"/>
        </w:rPr>
        <w:t>Change of Control Payment Date</w:t>
      </w:r>
      <w:r>
        <w:rPr>
          <w:rFonts w:ascii="Arial" w:cs="Arial" w:eastAsia="Arial" w:hAnsi="Arial"/>
          <w:sz w:val="17"/>
          <w:szCs w:val="17"/>
          <w:color w:val="auto"/>
        </w:rPr>
        <w:t>”), pursuant to the procedures required by such Senior Notes and described in such notice. The notice shall, if mailed prior to the date of consummation of the Change of Control, state that the offer to purchase is conditioned on the Change of Control Triggering Event occurring on or prior to the Change of Control Payment Date. Upon ten (10) Business Days’ advance written notice to the Trustee, the Company may request the Trustee to send the notice to Holders described in this Section 3.5(b) in the name of and at the expense of the Company.</w:t>
      </w:r>
    </w:p>
    <w:p>
      <w:pPr>
        <w:spacing w:after="0" w:line="72" w:lineRule="exact"/>
        <w:rPr>
          <w:rFonts w:ascii="Arial" w:cs="Arial" w:eastAsia="Arial" w:hAnsi="Arial"/>
          <w:sz w:val="17"/>
          <w:szCs w:val="17"/>
          <w:color w:val="auto"/>
        </w:rPr>
      </w:pPr>
    </w:p>
    <w:p>
      <w:pPr>
        <w:ind w:right="60" w:firstLine="436"/>
        <w:spacing w:after="0" w:line="257" w:lineRule="auto"/>
        <w:tabs>
          <w:tab w:leader="none" w:pos="68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will comply with the requirements of Rule 14e-1 under the Exchange Act and any other securities laws and regulations thereunder to the extent those laws and regulations are applicable in connection with the repurchase of such Senior Notes as a result of a Change of Control Triggering Event. To the extent that the provisions of any such securities laws or regulations conflict with the Senior Notes or the Indenture, the Company will comply with those securities laws and regulations and will not be deemed to have breached its obligations under the Senior Notes or the Indenture by virtue of such conflict.</w:t>
      </w:r>
    </w:p>
    <w:p>
      <w:pPr>
        <w:spacing w:after="0" w:line="79" w:lineRule="exact"/>
        <w:rPr>
          <w:rFonts w:ascii="Arial" w:cs="Arial" w:eastAsia="Arial" w:hAnsi="Arial"/>
          <w:sz w:val="18"/>
          <w:szCs w:val="18"/>
          <w:color w:val="auto"/>
        </w:rPr>
      </w:pPr>
    </w:p>
    <w:p>
      <w:pPr>
        <w:ind w:left="700" w:hanging="264"/>
        <w:spacing w:after="0"/>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shall, to the extent lawful:</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accept for payment all Senior Notes or portions of Senior Notes properly tendered pursuant to the Change of Control Offer;</w:t>
      </w:r>
    </w:p>
    <w:p>
      <w:pPr>
        <w:spacing w:after="0" w:line="128" w:lineRule="exact"/>
        <w:rPr>
          <w:rFonts w:ascii="Arial" w:cs="Arial" w:eastAsia="Arial" w:hAnsi="Arial"/>
          <w:sz w:val="17"/>
          <w:szCs w:val="17"/>
          <w:color w:val="auto"/>
        </w:rPr>
      </w:pPr>
    </w:p>
    <w:p>
      <w:pPr>
        <w:ind w:left="440" w:right="260" w:firstLine="948"/>
        <w:spacing w:after="0" w:line="277" w:lineRule="auto"/>
        <w:tabs>
          <w:tab w:leader="none" w:pos="165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Senior Notes or portions of Senior Notes properly tendered; and</w:t>
      </w:r>
    </w:p>
    <w:p>
      <w:pPr>
        <w:spacing w:after="0" w:line="62" w:lineRule="exact"/>
        <w:rPr>
          <w:rFonts w:ascii="Arial" w:cs="Arial" w:eastAsia="Arial" w:hAnsi="Arial"/>
          <w:sz w:val="18"/>
          <w:szCs w:val="18"/>
          <w:color w:val="auto"/>
        </w:rPr>
      </w:pPr>
    </w:p>
    <w:p>
      <w:pPr>
        <w:ind w:left="440" w:right="500" w:firstLine="948"/>
        <w:spacing w:after="0" w:line="308" w:lineRule="auto"/>
        <w:tabs>
          <w:tab w:leader="none" w:pos="1707" w:val="left"/>
        </w:tabs>
        <w:numPr>
          <w:ilvl w:val="1"/>
          <w:numId w:val="105"/>
        </w:numPr>
        <w:rPr>
          <w:rFonts w:ascii="Arial" w:cs="Arial" w:eastAsia="Arial" w:hAnsi="Arial"/>
          <w:sz w:val="17"/>
          <w:szCs w:val="17"/>
          <w:color w:val="auto"/>
        </w:rPr>
      </w:pPr>
      <w:r>
        <w:rPr>
          <w:rFonts w:ascii="Arial" w:cs="Arial" w:eastAsia="Arial" w:hAnsi="Arial"/>
          <w:sz w:val="17"/>
          <w:szCs w:val="17"/>
          <w:color w:val="auto"/>
        </w:rPr>
        <w:t>deliver or cause to be delivered to the Trustee or the Paying Agent properly accepted together with an Officer’s Certificate stating the aggregate principal amount of Senior Notes or portions of Senior Notes being purchased by the Company.</w:t>
      </w:r>
    </w:p>
    <w:p>
      <w:pPr>
        <w:spacing w:after="0" w:line="38" w:lineRule="exact"/>
        <w:rPr>
          <w:rFonts w:ascii="Arial" w:cs="Arial" w:eastAsia="Arial" w:hAnsi="Arial"/>
          <w:sz w:val="17"/>
          <w:szCs w:val="17"/>
          <w:color w:val="auto"/>
        </w:rPr>
      </w:pPr>
    </w:p>
    <w:p>
      <w:pPr>
        <w:jc w:val="both"/>
        <w:ind w:right="100" w:firstLine="436"/>
        <w:spacing w:after="0" w:line="259" w:lineRule="auto"/>
        <w:tabs>
          <w:tab w:leader="none" w:pos="68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The Paying Agent shall promptly mail, to each Holder who properly tendered Senior Notes, the purchase price for such Senior Notes, and the Trustee shall promptly authenticate and mail (or cause to be transferred by book entry) to each such Holder a new Security equal in principal amount to any unpurchased portion of the Senior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Security will be in a principal amount of $2,000 or an integral multiple of $1,000 in excess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06" w:name="page107"/>
    <w:bookmarkEnd w:id="106"/>
    <w:p>
      <w:pPr>
        <w:ind w:right="20" w:firstLine="436"/>
        <w:spacing w:after="0" w:line="296" w:lineRule="auto"/>
        <w:tabs>
          <w:tab w:leader="none" w:pos="665" w:val="left"/>
        </w:tabs>
        <w:numPr>
          <w:ilvl w:val="0"/>
          <w:numId w:val="1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will not be required to make a Change of Control Offer upon a Change of Control Triggering Event if a third party makes such a Change of Control Offer in the manner, at the times and otherwise in compliance with the requirements set forth in this Eleventh Supplemental Indenture applicable to a Change of Control Offer made by the Company and such third party purchases all Senior Notes properly tendered and not withdrawn under its Change of Control Offer. In the event that such third party terminates or defaults on its Change of Control Offer, the Company shall make a Change of Control Offer treating the date of such termination or default as though it were the date of the Change of Control Triggering Event.</w:t>
      </w:r>
    </w:p>
    <w:p>
      <w:pPr>
        <w:spacing w:after="0" w:line="53" w:lineRule="exact"/>
        <w:rPr>
          <w:rFonts w:ascii="Arial" w:cs="Arial" w:eastAsia="Arial" w:hAnsi="Arial"/>
          <w:sz w:val="16"/>
          <w:szCs w:val="16"/>
          <w:color w:val="auto"/>
        </w:rPr>
      </w:pPr>
    </w:p>
    <w:p>
      <w:pPr>
        <w:ind w:right="100" w:firstLine="436"/>
        <w:spacing w:after="0" w:line="277" w:lineRule="auto"/>
        <w:tabs>
          <w:tab w:leader="none" w:pos="69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 will not purchase any Senior Notes if there has occurred and is continuing on the Change of Control Payment Date an Event of Default under the Indenture, other than a default in the payment of the Change of Control Payment.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FOUR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Optional Redemption by Company</w:t>
      </w:r>
      <w:r>
        <w:rPr>
          <w:rFonts w:ascii="Arial" w:cs="Arial" w:eastAsia="Arial" w:hAnsi="Arial"/>
          <w:sz w:val="18"/>
          <w:szCs w:val="18"/>
          <w:color w:val="auto"/>
        </w:rPr>
        <w:t>.</w:t>
      </w:r>
    </w:p>
    <w:p>
      <w:pPr>
        <w:spacing w:after="0" w:line="117" w:lineRule="exact"/>
        <w:rPr>
          <w:sz w:val="20"/>
          <w:szCs w:val="20"/>
          <w:color w:val="auto"/>
        </w:rPr>
      </w:pPr>
    </w:p>
    <w:p>
      <w:pPr>
        <w:ind w:right="180" w:firstLine="436"/>
        <w:spacing w:after="0" w:line="342" w:lineRule="auto"/>
        <w:tabs>
          <w:tab w:leader="none" w:pos="68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Company shall have the right to redeem the Senior Notes, in whole, at any time, or in part, from time to time, prior to June 21, 2040 (six months before their maturity date (the “</w:t>
      </w:r>
      <w:r>
        <w:rPr>
          <w:rFonts w:ascii="Arial" w:cs="Arial" w:eastAsia="Arial" w:hAnsi="Arial"/>
          <w:sz w:val="16"/>
          <w:szCs w:val="16"/>
          <w:b w:val="1"/>
          <w:bCs w:val="1"/>
          <w:color w:val="auto"/>
        </w:rPr>
        <w:t>Par Call Date</w:t>
      </w:r>
      <w:r>
        <w:rPr>
          <w:rFonts w:ascii="Arial" w:cs="Arial" w:eastAsia="Arial" w:hAnsi="Arial"/>
          <w:sz w:val="16"/>
          <w:szCs w:val="16"/>
          <w:color w:val="auto"/>
        </w:rPr>
        <w:t>”)) at a redemption price (the “</w:t>
      </w:r>
      <w:r>
        <w:rPr>
          <w:rFonts w:ascii="Arial" w:cs="Arial" w:eastAsia="Arial" w:hAnsi="Arial"/>
          <w:sz w:val="16"/>
          <w:szCs w:val="16"/>
          <w:b w:val="1"/>
          <w:bCs w:val="1"/>
          <w:color w:val="auto"/>
        </w:rPr>
        <w:t>Make-Whole Redemption Price</w:t>
      </w:r>
      <w:r>
        <w:rPr>
          <w:rFonts w:ascii="Arial" w:cs="Arial" w:eastAsia="Arial" w:hAnsi="Arial"/>
          <w:sz w:val="16"/>
          <w:szCs w:val="16"/>
          <w:color w:val="auto"/>
        </w:rPr>
        <w:t>”) equal to the greater of:</w:t>
      </w:r>
    </w:p>
    <w:p>
      <w:pPr>
        <w:spacing w:after="0" w:line="15" w:lineRule="exact"/>
        <w:rPr>
          <w:rFonts w:ascii="Arial" w:cs="Arial" w:eastAsia="Arial" w:hAnsi="Arial"/>
          <w:sz w:val="16"/>
          <w:szCs w:val="16"/>
          <w:color w:val="auto"/>
        </w:rPr>
      </w:pPr>
    </w:p>
    <w:p>
      <w:pPr>
        <w:ind w:left="1600" w:hanging="212"/>
        <w:spacing w:after="0"/>
        <w:tabs>
          <w:tab w:leader="none" w:pos="16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100% of the principal amount of the Senior Notes to be redeemed; and</w:t>
      </w:r>
    </w:p>
    <w:p>
      <w:pPr>
        <w:spacing w:after="0" w:line="117" w:lineRule="exact"/>
        <w:rPr>
          <w:rFonts w:ascii="Arial" w:cs="Arial" w:eastAsia="Arial" w:hAnsi="Arial"/>
          <w:sz w:val="18"/>
          <w:szCs w:val="18"/>
          <w:color w:val="auto"/>
        </w:rPr>
      </w:pPr>
    </w:p>
    <w:p>
      <w:pPr>
        <w:ind w:left="440" w:right="100" w:firstLine="948"/>
        <w:spacing w:after="0" w:line="301" w:lineRule="auto"/>
        <w:tabs>
          <w:tab w:leader="none" w:pos="1657"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as determined by the Quotation Agent, the sum of the present values of the remaining scheduled payments of principal and interest in respect of the Senior Notes to be redeemed (assuming the Senior Notes matured on the Par Call Date and exclusive of interest accrued and unpaid as of the Redemption Date) discounted to the Redemption Date on a semi-annual basis (assuming a 360-day year consisting of twelve 30-day months), at a rate equal to the Treasury Rate plus 15 basis points, plus accrued and unpaid interest thereon to the Redemption Date.</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If the Redemption Date is after a Record Date and on or prior to a corresponding Interest Payment Date, interest will be paid on the Redemption Date to the holder of record on the Record Date. On and after a Redemption Date, interest will cease to accrue on the Senior Notes called for redemption (unless the Company defaults in the payment of the Make-Whole Redemption Price and accrued interest). On or before a Redemption Date, the Company will deposit with the Paying Agent (or the Trustee) money sufficient to pay the Make-Whole Redemption Price of and accrued interest on the Senior Notes to be redeemed on that date. If less than all of the Senior Notes are to be redeemed, the Senior Notes to be redeemed shall be selected by the Trustee pro rata or by lot or by a method the Trustee deems to be fair and appropriate;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the time of redemption the Senior Notes to be redeemed are registered as one or more Global Securities, the Depositary shall determine, in accordance with its procedures, the principal amount of the Senior Notes to be redeemed held by each Holder of such Senior Notes.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07" w:name="page108"/>
    <w:bookmarkEnd w:id="107"/>
    <w:p>
      <w:pPr>
        <w:ind w:right="220" w:firstLine="436"/>
        <w:spacing w:after="0" w:line="263" w:lineRule="auto"/>
        <w:tabs>
          <w:tab w:leader="none" w:pos="695"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at any time on or after the Par Call Date, the Company shall have the right to redeem the Senior Notes, in whole, at any time, or in part, from time to time, at a redemption price equal to 100% of the principal amount of the Senior Notes to be redeemed plus accrued and unpaid interest thereon to, but excluding, the Redemption Date.</w:t>
      </w:r>
    </w:p>
    <w:p>
      <w:pPr>
        <w:spacing w:after="0" w:line="75" w:lineRule="exact"/>
        <w:rPr>
          <w:rFonts w:ascii="Arial" w:cs="Arial" w:eastAsia="Arial" w:hAnsi="Arial"/>
          <w:sz w:val="18"/>
          <w:szCs w:val="18"/>
          <w:color w:val="auto"/>
        </w:rPr>
      </w:pPr>
    </w:p>
    <w:p>
      <w:pPr>
        <w:ind w:right="20" w:firstLine="436"/>
        <w:spacing w:after="0" w:line="271" w:lineRule="auto"/>
        <w:tabs>
          <w:tab w:leader="none" w:pos="68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Notice of any redemption pursuant to this Section 4.1 shall be given as provided in Section 4.03 of the Original Indenture, with a copy to the Paying Agent; provided, that, with respect to the Senior Notes, the number “30” referenced in Section 4.03(a) of the Original Indenture shall be replaced with the number “10”. Any notice of redemption will be given prior to the applicable Redemption Date and any such notice of redemption may, at the Company’s discretion, be subject to one or more conditions precedent, including, but not limited to, completion of securities offerings or other corporate transactions. If the Company requests the Trustee to provide such notice of redemption pursuant to Section 4.03 of the Original Indenture, the Trustee shall receive written notice from the Company at least 10 days prior to when such notice of redemption is to be delivered (unless a shorter period is agreed by the Trustee). The Trustee shall not be responsible for the calculation of such Make-Whole Redemption Price. The Company shall calculate such Make-Whole Redemption Price and promptly notify the Trustee in writing thereof.</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Tax Redemption</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as a result of:</w:t>
      </w:r>
    </w:p>
    <w:p>
      <w:pPr>
        <w:spacing w:after="0" w:line="117" w:lineRule="exact"/>
        <w:rPr>
          <w:sz w:val="20"/>
          <w:szCs w:val="20"/>
          <w:color w:val="auto"/>
        </w:rPr>
      </w:pPr>
    </w:p>
    <w:p>
      <w:pPr>
        <w:jc w:val="both"/>
        <w:ind w:left="440" w:firstLine="419"/>
        <w:spacing w:after="0" w:line="286" w:lineRule="auto"/>
        <w:tabs>
          <w:tab w:leader="none" w:pos="107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any amendment to, or change in, the laws (or regulations or rulings promulgated thereunder) of any Relevant Taxing Jurisdiction which is announced and becomes effective after the date on which a Foreign Successor Issuer becomes a Foreign Successor Issuer (or, where a jurisdiction in question does not become a Relevant Taxing Jurisdiction until a later date, such later date); or</w:t>
      </w:r>
    </w:p>
    <w:p>
      <w:pPr>
        <w:spacing w:after="0" w:line="57" w:lineRule="exact"/>
        <w:rPr>
          <w:rFonts w:ascii="Arial" w:cs="Arial" w:eastAsia="Arial" w:hAnsi="Arial"/>
          <w:sz w:val="17"/>
          <w:szCs w:val="17"/>
          <w:color w:val="auto"/>
        </w:rPr>
      </w:pPr>
    </w:p>
    <w:p>
      <w:pPr>
        <w:ind w:left="440" w:right="220" w:firstLine="419"/>
        <w:spacing w:after="0" w:line="311" w:lineRule="auto"/>
        <w:tabs>
          <w:tab w:leader="none" w:pos="112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amendment to, or change in, the official application or official interpretation of the laws, regulations or rulings of any Relevant Taxing Jurisdiction which is announced and becomes effective after the date on which a Foreign Successor Issuer becomes a Foreign Successor Issuer (or, where a jurisdiction in question does not become a Relevant Taxing Jurisdiction until a later date, such later date),</w:t>
      </w:r>
    </w:p>
    <w:p>
      <w:pPr>
        <w:spacing w:after="0" w:line="149"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such Foreign Successor Issuer would be obligated to pay, on the next date for any payment, Additional Amounts pursuant to Section 3.1 hereof with respect to the Relevant Taxing Jurisdiction, which such Foreign Successor Issuer reasonably determines it cannot avoid by the use of reasonable measures available to it, then such Foreign Successor Issuer may redeem all, but not less than all, of the Senior Notes, at any time thereafter, upon not less than 30 nor more than 60 days’ notice, at a redemption price of 100% of their principal amount, plus accrued and unpaid interest, if any, to the Redemption Date. Prior to the giving of any notice of redemption described in this paragraph, a Foreign Successor Issuer will deliver to the Trustee: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08" w:name="page109"/>
    <w:bookmarkEnd w:id="108"/>
    <w:p>
      <w:pPr>
        <w:ind w:left="444" w:right="300" w:firstLine="419"/>
        <w:spacing w:after="0" w:line="277" w:lineRule="auto"/>
        <w:tabs>
          <w:tab w:leader="none" w:pos="1082"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certificate signed by an officer of such Foreign Successor Issuer stating that the obligation to pay the Additional Amounts cannot be avoided by such Foreign Successor Issuer’s taking reasonable measures available to it; and</w:t>
      </w:r>
    </w:p>
    <w:p>
      <w:pPr>
        <w:spacing w:after="0" w:line="62" w:lineRule="exact"/>
        <w:rPr>
          <w:rFonts w:ascii="Arial" w:cs="Arial" w:eastAsia="Arial" w:hAnsi="Arial"/>
          <w:sz w:val="18"/>
          <w:szCs w:val="18"/>
          <w:color w:val="auto"/>
        </w:rPr>
      </w:pPr>
    </w:p>
    <w:p>
      <w:pPr>
        <w:ind w:left="444" w:right="260" w:firstLine="419"/>
        <w:spacing w:after="0" w:line="263" w:lineRule="auto"/>
        <w:tabs>
          <w:tab w:leader="none" w:pos="113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written opinion of independent legal counsel to such Foreign Successor Issuer of recognized standing to the effect that such Foreign Successor Issuer has or will become obligated to pay such Additional Amounts as a result of a change, amendment, official interpretation or application described above.</w:t>
      </w:r>
    </w:p>
    <w:p>
      <w:pPr>
        <w:spacing w:after="0" w:line="184" w:lineRule="exact"/>
        <w:rPr>
          <w:sz w:val="20"/>
          <w:szCs w:val="20"/>
          <w:color w:val="auto"/>
        </w:rPr>
      </w:pPr>
    </w:p>
    <w:p>
      <w:pPr>
        <w:ind w:left="4" w:right="200" w:firstLine="440"/>
        <w:spacing w:after="0" w:line="296"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i w:val="1"/>
          <w:iCs w:val="1"/>
          <w:color w:val="auto"/>
        </w:rPr>
        <w:t>Notice of Redemption</w:t>
      </w:r>
      <w:r>
        <w:rPr>
          <w:rFonts w:ascii="Arial" w:cs="Arial" w:eastAsia="Arial" w:hAnsi="Arial"/>
          <w:sz w:val="16"/>
          <w:szCs w:val="16"/>
          <w:color w:val="auto"/>
        </w:rPr>
        <w:t>. A Foreign Successor Issuer will deliver a notice of any optional redemption of the Senior Notes described above to each registered holder of the Senior Notes in accordance with Section 4.03 of the Original Indenture. No such notice of redemption may be given more than 60 days before or 365 days after the Foreign Successor Issuer first becomes liable to pay any Additional Amounts. If the Foreign Successor Issuer requests the Trustee to provide the notice in accordance with Section 4.03 of the Original Indenture, the Trustee shall receive written notice from the Company at least 10 days prior to when such notice of redemption is to be delivered (unless a shorter period is agreed by the Trustee).</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Special Mandatory Redemption</w:t>
      </w:r>
      <w:r>
        <w:rPr>
          <w:rFonts w:ascii="Arial" w:cs="Arial" w:eastAsia="Arial" w:hAnsi="Arial"/>
          <w:sz w:val="18"/>
          <w:szCs w:val="18"/>
          <w:color w:val="auto"/>
        </w:rPr>
        <w:t>.</w:t>
      </w:r>
    </w:p>
    <w:p>
      <w:pPr>
        <w:spacing w:after="0" w:line="113" w:lineRule="exact"/>
        <w:rPr>
          <w:sz w:val="20"/>
          <w:szCs w:val="20"/>
          <w:color w:val="auto"/>
        </w:rPr>
      </w:pPr>
    </w:p>
    <w:p>
      <w:pPr>
        <w:ind w:left="684" w:hanging="244"/>
        <w:spacing w:after="0"/>
        <w:tabs>
          <w:tab w:leader="none" w:pos="684" w:val="left"/>
        </w:tabs>
        <w:numPr>
          <w:ilvl w:val="1"/>
          <w:numId w:val="111"/>
        </w:numPr>
        <w:rPr>
          <w:rFonts w:ascii="Arial" w:cs="Arial" w:eastAsia="Arial" w:hAnsi="Arial"/>
          <w:sz w:val="17"/>
          <w:szCs w:val="17"/>
          <w:color w:val="auto"/>
        </w:rPr>
      </w:pPr>
      <w:r>
        <w:rPr>
          <w:rFonts w:ascii="Arial" w:cs="Arial" w:eastAsia="Arial" w:hAnsi="Arial"/>
          <w:sz w:val="17"/>
          <w:szCs w:val="17"/>
          <w:color w:val="auto"/>
        </w:rPr>
        <w:t>If (x) the consummation of the Verafin Transaction does not occur on or before February 18, 2022 (the “</w:t>
      </w:r>
      <w:r>
        <w:rPr>
          <w:rFonts w:ascii="Arial" w:cs="Arial" w:eastAsia="Arial" w:hAnsi="Arial"/>
          <w:sz w:val="17"/>
          <w:szCs w:val="17"/>
          <w:b w:val="1"/>
          <w:bCs w:val="1"/>
          <w:color w:val="auto"/>
        </w:rPr>
        <w:t>Extended Termination Date</w:t>
      </w:r>
      <w:r>
        <w:rPr>
          <w:rFonts w:ascii="Arial" w:cs="Arial" w:eastAsia="Arial" w:hAnsi="Arial"/>
          <w:sz w:val="17"/>
          <w:szCs w:val="17"/>
          <w:color w:val="auto"/>
        </w:rPr>
        <w:t>”) or</w:t>
      </w:r>
    </w:p>
    <w:p>
      <w:pPr>
        <w:spacing w:after="0" w:line="38" w:lineRule="exact"/>
        <w:rPr>
          <w:rFonts w:ascii="Arial" w:cs="Arial" w:eastAsia="Arial" w:hAnsi="Arial"/>
          <w:sz w:val="17"/>
          <w:szCs w:val="17"/>
          <w:color w:val="auto"/>
        </w:rPr>
      </w:pPr>
    </w:p>
    <w:p>
      <w:pPr>
        <w:ind w:left="4" w:hanging="4"/>
        <w:spacing w:after="0" w:line="252" w:lineRule="auto"/>
        <w:tabs>
          <w:tab w:leader="none" w:pos="25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notifies the Trustee that (i) the Verafin Transaction Agreement has been terminated in accordance with its terms prior to the consummation of the Verafin Transaction or (ii) the Company will not pursue the consummation of the Verafin Transaction (the earlier of the date of delivery of such notice described in clause (y) and the Extended Termination Date, the “</w:t>
      </w:r>
      <w:r>
        <w:rPr>
          <w:rFonts w:ascii="Arial" w:cs="Arial" w:eastAsia="Arial" w:hAnsi="Arial"/>
          <w:sz w:val="18"/>
          <w:szCs w:val="18"/>
          <w:b w:val="1"/>
          <w:bCs w:val="1"/>
          <w:color w:val="auto"/>
        </w:rPr>
        <w:t>Special Mandatory Redemption Trigger Date</w:t>
      </w:r>
      <w:r>
        <w:rPr>
          <w:rFonts w:ascii="Arial" w:cs="Arial" w:eastAsia="Arial" w:hAnsi="Arial"/>
          <w:sz w:val="18"/>
          <w:szCs w:val="18"/>
          <w:color w:val="auto"/>
        </w:rPr>
        <w:t>”), the Company will be required to redeem all and not less than all of the Senior Notes then outstanding by a date no later than ten (10) Business Days after the Special Mandatory Redemption Trigger Date (the “</w:t>
      </w:r>
      <w:r>
        <w:rPr>
          <w:rFonts w:ascii="Arial" w:cs="Arial" w:eastAsia="Arial" w:hAnsi="Arial"/>
          <w:sz w:val="18"/>
          <w:szCs w:val="18"/>
          <w:b w:val="1"/>
          <w:bCs w:val="1"/>
          <w:color w:val="auto"/>
        </w:rPr>
        <w:t>Special Mandatory Redemption End Date</w:t>
      </w:r>
      <w:r>
        <w:rPr>
          <w:rFonts w:ascii="Arial" w:cs="Arial" w:eastAsia="Arial" w:hAnsi="Arial"/>
          <w:sz w:val="18"/>
          <w:szCs w:val="18"/>
          <w:color w:val="auto"/>
        </w:rPr>
        <w:t>”) at a redemption price equal to 101% of the principal amount of the Senior Notes to be redeemed plus accrued and unpaid interest thereon to, but excluding, the Special Mandatory Redemption Date (the “</w:t>
      </w:r>
      <w:r>
        <w:rPr>
          <w:rFonts w:ascii="Arial" w:cs="Arial" w:eastAsia="Arial" w:hAnsi="Arial"/>
          <w:sz w:val="18"/>
          <w:szCs w:val="18"/>
          <w:b w:val="1"/>
          <w:bCs w:val="1"/>
          <w:color w:val="auto"/>
        </w:rPr>
        <w:t>Special Mandatory Redemption Price</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4" w:right="80" w:firstLine="436"/>
        <w:spacing w:after="0" w:line="254" w:lineRule="auto"/>
        <w:tabs>
          <w:tab w:leader="none" w:pos="699"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In the event that the Company becomes obligated to redeem the Senior Notes pursuant to Section 4.4(a), the Company will promptly, and in any event not more than five (5) Business Days after the Special Mandatory Redemption Trigger Date, deliver notice to the Trustee of the special mandatory redemption and the date upon which the Senior Notes will be redeemed (the “</w:t>
      </w:r>
      <w:r>
        <w:rPr>
          <w:rFonts w:ascii="Arial" w:cs="Arial" w:eastAsia="Arial" w:hAnsi="Arial"/>
          <w:sz w:val="18"/>
          <w:szCs w:val="18"/>
          <w:b w:val="1"/>
          <w:bCs w:val="1"/>
          <w:color w:val="auto"/>
        </w:rPr>
        <w:t>Special Mandatory Redemption Date</w:t>
      </w:r>
      <w:r>
        <w:rPr>
          <w:rFonts w:ascii="Arial" w:cs="Arial" w:eastAsia="Arial" w:hAnsi="Arial"/>
          <w:sz w:val="18"/>
          <w:szCs w:val="18"/>
          <w:color w:val="auto"/>
        </w:rPr>
        <w:t>,” which date shall be no later than the Special Mandatory Redemption End Date). The Trustee will then promptly deliver such notice to each holder of Senior Notes at its registered address. Unless the Company defaults in payment of the Special Mandatory Redemption Price, on and after such Special Mandatory Redemption Date, interest will cease to accrue on the Senior Notes and the Indenture will be discharged and cease to be of further effect as to all Senior Notes.</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109" w:name="page110"/>
    <w:bookmarkEnd w:id="10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FIVE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RANKING</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Senior in Right of Payment</w:t>
      </w:r>
      <w:r>
        <w:rPr>
          <w:rFonts w:ascii="Arial" w:cs="Arial" w:eastAsia="Arial" w:hAnsi="Arial"/>
          <w:sz w:val="18"/>
          <w:szCs w:val="18"/>
          <w:color w:val="auto"/>
        </w:rPr>
        <w:t xml:space="preserve">. The Senior Notes shall be direct senior obligations of the Company and shall rank (a) senior in right of payment to all existing and future indebtedness that is, by its terms, expressly subordinated in right of payment to the Senior Notes and (b)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senior indebtedness of the Company.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SIX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Amendments</w:t>
      </w:r>
      <w:r>
        <w:rPr>
          <w:rFonts w:ascii="Arial" w:cs="Arial" w:eastAsia="Arial" w:hAnsi="Arial"/>
          <w:sz w:val="18"/>
          <w:szCs w:val="18"/>
          <w:color w:val="auto"/>
        </w:rPr>
        <w:t>. The Original Indenture is hereby amended, with respect to the Senior Notes, by the following:</w:t>
      </w:r>
    </w:p>
    <w:p>
      <w:pPr>
        <w:spacing w:after="0" w:line="117" w:lineRule="exact"/>
        <w:rPr>
          <w:sz w:val="20"/>
          <w:szCs w:val="20"/>
          <w:color w:val="auto"/>
        </w:rPr>
      </w:pPr>
    </w:p>
    <w:p>
      <w:pPr>
        <w:ind w:right="100" w:firstLine="436"/>
        <w:spacing w:after="0" w:line="277" w:lineRule="auto"/>
        <w:tabs>
          <w:tab w:leader="none" w:pos="68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Original Indenture is hereby amended, with respect to the Senior Notes, by replacing the text of Sections 14.02(a)(i)-(iv) thereof with the following text:</w:t>
      </w:r>
    </w:p>
    <w:p>
      <w:pPr>
        <w:spacing w:after="0" w:line="62" w:lineRule="exact"/>
        <w:rPr>
          <w:sz w:val="20"/>
          <w:szCs w:val="20"/>
          <w:color w:val="auto"/>
        </w:rPr>
      </w:pPr>
    </w:p>
    <w:p>
      <w:pPr>
        <w:ind w:left="440" w:right="20" w:firstLine="423"/>
        <w:spacing w:after="0" w:line="263" w:lineRule="auto"/>
        <w:rPr>
          <w:sz w:val="20"/>
          <w:szCs w:val="20"/>
          <w:color w:val="auto"/>
        </w:rPr>
      </w:pPr>
      <w:r>
        <w:rPr>
          <w:rFonts w:ascii="Arial" w:cs="Arial" w:eastAsia="Arial" w:hAnsi="Arial"/>
          <w:sz w:val="18"/>
          <w:szCs w:val="18"/>
          <w:color w:val="auto"/>
        </w:rPr>
        <w:t>“(i) reduce the percentage in principal amount of Outstanding Senior Notes, the consent of whose Holders is required for any amendment of this Indenture or the consent of whose Holders is required for any waiver of compliance with provisions of this Indenture or Defaults under this Indenture;</w:t>
      </w:r>
    </w:p>
    <w:p>
      <w:pPr>
        <w:spacing w:after="0" w:line="76" w:lineRule="exact"/>
        <w:rPr>
          <w:sz w:val="20"/>
          <w:szCs w:val="20"/>
          <w:color w:val="auto"/>
        </w:rPr>
      </w:pPr>
    </w:p>
    <w:p>
      <w:pPr>
        <w:ind w:left="1120" w:hanging="261"/>
        <w:spacing w:after="0"/>
        <w:tabs>
          <w:tab w:leader="none" w:pos="11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reduce the rate of interest on any Senior Note or change the time for payment of interest;</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reduce the principal, or premium, if any, due on, the Senior Notes or change the Stated Maturity thereof;</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change the Place of Payment where, or the Currency in which, any Senior Note or any premium or interest thereon is payable;</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change the provisions relating to waiver of defaults under this Indenture (including, without limitation, Sections 6.06 and 7.06 hereof);</w:t>
      </w:r>
    </w:p>
    <w:p>
      <w:pPr>
        <w:spacing w:after="0" w:line="140" w:lineRule="exact"/>
        <w:rPr>
          <w:rFonts w:ascii="Arial" w:cs="Arial" w:eastAsia="Arial" w:hAnsi="Arial"/>
          <w:sz w:val="16"/>
          <w:szCs w:val="16"/>
          <w:color w:val="auto"/>
        </w:rPr>
      </w:pPr>
    </w:p>
    <w:p>
      <w:pPr>
        <w:ind w:left="1160" w:hanging="301"/>
        <w:spacing w:after="0"/>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modify the provisions of this Indenture relating to the ranking of the Senior Notes in a manner adverse to Holders;</w:t>
      </w:r>
    </w:p>
    <w:p>
      <w:pPr>
        <w:spacing w:after="0" w:line="117" w:lineRule="exact"/>
        <w:rPr>
          <w:rFonts w:ascii="Arial" w:cs="Arial" w:eastAsia="Arial" w:hAnsi="Arial"/>
          <w:sz w:val="18"/>
          <w:szCs w:val="18"/>
          <w:color w:val="auto"/>
        </w:rPr>
      </w:pPr>
    </w:p>
    <w:p>
      <w:pPr>
        <w:ind w:left="440" w:firstLine="419"/>
        <w:spacing w:after="0" w:line="277" w:lineRule="auto"/>
        <w:tabs>
          <w:tab w:leader="none" w:pos="121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impair the right of Holders to institute suit for the enforcement of any payment on or after the Stated Maturity thereof (or, in the case of redemption, on or after the Redemption Date); or</w:t>
      </w:r>
    </w:p>
    <w:p>
      <w:pPr>
        <w:spacing w:after="0" w:line="62" w:lineRule="exact"/>
        <w:rPr>
          <w:rFonts w:ascii="Arial" w:cs="Arial" w:eastAsia="Arial" w:hAnsi="Arial"/>
          <w:sz w:val="18"/>
          <w:szCs w:val="18"/>
          <w:color w:val="auto"/>
        </w:rPr>
      </w:pPr>
    </w:p>
    <w:p>
      <w:pPr>
        <w:ind w:left="440" w:right="440" w:firstLine="419"/>
        <w:spacing w:after="0" w:line="342" w:lineRule="auto"/>
        <w:tabs>
          <w:tab w:leader="none" w:pos="126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modify any of the provisions of this Section 14.02(a), or, except to increase any such percentage or to provide that certain other provisions of this Indenture cannot be modified or waived without the consent of the Holder of each Outstanding Security affected thereby.”</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4" w:right="499" w:bottom="1440" w:gutter="0" w:footer="0" w:header="0"/>
        </w:sectPr>
      </w:pPr>
    </w:p>
    <w:bookmarkStart w:id="110" w:name="page111"/>
    <w:bookmarkEnd w:id="110"/>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 The Original Indenture is hereby amended, with respect to the Senior Notes, by adding the following text as new Section 11.01(o):</w:t>
      </w:r>
    </w:p>
    <w:p>
      <w:pPr>
        <w:spacing w:after="0" w:line="129" w:lineRule="exact"/>
        <w:rPr>
          <w:sz w:val="20"/>
          <w:szCs w:val="20"/>
          <w:color w:val="auto"/>
        </w:rPr>
      </w:pPr>
    </w:p>
    <w:p>
      <w:pPr>
        <w:ind w:left="440" w:right="420" w:firstLine="423"/>
        <w:spacing w:after="0" w:line="263" w:lineRule="auto"/>
        <w:rPr>
          <w:sz w:val="20"/>
          <w:szCs w:val="20"/>
          <w:color w:val="auto"/>
        </w:rPr>
      </w:pPr>
      <w:r>
        <w:rPr>
          <w:rFonts w:ascii="Arial" w:cs="Arial" w:eastAsia="Arial" w:hAnsi="Arial"/>
          <w:sz w:val="18"/>
          <w:szCs w:val="18"/>
          <w:color w:val="auto"/>
        </w:rPr>
        <w:t>“(o)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SEVEN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DEFEASANCE/SATISFACTION AND DISCHARGE</w:t>
      </w:r>
    </w:p>
    <w:p>
      <w:pPr>
        <w:spacing w:after="0" w:line="225"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i w:val="1"/>
          <w:iCs w:val="1"/>
          <w:color w:val="auto"/>
        </w:rPr>
        <w:t>Satisfaction and Discharge of Indenture/Defeasance.</w:t>
      </w:r>
      <w:r>
        <w:rPr>
          <w:rFonts w:ascii="Arial" w:cs="Arial" w:eastAsia="Arial" w:hAnsi="Arial"/>
          <w:sz w:val="17"/>
          <w:szCs w:val="17"/>
          <w:color w:val="auto"/>
        </w:rPr>
        <w:t xml:space="preserve"> The Senior Notes will be subject to Article 12 of the Original Indenture;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in connection with any deposit of funds with the Trustee pursuant to Section 12.02 of the Original Indenture upon any</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 that requires the payment of a premium, the amount deposited shall be sufficient to the extent that an amount is deposited with the Trustee equal to the premium calculated as of the date of the notice of redemption, with any deficit on the Redemption Date (any such amount, the “</w:t>
      </w:r>
      <w:r>
        <w:rPr>
          <w:rFonts w:ascii="Arial" w:cs="Arial" w:eastAsia="Arial" w:hAnsi="Arial"/>
          <w:sz w:val="17"/>
          <w:szCs w:val="17"/>
          <w:b w:val="1"/>
          <w:bCs w:val="1"/>
          <w:color w:val="auto"/>
        </w:rPr>
        <w:t>Applicable</w:t>
      </w:r>
      <w:r>
        <w:rPr>
          <w:rFonts w:ascii="Arial" w:cs="Arial" w:eastAsia="Arial" w:hAnsi="Arial"/>
          <w:sz w:val="17"/>
          <w:szCs w:val="17"/>
          <w:color w:val="auto"/>
        </w:rPr>
        <w:t xml:space="preserve"> </w:t>
      </w:r>
      <w:r>
        <w:rPr>
          <w:rFonts w:ascii="Arial" w:cs="Arial" w:eastAsia="Arial" w:hAnsi="Arial"/>
          <w:sz w:val="17"/>
          <w:szCs w:val="17"/>
          <w:b w:val="1"/>
          <w:bCs w:val="1"/>
          <w:color w:val="auto"/>
        </w:rPr>
        <w:t>Premium Deficit</w:t>
      </w:r>
      <w:r>
        <w:rPr>
          <w:rFonts w:ascii="Arial" w:cs="Arial" w:eastAsia="Arial" w:hAnsi="Arial"/>
          <w:sz w:val="17"/>
          <w:szCs w:val="17"/>
          <w:color w:val="auto"/>
        </w:rPr>
        <w:t>”) only required to be deposited with the Trustee at or prior to 11:00 a.m., New York City time, on the Redemption Date (it being</w:t>
      </w:r>
      <w:r>
        <w:rPr>
          <w:rFonts w:ascii="Arial" w:cs="Arial" w:eastAsia="Arial" w:hAnsi="Arial"/>
          <w:sz w:val="17"/>
          <w:szCs w:val="17"/>
          <w:b w:val="1"/>
          <w:bCs w:val="1"/>
          <w:color w:val="auto"/>
        </w:rPr>
        <w:t xml:space="preserve"> </w:t>
      </w:r>
      <w:r>
        <w:rPr>
          <w:rFonts w:ascii="Arial" w:cs="Arial" w:eastAsia="Arial" w:hAnsi="Arial"/>
          <w:sz w:val="17"/>
          <w:szCs w:val="17"/>
          <w:color w:val="auto"/>
        </w:rPr>
        <w:t>understood that any satisfaction and discharge shall be subject to the condition subsequent that such deficit is in fact paid) and if deposited with the Trustee on the Redemption Date, in accordance with Section 4.04 of the Original Indenture. Any Applicable Premium Deficit shall be set forth in an Officer’s Certificate delivered to the Trustee simultaneously with the deposit of such Applicable Premium Deficit that confirms that such Applicable Premium Deficit shall be applied toward such redemption.</w:t>
      </w:r>
    </w:p>
    <w:p>
      <w:pPr>
        <w:spacing w:after="0" w:line="18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Covenant Defeasance</w:t>
      </w:r>
      <w:r>
        <w:rPr>
          <w:rFonts w:ascii="Arial" w:cs="Arial" w:eastAsia="Arial" w:hAnsi="Arial"/>
          <w:sz w:val="18"/>
          <w:szCs w:val="18"/>
          <w:color w:val="auto"/>
        </w:rPr>
        <w:t>. With respect to the Senior Notes, the Company shall cease to be under any obligation to comply with any term, provision or condition set forth in Sections 3.2 and 3.3 of this Eleventh Supplemental Indenture if the Company satisfies the conditions applicable to covenant defeasance applicable to subsection (b) of the first paragraph of Section 12.03 of the Original Indenture.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i w:val="1"/>
          <w:iCs w:val="1"/>
          <w:color w:val="auto"/>
        </w:rPr>
        <w:t>Opinion Related To Defeasance.</w:t>
      </w:r>
      <w:r>
        <w:rPr>
          <w:rFonts w:ascii="Arial" w:cs="Arial" w:eastAsia="Arial" w:hAnsi="Arial"/>
          <w:sz w:val="16"/>
          <w:szCs w:val="16"/>
          <w:color w:val="auto"/>
        </w:rPr>
        <w:t xml:space="preserve"> The Original Indenture is hereby amended, with respect to the Senior Notes, by replacing the text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12.03(c) thereof with the following text:</w:t>
      </w:r>
    </w:p>
    <w:p>
      <w:pPr>
        <w:spacing w:after="0" w:line="103" w:lineRule="exact"/>
        <w:rPr>
          <w:sz w:val="20"/>
          <w:szCs w:val="20"/>
          <w:color w:val="auto"/>
        </w:rPr>
      </w:pPr>
    </w:p>
    <w:p>
      <w:pPr>
        <w:ind w:left="440" w:right="60" w:firstLine="423"/>
        <w:spacing w:after="0" w:line="257" w:lineRule="auto"/>
        <w:rPr>
          <w:sz w:val="20"/>
          <w:szCs w:val="20"/>
          <w:color w:val="auto"/>
        </w:rPr>
      </w:pPr>
      <w:r>
        <w:rPr>
          <w:rFonts w:ascii="Arial" w:cs="Arial" w:eastAsia="Arial" w:hAnsi="Arial"/>
          <w:sz w:val="18"/>
          <w:szCs w:val="18"/>
          <w:color w:val="auto"/>
        </w:rPr>
        <w:t>“The Company shall have delivered to the Trustee an Opinion of Counsel to the effect that beneficial holders of the Securities of such series will not recognize income, gain or loss for U.S. federal income tax purposes as a result of the Company’s exercise of its option under this Section and will be subject to federal income tax on the same amounts and in the same manner and at the same times as would have been the case if such action had not been exercised and, in the case of the Securities of such series being Discharged, accompanied by a ruling to that effect received from or published by the Internal Revenue Service.”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111" w:name="page112"/>
    <w:bookmarkEnd w:id="111"/>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EIGHT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PAYING AGENT AND TRANSFER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Section 8.1. Wells Fargo Bank, National Association hereby agrees to act as Paying Agent and Transfer Agent in respect of the Senior Notes.</w:t>
      </w:r>
    </w:p>
    <w:p>
      <w:pPr>
        <w:spacing w:after="0" w:line="248"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color w:val="auto"/>
        </w:rPr>
        <w:t>Section 8.2. An Agent may resign and be discharged from its duties hereunder at any time, other than on a day during the forty-five (45) day period preceding and fifteen (15) day period following any payment date for the Senior Notes, (i) by giving thirty (30) calendar days’ prior written notice of such resignation to the Company or (ii) upon notice to the Company with immediate effect in order to comply with law or regulation. If the Company fails to appoint a successor Agent within thirty (30) days after such notice, the applicable Agent may apply to a court of competent jurisdiction for the appointment of a successor agent or for other appropriate relief. The costs and expenses (including its attorneys’ fees and expenses) incurred by the applicable Agent in connection with such proceeding shall be paid by the Company. The Company may, at any time and for any reason upon at least thirty (30) calendar days’ prior written notice to the applicable Agent, remove any Agent and appoint a successor Agent by written instrument in duplicate signed on behalf of the Company, one copy of which shall be delivered to the applicable Agent being removed and one copy to the successor Agent.</w:t>
      </w:r>
    </w:p>
    <w:p>
      <w:pPr>
        <w:spacing w:after="0" w:line="196"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Section 8.3. Any entity into which any Agent in its individual capacity may be merged or converted or with which it may be consolidated, or any corporation resulting from any merger, conversion or consolidation to which an Agent in its individual capacity shall be a party, or any corporation to which substantially all of the corporate trust business of an Agent in its individual capacity may be transferred shall be the applicable Agent under this Eleventh Supplemental Indenture without further action.</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NINE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400" w:firstLine="440"/>
        <w:spacing w:after="0" w:line="342"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i w:val="1"/>
          <w:iCs w:val="1"/>
          <w:color w:val="auto"/>
        </w:rPr>
        <w:t>Execution as Supplemental Indenture</w:t>
      </w:r>
      <w:r>
        <w:rPr>
          <w:rFonts w:ascii="Arial" w:cs="Arial" w:eastAsia="Arial" w:hAnsi="Arial"/>
          <w:sz w:val="16"/>
          <w:szCs w:val="16"/>
          <w:color w:val="auto"/>
        </w:rPr>
        <w:t>. This Eleventh Supplemental Indenture is executed and shall be construed as an indenture supplemental to the Original Indenture and, as provided in the Original Indenture, this Eleventh Supplemental Indenture forms a part thereof.</w:t>
      </w:r>
    </w:p>
    <w:p>
      <w:pPr>
        <w:spacing w:after="0" w:line="124"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i w:val="1"/>
          <w:iCs w:val="1"/>
          <w:color w:val="auto"/>
        </w:rPr>
        <w:t>Conflict with Trust Indenture Act</w:t>
      </w:r>
      <w:r>
        <w:rPr>
          <w:rFonts w:ascii="Arial" w:cs="Arial" w:eastAsia="Arial" w:hAnsi="Arial"/>
          <w:sz w:val="17"/>
          <w:szCs w:val="17"/>
          <w:color w:val="auto"/>
        </w:rPr>
        <w:t>. If any provision hereof limits, qualifies or conflicts with another provision hereof, or with a provision of the Original Indenture, which is required to be included in this Eleventh Supplemental Indenture, or in the Original Indenture, respectively, by any of the provisions of the Trust Indenture Act, such required provision shall control to the extent it is applicable.</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440" w:top="274" w:right="539" w:bottom="1440" w:gutter="0" w:footer="0" w:header="0"/>
        </w:sectPr>
      </w:pPr>
    </w:p>
    <w:bookmarkStart w:id="112" w:name="page113"/>
    <w:bookmarkEnd w:id="11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9.3. </w:t>
      </w:r>
      <w:r>
        <w:rPr>
          <w:rFonts w:ascii="Arial" w:cs="Arial" w:eastAsia="Arial" w:hAnsi="Arial"/>
          <w:sz w:val="16"/>
          <w:szCs w:val="16"/>
          <w:i w:val="1"/>
          <w:iCs w:val="1"/>
          <w:color w:val="auto"/>
        </w:rPr>
        <w:t>Effect of Headings</w:t>
      </w:r>
      <w:r>
        <w:rPr>
          <w:rFonts w:ascii="Arial" w:cs="Arial" w:eastAsia="Arial" w:hAnsi="Arial"/>
          <w:sz w:val="16"/>
          <w:szCs w:val="16"/>
          <w:color w:val="auto"/>
        </w:rPr>
        <w:t>. The Article and Section headings herein are for convenience only and shall not affect the construction hereof.</w:t>
      </w:r>
    </w:p>
    <w:p>
      <w:pPr>
        <w:spacing w:after="0" w:line="24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i w:val="1"/>
          <w:iCs w:val="1"/>
          <w:color w:val="auto"/>
        </w:rPr>
        <w:t>Successors and Assigns</w:t>
      </w:r>
      <w:r>
        <w:rPr>
          <w:rFonts w:ascii="Arial" w:cs="Arial" w:eastAsia="Arial" w:hAnsi="Arial"/>
          <w:sz w:val="18"/>
          <w:szCs w:val="18"/>
          <w:color w:val="auto"/>
        </w:rPr>
        <w:t>. All covenants and agreements by the Company and the Trustee in this Eleventh Supplemental Indenture shall bind its successors and assigns, whether so expressed or not.</w:t>
      </w:r>
    </w:p>
    <w:p>
      <w:pPr>
        <w:spacing w:after="0" w:line="170"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 xml:space="preserve">Section 9.5. </w:t>
      </w:r>
      <w:r>
        <w:rPr>
          <w:rFonts w:ascii="Arial" w:cs="Arial" w:eastAsia="Arial" w:hAnsi="Arial"/>
          <w:sz w:val="17"/>
          <w:szCs w:val="17"/>
          <w:i w:val="1"/>
          <w:iCs w:val="1"/>
          <w:color w:val="auto"/>
        </w:rPr>
        <w:t>Separability Clause</w:t>
      </w:r>
      <w:r>
        <w:rPr>
          <w:rFonts w:ascii="Arial" w:cs="Arial" w:eastAsia="Arial" w:hAnsi="Arial"/>
          <w:sz w:val="17"/>
          <w:szCs w:val="17"/>
          <w:color w:val="auto"/>
        </w:rPr>
        <w:t>. In case any provision in this Eleventh Supplemental Indenture or in the Senior Notes shall be invalid, illegal or unenforceable, the validity, legality and enforceability of the remaining provisions shall not in any way be affected or impaired thereby.</w:t>
      </w:r>
    </w:p>
    <w:p>
      <w:pPr>
        <w:spacing w:after="0" w:line="14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i w:val="1"/>
          <w:iCs w:val="1"/>
          <w:color w:val="auto"/>
        </w:rPr>
        <w:t>Benefits of Eleventh Supplemental Indenture</w:t>
      </w:r>
      <w:r>
        <w:rPr>
          <w:rFonts w:ascii="Arial" w:cs="Arial" w:eastAsia="Arial" w:hAnsi="Arial"/>
          <w:sz w:val="18"/>
          <w:szCs w:val="18"/>
          <w:color w:val="auto"/>
        </w:rPr>
        <w:t>. Nothing in this Eleventh Supplemental Indenture or in the Senior Notes, express or implied, shall give to any Person, other than the parties hereto and their successors hereunder and the Holders, any benefit or any legal or equitable right, remedy or claim under this Eleventh Supplemental Indenture.</w:t>
      </w:r>
    </w:p>
    <w:p>
      <w:pPr>
        <w:spacing w:after="0" w:line="184"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i w:val="1"/>
          <w:iCs w:val="1"/>
          <w:color w:val="auto"/>
        </w:rPr>
        <w:t>Execution and Counterparts</w:t>
      </w:r>
      <w:r>
        <w:rPr>
          <w:rFonts w:ascii="Arial" w:cs="Arial" w:eastAsia="Arial" w:hAnsi="Arial"/>
          <w:sz w:val="17"/>
          <w:szCs w:val="17"/>
          <w:color w:val="auto"/>
        </w:rPr>
        <w:t>. This Eleventh Supplemental Indenture may be executed in any number of counterparts, each of which shall be deemed to be an original, but all such counterparts shall together constitute but one and the same instrument. The exchange of copies of this Eleventh Supplemental Indenture and of signature pages by facsimile or PDF transmission shall constitute effective execution and delivery of this Eleventh Supplemental Indenture as to the parties hereto and may be used in lieu of the original Eleventh Supplemental Indenture for all purposes. Signatures of the parties hereto transmitted by facsimile or PDF shall be deemed to be their original signatures for all purposes. This Eleventh Supplemental Indenture shall be 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the Uniform Electronic Transactions Act, and/or any other relevant electronic signatures law, including any relevant provisions of the Uniform Commercial Code/UCC (collectively, “Signature Law”),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For the avoidance of doubt, original manual signatures shall be used for execution or indorsement of writings when required under the UCC or other Signature Law due to the character or intended character of the writings.</w:t>
      </w:r>
    </w:p>
    <w:p>
      <w:pPr>
        <w:spacing w:after="0" w:line="182"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i w:val="1"/>
          <w:iCs w:val="1"/>
          <w:color w:val="auto"/>
        </w:rPr>
        <w:t>Governing Law</w:t>
      </w:r>
      <w:r>
        <w:rPr>
          <w:rFonts w:ascii="Arial" w:cs="Arial" w:eastAsia="Arial" w:hAnsi="Arial"/>
          <w:sz w:val="18"/>
          <w:szCs w:val="18"/>
          <w:color w:val="auto"/>
        </w:rPr>
        <w:t>. This Eleventh Supplemental Indenture and the Senior Notes shall be governed by and construed in accordance with the laws of the State of New York.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113" w:name="page114"/>
    <w:bookmarkEnd w:id="113"/>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9.9. </w:t>
      </w:r>
      <w:r>
        <w:rPr>
          <w:rFonts w:ascii="Arial" w:cs="Arial" w:eastAsia="Arial" w:hAnsi="Arial"/>
          <w:sz w:val="18"/>
          <w:szCs w:val="18"/>
          <w:i w:val="1"/>
          <w:iCs w:val="1"/>
          <w:color w:val="auto"/>
        </w:rPr>
        <w:t>U.S.A. Patriot Act</w:t>
      </w:r>
      <w:r>
        <w:rPr>
          <w:rFonts w:ascii="Arial" w:cs="Arial" w:eastAsia="Arial" w:hAnsi="Arial"/>
          <w:sz w:val="18"/>
          <w:szCs w:val="18"/>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Eleventh Supplemental Indenture agree that they will provide the Trustee with such information as it may request in order for the Trustee to satisfy the requirements of the U.S.A. Patriot Act.</w:t>
      </w:r>
    </w:p>
    <w:p>
      <w:pPr>
        <w:spacing w:after="0" w:line="188"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i w:val="1"/>
          <w:iCs w:val="1"/>
          <w:color w:val="auto"/>
        </w:rPr>
        <w:t>Force Majeure</w:t>
      </w:r>
      <w:r>
        <w:rPr>
          <w:rFonts w:ascii="Arial" w:cs="Arial" w:eastAsia="Arial" w:hAnsi="Arial"/>
          <w:sz w:val="16"/>
          <w:szCs w:val="16"/>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6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i w:val="1"/>
          <w:iCs w:val="1"/>
          <w:color w:val="auto"/>
        </w:rPr>
        <w:t>Trustee’s Disclaimer</w:t>
      </w:r>
      <w:r>
        <w:rPr>
          <w:rFonts w:ascii="Arial" w:cs="Arial" w:eastAsia="Arial" w:hAnsi="Arial"/>
          <w:sz w:val="17"/>
          <w:szCs w:val="17"/>
          <w:color w:val="auto"/>
        </w:rPr>
        <w:t>. The Trustee accepts the amendments of the Original Indenture effected by this Eleventh Supplemental Indenture, but on the terms and conditions set forth in the Original Indenture, including the terms and provisions defining and limiting the liabilities and responsibilities of the Trustee. Without limiting the generality of the foregoing, the Trustee shall not be responsible in any manner whatsoever for or with respect to any of the recitals or statements contained herein, all of which recitals or statements are made solely by the Company, or for or with respect to (i) the validity or sufficiency of this Eleventh Supplemental Indenture or any of the terms or provisions hereof, (ii) proper authorization hereof by the Company by action or otherwise, (iii) the due execution hereof by the Company or (iv) the consequences of any amendment herein provided for, and the Trustee makes no representation with respect to any such matters.</w:t>
      </w:r>
    </w:p>
    <w:p>
      <w:pPr>
        <w:spacing w:after="0" w:line="17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i w:val="1"/>
          <w:iCs w:val="1"/>
          <w:color w:val="auto"/>
        </w:rPr>
        <w:t>Company Representation</w:t>
      </w:r>
      <w:r>
        <w:rPr>
          <w:rFonts w:ascii="Arial" w:cs="Arial" w:eastAsia="Arial" w:hAnsi="Arial"/>
          <w:sz w:val="18"/>
          <w:szCs w:val="18"/>
          <w:color w:val="auto"/>
        </w:rPr>
        <w:t>. The Company hereby represents and warrants that this Eleventh Supplemental Indenture is its legal, valid and binding obligation, enforceable against it in accordance with its terms.</w:t>
      </w:r>
    </w:p>
    <w:p>
      <w:pPr>
        <w:spacing w:after="0" w:line="17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i w:val="1"/>
          <w:iCs w:val="1"/>
          <w:color w:val="auto"/>
        </w:rPr>
        <w:t>Ratification of Original Indenture</w:t>
      </w:r>
      <w:r>
        <w:rPr>
          <w:rFonts w:ascii="Arial" w:cs="Arial" w:eastAsia="Arial" w:hAnsi="Arial"/>
          <w:sz w:val="18"/>
          <w:szCs w:val="18"/>
          <w:color w:val="auto"/>
        </w:rPr>
        <w:t>. The Original Indenture, as supplemented by this Eleventh Supplemental Indenture, is in all respects ratified and confirmed. For the avoidance of doubt, each of the Company and each Holder of Senior Notes, by its acceptance of such Securities, acknowledges and agrees that all of the rights, privileges, protections, immunities and benefits, including the right to be indemnified, afforded to the Trustee under the Original Indenture are deemed to be incorporated herein, and shall be enforceable by the Trustee hereunder, in each of its capacities hereunder as if set forth herein in full.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114" w:name="page115"/>
    <w:bookmarkEnd w:id="114"/>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Eleventh Supplemental Indenture to be duly executed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NASDAQ,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Ptasznik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Michael Ptasznik</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Corporate Strategy and</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WELLS FARGO BANK, NATIONAL ASSOCIATION, as</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Patrick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Patrick Giordano</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WELLS FARGO BANK, NATIONAL ASSOCIATION, as</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Paying Agent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Patrick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Patrick Giordano</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WELLS FARGO BANK, NATIONAL ASSOCIATION, as</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Transfer Agent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Patrick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Patrick Giordano</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80"/>
          </w:cols>
          <w:pgMar w:left="440" w:top="274" w:right="57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2.500% SENIOR NOTES DUE 2040]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any legend required by the Internal Revenue Code and the regulations thereunder.]</w:t>
      </w:r>
    </w:p>
    <w:p>
      <w:pPr>
        <w:spacing w:after="0" w:line="225" w:lineRule="exact"/>
        <w:rPr>
          <w:sz w:val="20"/>
          <w:szCs w:val="20"/>
          <w:color w:val="auto"/>
        </w:rPr>
      </w:pPr>
    </w:p>
    <w:p>
      <w:pPr>
        <w:ind w:right="720"/>
        <w:spacing w:after="0" w:line="286" w:lineRule="auto"/>
        <w:rPr>
          <w:sz w:val="20"/>
          <w:szCs w:val="20"/>
          <w:color w:val="auto"/>
        </w:rPr>
      </w:pPr>
      <w:r>
        <w:rPr>
          <w:rFonts w:ascii="Arial" w:cs="Arial" w:eastAsia="Arial" w:hAnsi="Arial"/>
          <w:sz w:val="17"/>
          <w:szCs w:val="17"/>
          <w:color w:val="auto"/>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16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(55 WATER STREET, NEW YORK, NEW YORK) (“</w:t>
      </w:r>
      <w:r>
        <w:rPr>
          <w:rFonts w:ascii="Arial" w:cs="Arial" w:eastAsia="Arial" w:hAnsi="Arial"/>
          <w:sz w:val="18"/>
          <w:szCs w:val="18"/>
          <w:b w:val="1"/>
          <w:bCs w:val="1"/>
          <w:color w:val="auto"/>
        </w:rPr>
        <w:t>DTC</w:t>
      </w:r>
      <w:r>
        <w:rPr>
          <w:rFonts w:ascii="Arial" w:cs="Arial" w:eastAsia="Arial" w:hAnsi="Arial"/>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9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4" w:right="4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NASDAQ,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2.500% Senior Notes due 2040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No. ______</w:t>
            </w:r>
          </w:p>
        </w:tc>
        <w:tc>
          <w:tcPr>
            <w:tcW w:w="5580" w:type="dxa"/>
            <w:vAlign w:val="bottom"/>
          </w:tcPr>
          <w:p>
            <w:pPr>
              <w:jc w:val="right"/>
              <w:spacing w:after="0"/>
              <w:rPr>
                <w:sz w:val="20"/>
                <w:szCs w:val="20"/>
                <w:color w:val="auto"/>
              </w:rPr>
            </w:pPr>
            <w:r>
              <w:rPr>
                <w:rFonts w:ascii="Arial" w:cs="Arial" w:eastAsia="Arial" w:hAnsi="Arial"/>
                <w:sz w:val="18"/>
                <w:szCs w:val="18"/>
                <w:color w:val="auto"/>
              </w:rPr>
              <w:t>$650,000,000</w:t>
            </w:r>
          </w:p>
        </w:tc>
      </w:tr>
    </w:tbl>
    <w:p>
      <w:pPr>
        <w:spacing w:after="0" w:line="202" w:lineRule="exact"/>
        <w:rPr>
          <w:sz w:val="20"/>
          <w:szCs w:val="20"/>
          <w:color w:val="auto"/>
        </w:rPr>
      </w:pPr>
    </w:p>
    <w:p>
      <w:pPr>
        <w:ind w:left="9460"/>
        <w:spacing w:after="0"/>
        <w:rPr>
          <w:sz w:val="20"/>
          <w:szCs w:val="20"/>
          <w:color w:val="auto"/>
        </w:rPr>
      </w:pPr>
      <w:r>
        <w:rPr>
          <w:rFonts w:ascii="Arial" w:cs="Arial" w:eastAsia="Arial" w:hAnsi="Arial"/>
          <w:sz w:val="16"/>
          <w:szCs w:val="16"/>
          <w:color w:val="auto"/>
        </w:rPr>
        <w:t>CUSIP: 63111X AE1</w:t>
      </w:r>
    </w:p>
    <w:p>
      <w:pPr>
        <w:spacing w:after="0" w:line="24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NASDAQ, INC., a corporation duly organized and existing under the laws of the State of Delaware (herein called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which term includes any successor Person under the Indenture hereinafter referred to), for value received, hereby promises to pay to CEDE &amp; CO., or registered assigns, the principal sum of $650,000,000 (SIX HUNDRED FIFTY MILLION DOLLARS) on December 21, 2040, and to pay interest thereon from the most recent Interest Payment Date to which interest has been paid or duly provided for or, if no interest has been paid, from the Issue Date semi-annually on June 21 and December 21 in each year, commencing June 21, 2021 and at the Maturity thereof, at the rate of 2.500% per annum, until the principal hereof is paid or made available for payment,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principal and premium, and any such installment of interest, which is overdue shall bear interest at the rate 2.500%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is registered at the close of business on the Record Date for such interest, which shall be June 6 or December 6 (whether or not a Business Day), as the case may be, next preceding such Interest Payment Date.</w:t>
      </w:r>
    </w:p>
    <w:p>
      <w:pPr>
        <w:spacing w:after="0" w:line="18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Payment of the principal of (and premium, if any) and any such interest on this Security will be made at the office or agency maintained for that purpose in New York, New York, in such currency of the United States of America, as at the time of payment is legal tender for payment of public and private debts, against surrender of this Security in the case of any payment due at the Maturity of the principal hereof (other than any payment of interest that first becomes payable on a day other than an Interest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at the option of the Company payment of interest may be made by check mailed to the address of the Person entitled thereto as such address shall appear in the Register;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this Security is a Global Security, payment may be made pursuant to the Applicable Procedures of the Depositary as permitted in the Indenture.</w:t>
      </w:r>
    </w:p>
    <w:p>
      <w:pPr>
        <w:spacing w:after="0" w:line="1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Unless the certificate of authentication hereon has been executed by the Trustee or the Authenticating Agent on its behalf referred to on the reverse hereof by manual signature, this Security shall not be entitled to any benefit under the Indenture or be valid or obligatory for any purpose.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440" w:top="274" w:right="4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instrument to be duly executed.</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NASDAQ, INC.</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9579"/>
          </w:cols>
          <w:pgMar w:left="880" w:top="274" w:right="1440" w:bottom="1440" w:gutter="0" w:footer="0" w:header="0"/>
        </w:sectPr>
      </w:pPr>
    </w:p>
    <w:bookmarkStart w:id="118" w:name="page119"/>
    <w:bookmarkEnd w:id="118"/>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TRUSTEE’S 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of authentication:</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WELLS FARGO BANK, NATIONAL ASSOCIATION, as</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880"/>
          </w:cols>
          <w:pgMar w:left="440" w:top="274" w:right="579" w:bottom="1440" w:gutter="0" w:footer="0" w:header="0"/>
        </w:sectPr>
      </w:pPr>
    </w:p>
    <w:bookmarkStart w:id="119" w:name="page120"/>
    <w:bookmarkEnd w:id="119"/>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2.500% SENIOR NOTES DUE 2040]</w:t>
      </w:r>
    </w:p>
    <w:p>
      <w:pPr>
        <w:spacing w:after="0" w:line="2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Security is one of a duly authorized issue of securities of the Company (herein called the “</w:t>
      </w:r>
      <w:r>
        <w:rPr>
          <w:rFonts w:ascii="Arial" w:cs="Arial" w:eastAsia="Arial" w:hAnsi="Arial"/>
          <w:sz w:val="18"/>
          <w:szCs w:val="18"/>
          <w:b w:val="1"/>
          <w:bCs w:val="1"/>
          <w:color w:val="auto"/>
        </w:rPr>
        <w:t>Securities</w:t>
      </w:r>
      <w:r>
        <w:rPr>
          <w:rFonts w:ascii="Arial" w:cs="Arial" w:eastAsia="Arial" w:hAnsi="Arial"/>
          <w:sz w:val="18"/>
          <w:szCs w:val="18"/>
          <w:color w:val="auto"/>
        </w:rPr>
        <w:t>”), of the series hereinafter specified, issued and to be issued in one or more series under an Indenture, dated as of June 7, 2013 (the “</w:t>
      </w:r>
      <w:r>
        <w:rPr>
          <w:rFonts w:ascii="Arial" w:cs="Arial" w:eastAsia="Arial" w:hAnsi="Arial"/>
          <w:sz w:val="18"/>
          <w:szCs w:val="18"/>
          <w:b w:val="1"/>
          <w:bCs w:val="1"/>
          <w:color w:val="auto"/>
        </w:rPr>
        <w:t>Original Indenture</w:t>
      </w:r>
      <w:r>
        <w:rPr>
          <w:rFonts w:ascii="Arial" w:cs="Arial" w:eastAsia="Arial" w:hAnsi="Arial"/>
          <w:sz w:val="18"/>
          <w:szCs w:val="18"/>
          <w:color w:val="auto"/>
        </w:rPr>
        <w:t>”), as supplemented by the Eleventh Supplemental Indenture, dated as of December 21, 2020 (the “</w:t>
      </w:r>
      <w:r>
        <w:rPr>
          <w:rFonts w:ascii="Arial" w:cs="Arial" w:eastAsia="Arial" w:hAnsi="Arial"/>
          <w:sz w:val="18"/>
          <w:szCs w:val="18"/>
          <w:b w:val="1"/>
          <w:bCs w:val="1"/>
          <w:color w:val="auto"/>
        </w:rPr>
        <w:t>Eleventh Supplemental Indenture</w:t>
      </w:r>
      <w:r>
        <w:rPr>
          <w:rFonts w:ascii="Arial" w:cs="Arial" w:eastAsia="Arial" w:hAnsi="Arial"/>
          <w:sz w:val="18"/>
          <w:szCs w:val="18"/>
          <w:color w:val="auto"/>
        </w:rPr>
        <w:t>” and as so supplemented,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Wells Fargo Bank, National Association, as Trustee (herein called the “</w:t>
      </w:r>
      <w:r>
        <w:rPr>
          <w:rFonts w:ascii="Arial" w:cs="Arial" w:eastAsia="Arial" w:hAnsi="Arial"/>
          <w:sz w:val="18"/>
          <w:szCs w:val="18"/>
          <w:b w:val="1"/>
          <w:bCs w:val="1"/>
          <w:color w:val="auto"/>
        </w:rPr>
        <w:t>Trustee</w:t>
      </w:r>
      <w:r>
        <w:rPr>
          <w:rFonts w:ascii="Arial" w:cs="Arial" w:eastAsia="Arial" w:hAnsi="Arial"/>
          <w:sz w:val="18"/>
          <w:szCs w:val="18"/>
          <w:color w:val="auto"/>
        </w:rPr>
        <w:t xml:space="preserve">”, which term includes any successor trustee under the Indenture), paying agent, registrar and transfer agent, and reference is hereby made to the Indenture for a statement of the respective rights, limitations of rights, duties and immunities thereunder of the Company, the Trustee and the Holders of the Securities and of the terms upon which this Security are, and are to be, authenticated and delivered. This Security is one of the series designated on the face hereof initially limited in aggregate principal amount to $650,000,000,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may, without the consent of any Holder, at any time and from time to time increase the initial principal amount.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of this series are subject to redemption as provided in Sections 4.1, 4.2, 4.3 and 4.4 of the Eleventh Supplemental Indenture.</w:t>
      </w:r>
    </w:p>
    <w:p>
      <w:pPr>
        <w:spacing w:after="0" w:line="23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Indenture contains provisions for defeasance at any time of the entire indebtedness of this Security and certain restrictive covenants and Events of Default with respect to this Security, in each case upon compliance with certain conditions set forth in the Indenture.</w:t>
      </w:r>
    </w:p>
    <w:p>
      <w:pPr>
        <w:spacing w:after="0" w:line="1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an Event of Default with respect to the Securities of this series shall occur and be continuing, the unpaid principal of the Securities of this series may be declared due and payable in the manner and with the effect provided in the Indenture.</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(i) permitting the Holders of not less than a majority in principal amount of the Securities of any series at the time Outstanding, on behalf of the Holders of all Securities of such series, to waive compliance by the Company with certain provisions of the Indenture with respect to such series and (ii) permitting the Holders of a majority in principal amount of the Securities at the time Outstanding of any series to be affected under the Indenture (with each such series considered separately for this purpose), on behalf of the Holders of all Securities of such series, to waive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60"/>
          </w:cols>
          <w:pgMar w:left="440" w:top="274" w:right="499" w:bottom="1440" w:gutter="0" w:footer="0" w:header="0"/>
        </w:sectPr>
      </w:pPr>
    </w:p>
    <w:bookmarkStart w:id="120" w:name="page121"/>
    <w:bookmarkEnd w:id="120"/>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reasonably satisfactory,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provided in the Indenture and subject to certain limitations therein set forth, the transfer of this Security is registrable in the Register, upon surrender of this Security for registration of transfer at the Registrar, duly endorsed by, or accompanied by a written instrument of transfer in form satisfactory to the Company and the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Securities of this series are issuable only in registered form without coupons in minimum denominations of $2,000 and integral multiples of $1,000 in excess thereof. A Holder who, as a result of trading or otherwise, holds a principal amount of the Securities that is less than the minimum denomination of the Securities is required to purchase an additional principal amount of the Securities such that its holdings of the Securities amounts to the minimum specified denomination. As provided in the Indenture and subject to certain limitations therein set forth, the Securities of this series are exchangeable for a like aggregate principal amount of the Securities of this series of a different authorized denomination, as requested by the Holder surrendering the same.</w:t>
      </w:r>
    </w:p>
    <w:p>
      <w:pPr>
        <w:spacing w:after="0" w:line="1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00"/>
          </w:cols>
          <w:pgMar w:left="440" w:top="274" w:right="459" w:bottom="1440" w:gutter="0" w:footer="0" w:header="0"/>
        </w:sectPr>
      </w:pPr>
    </w:p>
    <w:bookmarkStart w:id="121" w:name="page122"/>
    <w:bookmarkEnd w:id="121"/>
    <w:p>
      <w:pPr>
        <w:ind w:right="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Security is a Global Security and is subject to the provisions of the Indenture relating to Global Securities, including the limitations in Section 3.06 of the Original Indenture and Section 2.8 of the Eleventh Supplemental Indenture on transfers and exchanges of Global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Interest on the principal balance of the Securities of this series shall be calculated on the basis of a 360-day year of twelve 30-day months.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any Interest Payment Date, Redemption Date or Maturity falls on a day that is not a Business Day, then the relevant payment may be made on the next succeeding Business Day and no interest will accrue because of such delayed payment.</w:t>
      </w:r>
    </w:p>
    <w:p>
      <w:pPr>
        <w:spacing w:after="0" w:line="27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THE SECURITIES OF THIS SERIES SHALL BE GOVERNED BY AND CONSTRUED IN ACCORDANCE WITH THE LAWS OF THE STATE OF NEW YORK.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but not defined in this Security shall have the meanings assigned to them in the Indenture.</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00"/>
          </w:cols>
          <w:pgMar w:left="440" w:top="274" w:right="45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Wachtell, Lipton, Rosen &amp; Katz]</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21,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Nasdaq,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151 West 42nd Street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We have acted as special counsel to Nasdaq,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issuance and sale by the Company of $600,000,000 aggregate principal amount of 0.445% senior notes due 2022 (the “</w:t>
      </w:r>
      <w:r>
        <w:rPr>
          <w:rFonts w:ascii="Arial" w:cs="Arial" w:eastAsia="Arial" w:hAnsi="Arial"/>
          <w:sz w:val="17"/>
          <w:szCs w:val="17"/>
          <w:u w:val="single" w:color="auto"/>
          <w:color w:val="auto"/>
        </w:rPr>
        <w:t>2022 Notes</w:t>
      </w:r>
      <w:r>
        <w:rPr>
          <w:rFonts w:ascii="Arial" w:cs="Arial" w:eastAsia="Arial" w:hAnsi="Arial"/>
          <w:sz w:val="17"/>
          <w:szCs w:val="17"/>
          <w:color w:val="auto"/>
        </w:rPr>
        <w:t>”), $650,000,000 aggregate principal amount of 1.650% senior notes due 2031 (the “</w:t>
      </w:r>
      <w:r>
        <w:rPr>
          <w:rFonts w:ascii="Arial" w:cs="Arial" w:eastAsia="Arial" w:hAnsi="Arial"/>
          <w:sz w:val="17"/>
          <w:szCs w:val="17"/>
          <w:u w:val="single" w:color="auto"/>
          <w:color w:val="auto"/>
        </w:rPr>
        <w:t>2031 Notes</w:t>
      </w:r>
      <w:r>
        <w:rPr>
          <w:rFonts w:ascii="Arial" w:cs="Arial" w:eastAsia="Arial" w:hAnsi="Arial"/>
          <w:sz w:val="17"/>
          <w:szCs w:val="17"/>
          <w:color w:val="auto"/>
        </w:rPr>
        <w:t>”), and $650,000,000 aggregate principal amount of 2.500% senior notes due 2040 (the “</w:t>
      </w:r>
      <w:r>
        <w:rPr>
          <w:rFonts w:ascii="Arial" w:cs="Arial" w:eastAsia="Arial" w:hAnsi="Arial"/>
          <w:sz w:val="17"/>
          <w:szCs w:val="17"/>
          <w:u w:val="single" w:color="auto"/>
          <w:color w:val="auto"/>
        </w:rPr>
        <w:t>2040</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Notes</w:t>
      </w:r>
      <w:r>
        <w:rPr>
          <w:rFonts w:ascii="Arial" w:cs="Arial" w:eastAsia="Arial" w:hAnsi="Arial"/>
          <w:sz w:val="17"/>
          <w:szCs w:val="17"/>
          <w:color w:val="auto"/>
        </w:rPr>
        <w:t>”, and together with the 2022 Notes and 2031 Notes, the “</w:t>
      </w:r>
      <w:r>
        <w:rPr>
          <w:rFonts w:ascii="Arial" w:cs="Arial" w:eastAsia="Arial" w:hAnsi="Arial"/>
          <w:sz w:val="17"/>
          <w:szCs w:val="17"/>
          <w:u w:val="single" w:color="auto"/>
          <w:color w:val="auto"/>
        </w:rPr>
        <w:t>Notes</w:t>
      </w:r>
      <w:r>
        <w:rPr>
          <w:rFonts w:ascii="Arial" w:cs="Arial" w:eastAsia="Arial" w:hAnsi="Arial"/>
          <w:sz w:val="17"/>
          <w:szCs w:val="17"/>
          <w:color w:val="auto"/>
        </w:rPr>
        <w:t>”). The Notes were sold pursuant to an Underwriting Agreement, dated December 7, 2020, among J.P. Morgan Securities LLC, BofA Securities, Inc., Goldman Sachs &amp; Co. LLC and Morgan Stanley &amp; Co. LLC, as representatives of the several underwriters named therein (the “</w:t>
      </w:r>
      <w:r>
        <w:rPr>
          <w:rFonts w:ascii="Arial" w:cs="Arial" w:eastAsia="Arial" w:hAnsi="Arial"/>
          <w:sz w:val="17"/>
          <w:szCs w:val="17"/>
          <w:u w:val="single" w:color="auto"/>
          <w:color w:val="auto"/>
        </w:rPr>
        <w:t>Underwriters</w:t>
      </w:r>
      <w:r>
        <w:rPr>
          <w:rFonts w:ascii="Arial" w:cs="Arial" w:eastAsia="Arial" w:hAnsi="Arial"/>
          <w:sz w:val="17"/>
          <w:szCs w:val="17"/>
          <w:color w:val="auto"/>
        </w:rPr>
        <w:t>”), and the</w:t>
      </w:r>
    </w:p>
    <w:p>
      <w:pPr>
        <w:sectPr>
          <w:pgSz w:w="11900" w:h="16838" w:orient="portrait"/>
          <w:cols w:equalWidth="0" w:num="1">
            <w:col w:w="11020"/>
          </w:cols>
          <w:pgMar w:left="440" w:top="121" w:right="4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905760" cy="2489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2905760" cy="248920"/>
                    </a:xfrm>
                    <a:prstGeom prst="rect">
                      <a:avLst/>
                    </a:prstGeom>
                    <a:noFill/>
                  </pic:spPr>
                </pic:pic>
              </a:graphicData>
            </a:graphic>
          </wp:anchor>
        </w:drawing>
        <w:t>December 21,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Company. The Notes were issued pursuant to the Prospectus Supplement, dated December 7, 2020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and filed with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on December 7, 2020 , and the Prospectus, dated April 27, 2018, that forms a part of the Company’s registration statement on Form S-3 (File No. 333-224489), filed with the SEC on April 27, 2018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which automatically became effective under the Securities Act of 1933, as amended (including the rules and regulations thereunder, the “</w:t>
      </w:r>
      <w:r>
        <w:rPr>
          <w:rFonts w:ascii="Arial" w:cs="Arial" w:eastAsia="Arial" w:hAnsi="Arial"/>
          <w:sz w:val="16"/>
          <w:szCs w:val="16"/>
          <w:u w:val="single" w:color="auto"/>
          <w:color w:val="auto"/>
        </w:rPr>
        <w:t>Act</w:t>
      </w:r>
      <w:r>
        <w:rPr>
          <w:rFonts w:ascii="Arial" w:cs="Arial" w:eastAsia="Arial" w:hAnsi="Arial"/>
          <w:sz w:val="16"/>
          <w:szCs w:val="16"/>
          <w:color w:val="auto"/>
        </w:rPr>
        <w:t>”), upon filing pursuant to Rule 462(e) promulgated thereunder. The Notes were issued under the Indenture, dated as of June 7, 2013 (the “</w:t>
      </w:r>
      <w:r>
        <w:rPr>
          <w:rFonts w:ascii="Arial" w:cs="Arial" w:eastAsia="Arial" w:hAnsi="Arial"/>
          <w:sz w:val="16"/>
          <w:szCs w:val="16"/>
          <w:u w:val="single" w:color="auto"/>
          <w:color w:val="auto"/>
        </w:rPr>
        <w:t>Base Indenture</w:t>
      </w:r>
      <w:r>
        <w:rPr>
          <w:rFonts w:ascii="Arial" w:cs="Arial" w:eastAsia="Arial" w:hAnsi="Arial"/>
          <w:sz w:val="16"/>
          <w:szCs w:val="16"/>
          <w:color w:val="auto"/>
        </w:rPr>
        <w:t>”), between the Company and Wells Fargo Bank, National Association,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as supplemented by (i) with respect to the 2022 Notes, the Ninth Supplemental Indenture (the “</w:t>
      </w:r>
      <w:r>
        <w:rPr>
          <w:rFonts w:ascii="Arial" w:cs="Arial" w:eastAsia="Arial" w:hAnsi="Arial"/>
          <w:sz w:val="16"/>
          <w:szCs w:val="16"/>
          <w:u w:val="single" w:color="auto"/>
          <w:color w:val="auto"/>
        </w:rPr>
        <w:t>Ninth Supplemental Indenture</w:t>
      </w:r>
      <w:r>
        <w:rPr>
          <w:rFonts w:ascii="Arial" w:cs="Arial" w:eastAsia="Arial" w:hAnsi="Arial"/>
          <w:sz w:val="16"/>
          <w:szCs w:val="16"/>
          <w:color w:val="auto"/>
        </w:rPr>
        <w:t>”), dated December 21, 2020, by and between the Company and the Trustee, (ii) with respect to the 2031 Notes, the Tenth Supplemental Indenture (the “</w:t>
      </w:r>
      <w:r>
        <w:rPr>
          <w:rFonts w:ascii="Arial" w:cs="Arial" w:eastAsia="Arial" w:hAnsi="Arial"/>
          <w:sz w:val="16"/>
          <w:szCs w:val="16"/>
          <w:u w:val="single" w:color="auto"/>
          <w:color w:val="auto"/>
        </w:rPr>
        <w:t>Tenth Supplemental Indenture</w:t>
      </w:r>
      <w:r>
        <w:rPr>
          <w:rFonts w:ascii="Arial" w:cs="Arial" w:eastAsia="Arial" w:hAnsi="Arial"/>
          <w:sz w:val="16"/>
          <w:szCs w:val="16"/>
          <w:color w:val="auto"/>
        </w:rPr>
        <w:t>”), dated December 21, 2020, by and between the Company and the Trustee and (iii) with respect to the 2040 Notes, the Eleventh Supplemental Indenture (the “</w:t>
      </w:r>
      <w:r>
        <w:rPr>
          <w:rFonts w:ascii="Arial" w:cs="Arial" w:eastAsia="Arial" w:hAnsi="Arial"/>
          <w:sz w:val="16"/>
          <w:szCs w:val="16"/>
          <w:u w:val="single" w:color="auto"/>
          <w:color w:val="auto"/>
        </w:rPr>
        <w:t>Eleventh Supplemental Indenture</w:t>
      </w:r>
      <w:r>
        <w:rPr>
          <w:rFonts w:ascii="Arial" w:cs="Arial" w:eastAsia="Arial" w:hAnsi="Arial"/>
          <w:sz w:val="16"/>
          <w:szCs w:val="16"/>
          <w:color w:val="auto"/>
        </w:rPr>
        <w:t>”, and together with the Ninth Supplemental Indenture and Tenth Supplemental Indenture, the “Supplemental Indentures and, together with the Base Indenture, the “</w:t>
      </w:r>
      <w:r>
        <w:rPr>
          <w:rFonts w:ascii="Arial" w:cs="Arial" w:eastAsia="Arial" w:hAnsi="Arial"/>
          <w:sz w:val="16"/>
          <w:szCs w:val="16"/>
          <w:u w:val="single" w:color="auto"/>
          <w:color w:val="auto"/>
        </w:rPr>
        <w:t>Indentures</w:t>
      </w:r>
      <w:r>
        <w:rPr>
          <w:rFonts w:ascii="Arial" w:cs="Arial" w:eastAsia="Arial" w:hAnsi="Arial"/>
          <w:sz w:val="16"/>
          <w:szCs w:val="16"/>
          <w:color w:val="auto"/>
        </w:rPr>
        <w:t>”), between the Company and the Trustee. The Supplemental Indentures, which include the form of the applicable series of Notes, are filed as exhibits to the Company’s Current Report on Form 8-K dated the date hereof (the “</w:t>
      </w:r>
      <w:r>
        <w:rPr>
          <w:rFonts w:ascii="Arial" w:cs="Arial" w:eastAsia="Arial" w:hAnsi="Arial"/>
          <w:sz w:val="16"/>
          <w:szCs w:val="16"/>
          <w:u w:val="single" w:color="auto"/>
          <w:color w:val="auto"/>
        </w:rPr>
        <w:t>Form 8-K</w:t>
      </w:r>
      <w:r>
        <w:rPr>
          <w:rFonts w:ascii="Arial" w:cs="Arial" w:eastAsia="Arial" w:hAnsi="Arial"/>
          <w:sz w:val="16"/>
          <w:szCs w:val="16"/>
          <w:color w:val="auto"/>
        </w:rPr>
        <w:t>”).</w:t>
      </w:r>
    </w:p>
    <w:p>
      <w:pPr>
        <w:spacing w:after="0" w:line="168"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In rendering this opinion, we have examined and relied on the Registration Statement, the Indentures, the form of the Notes and such corporate records and other documents, and we have reviewed such matters of law, as we have deemed necessary or appropriate. We have also conducted such investigations of fact and law as we have deemed necessary or advisable for purposes of this letter. In rendering this opinion, we have, with your consent, relied upon oral and written representations of officers of the Company and certificates of officers of the Company and public officials with respect to the accuracy of the factual matters addressed in such representations and certificates. In addition, in rendering this opinion we have, with your consent, assumed (a) the authenticity of original documents and the genuineness of all signatures, (b) the conformity to the originals of all documents submitted to us as copies, (c) each natural person signing any document reviewed by us had the legal capacity to do so, (d) each person signing in a representative capacity any document reviewed by us had authority to sign in such capacity, (e) the truth, accuracy and completeness of the information, representations and warranties contained in the records, documents, instruments and certificates we have reviewed, (f) that all Notes will be issued and sold in compliance with applicable federal and state securities laws, including applicable provisions of “blue sky” laws, and in the manner stated in the Registration Statement and the Prospectus Supplement and (g) the organizational documents of the Company, each as amended to the date hereof, will not have been amended from the date hereof in a manner that would affect the validity of the opinion rendered herein. We have also, with your consent, assumed that the execution, delivery and performance of the Indentures, the Notes and the Underwriting Agreement (collectively, the “</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will not (i) violate, conflict with or result in a breach of, or require any consent under, the charters, bylaws or equivalent organizational documents of any party to such documents (other than the Company) or the laws of the jurisdictions of organization or other applicable laws with respect to</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881" w:right="479" w:bottom="1440" w:gutter="0" w:footer="0" w:header="0"/>
        </w:sectPr>
      </w:pPr>
    </w:p>
    <w:bookmarkStart w:id="124" w:name="page125"/>
    <w:bookmarkEnd w:id="12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905760" cy="2489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2905760" cy="248920"/>
                    </a:xfrm>
                    <a:prstGeom prst="rect">
                      <a:avLst/>
                    </a:prstGeom>
                    <a:noFill/>
                  </pic:spPr>
                </pic:pic>
              </a:graphicData>
            </a:graphic>
          </wp:anchor>
        </w:drawing>
        <w:t>December 21, 2020</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 w:right="60"/>
        <w:spacing w:after="0" w:line="270" w:lineRule="auto"/>
        <w:rPr>
          <w:sz w:val="20"/>
          <w:szCs w:val="20"/>
          <w:color w:val="auto"/>
        </w:rPr>
      </w:pPr>
      <w:r>
        <w:rPr>
          <w:rFonts w:ascii="Arial" w:cs="Arial" w:eastAsia="Arial" w:hAnsi="Arial"/>
          <w:sz w:val="17"/>
          <w:szCs w:val="17"/>
          <w:color w:val="auto"/>
        </w:rPr>
        <w:t>such parties, (ii) violate any requirement or restriction imposed by any order, writ, judgment, injunction, decree, determination or award of any court or governmental body having jurisdiction over any party to such documents or any of their respective assets or (iii) constitute a breach or violation of any agreement or instrument that is binding on any party to the Transaction Documents. We have also, with your consent, assumed that each party to the Transaction Documents (in the case of parties that are not natural persons) (other than the Company) has been duly organized and is validly existing and in good standing under its jurisdiction of organization, that each such party has the legal capacity, power and authority (corporate or otherwise) to enter into, deliver and perform its obligations thereunder and that each of the Transaction Documents (other than, with respect to the Company, the Notes) constitutes the valid and binding obligation of all such parties, enforceable against them in accordance with its terms As to any facts material to the opinions expressed herein that we did not independently establish or verify, we have relied upon statements and representations of officers and other representatives of the Company and others.</w:t>
      </w:r>
    </w:p>
    <w:p>
      <w:pPr>
        <w:spacing w:after="0" w:line="181" w:lineRule="exact"/>
        <w:rPr>
          <w:sz w:val="20"/>
          <w:szCs w:val="20"/>
          <w:color w:val="auto"/>
        </w:rPr>
      </w:pPr>
    </w:p>
    <w:p>
      <w:pPr>
        <w:ind w:left="4" w:right="240" w:firstLine="991"/>
        <w:spacing w:after="0" w:line="263" w:lineRule="auto"/>
        <w:rPr>
          <w:sz w:val="20"/>
          <w:szCs w:val="20"/>
          <w:color w:val="auto"/>
        </w:rPr>
      </w:pPr>
      <w:r>
        <w:rPr>
          <w:rFonts w:ascii="Arial" w:cs="Arial" w:eastAsia="Arial" w:hAnsi="Arial"/>
          <w:sz w:val="18"/>
          <w:szCs w:val="18"/>
          <w:color w:val="auto"/>
        </w:rPr>
        <w:t>Based on the foregoing, and subject to the qualifications and limitations stated herein, we are of the opinion that the Notes, when authenticated by the Trustee in the manner provided in the Indentures and issued and delivered against payment of the purchase price therefor, will be valid and binding obligations of the Company, enforceable against the Company in accordance with their terms.</w:t>
      </w:r>
    </w:p>
    <w:p>
      <w:pPr>
        <w:spacing w:after="0" w:line="184" w:lineRule="exact"/>
        <w:rPr>
          <w:sz w:val="20"/>
          <w:szCs w:val="20"/>
          <w:color w:val="auto"/>
        </w:rPr>
      </w:pPr>
    </w:p>
    <w:p>
      <w:pPr>
        <w:ind w:left="4" w:right="100" w:firstLine="991"/>
        <w:spacing w:after="0" w:line="284" w:lineRule="auto"/>
        <w:rPr>
          <w:sz w:val="20"/>
          <w:szCs w:val="20"/>
          <w:color w:val="auto"/>
        </w:rPr>
      </w:pPr>
      <w:r>
        <w:rPr>
          <w:rFonts w:ascii="Arial" w:cs="Arial" w:eastAsia="Arial" w:hAnsi="Arial"/>
          <w:sz w:val="16"/>
          <w:szCs w:val="16"/>
          <w:color w:val="auto"/>
        </w:rPr>
        <w:t>The opinion set forth above is subject to the effects of (a) bankruptcy, insolvency, fraudulent conveyance, reorganization, moratorium and other similar laws relating to or affecting the enforcement of creditors’ rights generally, (b) general equitable principles (whether considered in a proceeding in equity or at law), (c) an implied covenant of good faith and fair dealing, (d) provisions of law that require that a judgment for money damages rendered by a court in the United States be expressed only in United States dollars, (e) limitations by any governmental authority that limit, delay or prohibit the making of payments outside the United States and (f) generally applicable laws that (i) provide for the enforcement of oral waivers or modifications where a material change of position in reliance thereon has occurred or provide that a course of performance may operate as a waiver,</w:t>
      </w:r>
    </w:p>
    <w:p>
      <w:pPr>
        <w:spacing w:after="0" w:line="4" w:lineRule="exact"/>
        <w:rPr>
          <w:sz w:val="20"/>
          <w:szCs w:val="20"/>
          <w:color w:val="auto"/>
        </w:rPr>
      </w:pPr>
    </w:p>
    <w:p>
      <w:pPr>
        <w:ind w:left="4" w:hanging="4"/>
        <w:spacing w:after="0" w:line="281" w:lineRule="auto"/>
        <w:tabs>
          <w:tab w:leader="none" w:pos="26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limit the availability of a remedy under certain circumstances where another remedy has been elected, (iii) limit the enforceability of provisions releasing, exculpating or exempting a party from, or requiring indemnification or contribution of a party for, liability for its own action or inaction, to the extent the action or inaction involves negligence, gross negligence, recklessness, willful misconduct or unlawful conduct, (iv) may, where less than all of a contract may be unenforceable, limit the enforceability of the balance of the contract to circumstances in which the unenforceable portion is not an essential part of the agreed exchange, (v) may limit the enforceability of provisions providing for compounded interest, imposing increased interest rates or late payment charges upon delinquency in payment or default or providing for liquidated damages or for premiums or penalties upon acceleration or</w:t>
      </w:r>
    </w:p>
    <w:p>
      <w:pPr>
        <w:spacing w:after="0" w:line="3" w:lineRule="exact"/>
        <w:rPr>
          <w:rFonts w:ascii="Arial" w:cs="Arial" w:eastAsia="Arial" w:hAnsi="Arial"/>
          <w:sz w:val="16"/>
          <w:szCs w:val="16"/>
          <w:color w:val="auto"/>
        </w:rPr>
      </w:pPr>
    </w:p>
    <w:p>
      <w:pPr>
        <w:ind w:left="4" w:right="40" w:hanging="4"/>
        <w:spacing w:after="0" w:line="292" w:lineRule="auto"/>
        <w:tabs>
          <w:tab w:leader="none" w:pos="30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limit the waiver of rights under usury laws. We express no opinion as to whether, or the extent to which, the laws of any particular jurisdiction apply to the subject matter hereof, including, without limitation, the enforceability of the governing law provision contained in the Notes or the Indentures. Furthermore, the manner in which any particular issue relating to the opinions would be treated in any actual court case would depend in part on facts and circumstances particular to the case and would also depend on how the court involved chose to exercise the wide discretionary authority generally available to it. We express no opinion as to the effect of Section 210(p) of the Dodd-Frank Wall Street Reform and Consumer Protection Act.</w:t>
      </w:r>
    </w:p>
    <w:p>
      <w:pPr>
        <w:spacing w:after="0" w:line="9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881" w:right="4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905760" cy="2489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2905760" cy="248920"/>
                    </a:xfrm>
                    <a:prstGeom prst="rect">
                      <a:avLst/>
                    </a:prstGeom>
                    <a:noFill/>
                  </pic:spPr>
                </pic:pic>
              </a:graphicData>
            </a:graphic>
          </wp:anchor>
        </w:drawing>
        <w:t>December 21,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jc w:val="both"/>
        <w:ind w:firstLine="991"/>
        <w:spacing w:after="0" w:line="311" w:lineRule="auto"/>
        <w:rPr>
          <w:sz w:val="20"/>
          <w:szCs w:val="20"/>
          <w:color w:val="auto"/>
        </w:rPr>
      </w:pPr>
      <w:r>
        <w:rPr>
          <w:rFonts w:ascii="Arial" w:cs="Arial" w:eastAsia="Arial" w:hAnsi="Arial"/>
          <w:sz w:val="16"/>
          <w:szCs w:val="16"/>
          <w:color w:val="auto"/>
        </w:rPr>
        <w:t>This letter is given on the basis of the law and the facts existing as of the date hereof. We assume no obligation to advise you of changes in matters of fact or law which may thereafter occur. Our opinion is based on statutory laws and judicial decisions that are in effect on the date hereof, and we do not opine with respect to any law, regulation, rule or governmental policy which may be enacted or adopted after the date hereof.</w:t>
      </w:r>
    </w:p>
    <w:p>
      <w:pPr>
        <w:spacing w:after="0" w:line="149" w:lineRule="exact"/>
        <w:rPr>
          <w:sz w:val="20"/>
          <w:szCs w:val="20"/>
          <w:color w:val="auto"/>
        </w:rPr>
      </w:pPr>
    </w:p>
    <w:p>
      <w:pPr>
        <w:ind w:right="20" w:firstLine="991"/>
        <w:spacing w:after="0" w:line="290" w:lineRule="auto"/>
        <w:rPr>
          <w:sz w:val="20"/>
          <w:szCs w:val="20"/>
          <w:color w:val="auto"/>
        </w:rPr>
      </w:pPr>
      <w:r>
        <w:rPr>
          <w:rFonts w:ascii="Arial" w:cs="Arial" w:eastAsia="Arial" w:hAnsi="Arial"/>
          <w:sz w:val="16"/>
          <w:szCs w:val="16"/>
          <w:color w:val="auto"/>
        </w:rPr>
        <w:t>We are members of the bar of the State of New York. This opinion is limited to the laws of the State of New York and the Delaware General Corporation Law (including the statutory provisions and all applicable provisions of the Delaware Constitution and reported judicial decisions interpreting these laws), in each case as of the date hereof (the “</w:t>
      </w:r>
      <w:r>
        <w:rPr>
          <w:rFonts w:ascii="Arial" w:cs="Arial" w:eastAsia="Arial" w:hAnsi="Arial"/>
          <w:sz w:val="16"/>
          <w:szCs w:val="16"/>
          <w:u w:val="single" w:color="auto"/>
          <w:color w:val="auto"/>
        </w:rPr>
        <w:t>Relevant Laws</w:t>
      </w:r>
      <w:r>
        <w:rPr>
          <w:rFonts w:ascii="Arial" w:cs="Arial" w:eastAsia="Arial" w:hAnsi="Arial"/>
          <w:sz w:val="16"/>
          <w:szCs w:val="16"/>
          <w:color w:val="auto"/>
        </w:rPr>
        <w:t>”). We express no opinion as to the laws of any jurisdiction other than the Relevant Laws that a New York lawyer exercising customary professional diligence would reasonably be expected to recognize as being applicable to the Company, the Transaction Documents or the transactions governed by the Transaction Documents. Without limiting the generality of the foregoing definition of Relevant Laws, the term “Relevant Laws” does not include any law, rule or regulation that is applicable to the Company or the Transaction Documents or such transactions solely because such law, rule or regulation is part of a regulatory regime applicable to any party to any of the Transaction Documents or any of its affiliates due to the specific assets or business of such party or such affiliate.</w:t>
      </w:r>
    </w:p>
    <w:p>
      <w:pPr>
        <w:spacing w:after="0" w:line="165" w:lineRule="exact"/>
        <w:rPr>
          <w:sz w:val="20"/>
          <w:szCs w:val="20"/>
          <w:color w:val="auto"/>
        </w:rPr>
      </w:pPr>
    </w:p>
    <w:p>
      <w:pPr>
        <w:ind w:right="140" w:firstLine="991"/>
        <w:spacing w:after="0" w:line="308" w:lineRule="auto"/>
        <w:rPr>
          <w:sz w:val="20"/>
          <w:szCs w:val="20"/>
          <w:color w:val="auto"/>
        </w:rPr>
      </w:pPr>
      <w:r>
        <w:rPr>
          <w:rFonts w:ascii="Arial" w:cs="Arial" w:eastAsia="Arial" w:hAnsi="Arial"/>
          <w:sz w:val="17"/>
          <w:szCs w:val="17"/>
          <w:color w:val="auto"/>
        </w:rPr>
        <w:t>We hereby consent to the filing of copies of this opinion as an exhibit to the Form 8-K, and to the references therein to us. In giving such consent, we do not thereby admit that we are in the category of persons whose consent is required under Section 7 of the Act.</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Wachtell, Lipton, Rosen &amp; Katz</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881" w:right="47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180340</wp:posOffset>
            </wp:positionV>
            <wp:extent cx="6995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222885</wp:posOffset>
            </wp:positionV>
            <wp:extent cx="69951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Deal CUSIP: 63110DAF3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A Facility: 63110DAG1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B Facility: 63110DAH9</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dated as of December 21, 2020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NASDAQ,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Administrative Agent and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228600</wp:posOffset>
            </wp:positionV>
            <wp:extent cx="1474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right="40"/>
        <w:spacing w:after="0" w:line="255" w:lineRule="auto"/>
        <w:rPr>
          <w:sz w:val="20"/>
          <w:szCs w:val="20"/>
          <w:color w:val="auto"/>
        </w:rPr>
      </w:pPr>
      <w:r>
        <w:rPr>
          <w:rFonts w:ascii="Arial" w:cs="Arial" w:eastAsia="Arial" w:hAnsi="Arial"/>
          <w:sz w:val="18"/>
          <w:szCs w:val="18"/>
          <w:color w:val="auto"/>
        </w:rPr>
        <w:t>BOFA SECURITIES, INC., JPMORGAN CHASE BANK, N.A., GOLDMAN SACHS BANK USA, MORGAN STANLEY SENIOR FUNDING, INC., MIZUHO BANK, LTD., NORDEA BANK ABP, NEW YORK BRANCH, SKANDINAVISKA ENSKILDA BANKEN AB (PUBL) and WELLS FARGO SECURITIES LLC,</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Joint Lead Arrangers, Joint Bookrunning Managers and Syndication Agents</w:t>
      </w:r>
    </w:p>
    <w:p>
      <w:pPr>
        <w:spacing w:after="0" w:line="211" w:lineRule="exact"/>
        <w:rPr>
          <w:sz w:val="20"/>
          <w:szCs w:val="20"/>
          <w:color w:val="auto"/>
        </w:rPr>
      </w:pPr>
    </w:p>
    <w:p>
      <w:pPr>
        <w:jc w:val="center"/>
        <w:ind w:right="40"/>
        <w:spacing w:after="0" w:line="271" w:lineRule="auto"/>
        <w:rPr>
          <w:sz w:val="20"/>
          <w:szCs w:val="20"/>
          <w:color w:val="auto"/>
        </w:rPr>
      </w:pPr>
      <w:r>
        <w:rPr>
          <w:rFonts w:ascii="Arial" w:cs="Arial" w:eastAsia="Arial" w:hAnsi="Arial"/>
          <w:sz w:val="18"/>
          <w:szCs w:val="18"/>
          <w:color w:val="auto"/>
        </w:rPr>
        <w:t>CITIBANK, N.A., HSBC BANK USA, N.A., INDUSTRIAL AND COMMERCIAL BANK OF CHINA LIMITED, NEW YORK BRANCH and SVENSKA HANDELSBANKEN AB (PUBL), NEW YORK BRANCH, 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286385</wp:posOffset>
            </wp:positionV>
            <wp:extent cx="6995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329565</wp:posOffset>
            </wp:positionV>
            <wp:extent cx="6995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60" w:top="121" w:right="439" w:bottom="1440" w:gutter="0" w:footer="0" w:header="0"/>
        </w:sectPr>
      </w:pPr>
    </w:p>
    <w:bookmarkStart w:id="127" w:name="page128"/>
    <w:bookmarkEnd w:id="127"/>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9240" w:type="dxa"/>
            <w:vAlign w:val="bottom"/>
            <w:vMerge w:val="restart"/>
          </w:tcPr>
          <w:p>
            <w:pPr>
              <w:jc w:val="center"/>
              <w:ind w:right="1030"/>
              <w:spacing w:after="0"/>
              <w:rPr>
                <w:sz w:val="20"/>
                <w:szCs w:val="20"/>
                <w:color w:val="auto"/>
              </w:rPr>
            </w:pPr>
            <w:r>
              <w:rPr>
                <w:rFonts w:ascii="Arial" w:cs="Arial" w:eastAsia="Arial" w:hAnsi="Arial"/>
                <w:sz w:val="18"/>
                <w:szCs w:val="18"/>
                <w:color w:val="auto"/>
                <w:w w:val="97"/>
              </w:rPr>
              <w:t>ARTICLE I</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1420" w:type="dxa"/>
            <w:vAlign w:val="bottom"/>
          </w:tcPr>
          <w:p>
            <w:pPr>
              <w:spacing w:after="0"/>
              <w:rPr>
                <w:sz w:val="15"/>
                <w:szCs w:val="15"/>
                <w:color w:val="auto"/>
              </w:rPr>
            </w:pPr>
          </w:p>
        </w:tc>
        <w:tc>
          <w:tcPr>
            <w:tcW w:w="92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240" w:type="dxa"/>
            <w:vAlign w:val="bottom"/>
          </w:tcPr>
          <w:p>
            <w:pPr>
              <w:jc w:val="center"/>
              <w:ind w:right="1030"/>
              <w:spacing w:after="0"/>
              <w:rPr>
                <w:sz w:val="20"/>
                <w:szCs w:val="20"/>
                <w:color w:val="auto"/>
              </w:rPr>
            </w:pPr>
            <w:r>
              <w:rPr>
                <w:rFonts w:ascii="Arial" w:cs="Arial" w:eastAsia="Arial" w:hAnsi="Arial"/>
                <w:sz w:val="18"/>
                <w:szCs w:val="18"/>
                <w:color w:val="auto"/>
                <w:w w:val="98"/>
              </w:rPr>
              <w:t>DEFINITIONS</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1.01</w:t>
            </w:r>
          </w:p>
        </w:tc>
        <w:tc>
          <w:tcPr>
            <w:tcW w:w="9240" w:type="dxa"/>
            <w:vAlign w:val="bottom"/>
          </w:tcPr>
          <w:p>
            <w:pPr>
              <w:ind w:left="320"/>
              <w:spacing w:after="0"/>
              <w:rPr>
                <w:sz w:val="20"/>
                <w:szCs w:val="20"/>
                <w:color w:val="auto"/>
              </w:rPr>
            </w:pPr>
            <w:r>
              <w:rPr>
                <w:rFonts w:ascii="Arial" w:cs="Arial" w:eastAsia="Arial" w:hAnsi="Arial"/>
                <w:sz w:val="18"/>
                <w:szCs w:val="18"/>
                <w:color w:val="auto"/>
              </w:rPr>
              <w:t>Defined Terms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1.02</w:t>
            </w:r>
          </w:p>
        </w:tc>
        <w:tc>
          <w:tcPr>
            <w:tcW w:w="9240" w:type="dxa"/>
            <w:vAlign w:val="bottom"/>
          </w:tcPr>
          <w:p>
            <w:pPr>
              <w:ind w:left="320"/>
              <w:spacing w:after="0"/>
              <w:rPr>
                <w:sz w:val="20"/>
                <w:szCs w:val="20"/>
                <w:color w:val="auto"/>
              </w:rPr>
            </w:pPr>
            <w:r>
              <w:rPr>
                <w:rFonts w:ascii="Arial" w:cs="Arial" w:eastAsia="Arial" w:hAnsi="Arial"/>
                <w:sz w:val="18"/>
                <w:szCs w:val="18"/>
                <w:color w:val="auto"/>
              </w:rPr>
              <w:t>Classification of Loans and Borrowings</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1.03</w:t>
            </w:r>
          </w:p>
        </w:tc>
        <w:tc>
          <w:tcPr>
            <w:tcW w:w="9240" w:type="dxa"/>
            <w:vAlign w:val="bottom"/>
          </w:tcPr>
          <w:p>
            <w:pPr>
              <w:ind w:left="320"/>
              <w:spacing w:after="0"/>
              <w:rPr>
                <w:sz w:val="20"/>
                <w:szCs w:val="20"/>
                <w:color w:val="auto"/>
              </w:rPr>
            </w:pPr>
            <w:r>
              <w:rPr>
                <w:rFonts w:ascii="Arial" w:cs="Arial" w:eastAsia="Arial" w:hAnsi="Arial"/>
                <w:sz w:val="18"/>
                <w:szCs w:val="18"/>
                <w:color w:val="auto"/>
              </w:rPr>
              <w:t>Terms Generally; Times of Day</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1.04</w:t>
            </w:r>
          </w:p>
        </w:tc>
        <w:tc>
          <w:tcPr>
            <w:tcW w:w="9240" w:type="dxa"/>
            <w:vAlign w:val="bottom"/>
          </w:tcPr>
          <w:p>
            <w:pPr>
              <w:ind w:left="320"/>
              <w:spacing w:after="0"/>
              <w:rPr>
                <w:sz w:val="20"/>
                <w:szCs w:val="20"/>
                <w:color w:val="auto"/>
              </w:rPr>
            </w:pPr>
            <w:r>
              <w:rPr>
                <w:rFonts w:ascii="Arial" w:cs="Arial" w:eastAsia="Arial" w:hAnsi="Arial"/>
                <w:sz w:val="18"/>
                <w:szCs w:val="18"/>
                <w:color w:val="auto"/>
              </w:rPr>
              <w:t>Accounting Terms; GAAP</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1.05</w:t>
            </w:r>
          </w:p>
        </w:tc>
        <w:tc>
          <w:tcPr>
            <w:tcW w:w="9240" w:type="dxa"/>
            <w:vAlign w:val="bottom"/>
          </w:tcPr>
          <w:p>
            <w:pPr>
              <w:ind w:left="320"/>
              <w:spacing w:after="0"/>
              <w:rPr>
                <w:sz w:val="20"/>
                <w:szCs w:val="20"/>
                <w:color w:val="auto"/>
              </w:rPr>
            </w:pPr>
            <w:r>
              <w:rPr>
                <w:rFonts w:ascii="Arial" w:cs="Arial" w:eastAsia="Arial" w:hAnsi="Arial"/>
                <w:sz w:val="18"/>
                <w:szCs w:val="18"/>
                <w:color w:val="auto"/>
              </w:rPr>
              <w:t>Pro Forma Calculations</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1.06</w:t>
            </w:r>
          </w:p>
        </w:tc>
        <w:tc>
          <w:tcPr>
            <w:tcW w:w="9240" w:type="dxa"/>
            <w:vAlign w:val="bottom"/>
          </w:tcPr>
          <w:p>
            <w:pPr>
              <w:ind w:left="320"/>
              <w:spacing w:after="0"/>
              <w:rPr>
                <w:sz w:val="20"/>
                <w:szCs w:val="20"/>
                <w:color w:val="auto"/>
              </w:rPr>
            </w:pPr>
            <w:r>
              <w:rPr>
                <w:rFonts w:ascii="Arial" w:cs="Arial" w:eastAsia="Arial" w:hAnsi="Arial"/>
                <w:sz w:val="18"/>
                <w:szCs w:val="18"/>
                <w:color w:val="auto"/>
              </w:rPr>
              <w:t>Letter of Credit Amounts</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1.07</w:t>
            </w:r>
          </w:p>
        </w:tc>
        <w:tc>
          <w:tcPr>
            <w:tcW w:w="9240" w:type="dxa"/>
            <w:vAlign w:val="bottom"/>
          </w:tcPr>
          <w:p>
            <w:pPr>
              <w:ind w:left="320"/>
              <w:spacing w:after="0"/>
              <w:rPr>
                <w:sz w:val="20"/>
                <w:szCs w:val="20"/>
                <w:color w:val="auto"/>
              </w:rPr>
            </w:pPr>
            <w:r>
              <w:rPr>
                <w:rFonts w:ascii="Arial" w:cs="Arial" w:eastAsia="Arial" w:hAnsi="Arial"/>
                <w:sz w:val="18"/>
                <w:szCs w:val="18"/>
                <w:color w:val="auto"/>
              </w:rPr>
              <w:t>Exchange Rates; Currency Equivalents</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1.08</w:t>
            </w:r>
          </w:p>
        </w:tc>
        <w:tc>
          <w:tcPr>
            <w:tcW w:w="9240" w:type="dxa"/>
            <w:vAlign w:val="bottom"/>
          </w:tcPr>
          <w:p>
            <w:pPr>
              <w:ind w:left="320"/>
              <w:spacing w:after="0"/>
              <w:rPr>
                <w:sz w:val="20"/>
                <w:szCs w:val="20"/>
                <w:color w:val="auto"/>
              </w:rPr>
            </w:pPr>
            <w:r>
              <w:rPr>
                <w:rFonts w:ascii="Arial" w:cs="Arial" w:eastAsia="Arial" w:hAnsi="Arial"/>
                <w:sz w:val="18"/>
                <w:szCs w:val="18"/>
                <w:color w:val="auto"/>
              </w:rPr>
              <w:t>Additional Alternative Currencies</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1.09</w:t>
            </w:r>
          </w:p>
        </w:tc>
        <w:tc>
          <w:tcPr>
            <w:tcW w:w="9240" w:type="dxa"/>
            <w:vAlign w:val="bottom"/>
          </w:tcPr>
          <w:p>
            <w:pPr>
              <w:ind w:left="320"/>
              <w:spacing w:after="0"/>
              <w:rPr>
                <w:sz w:val="20"/>
                <w:szCs w:val="20"/>
                <w:color w:val="auto"/>
              </w:rPr>
            </w:pPr>
            <w:r>
              <w:rPr>
                <w:rFonts w:ascii="Arial" w:cs="Arial" w:eastAsia="Arial" w:hAnsi="Arial"/>
                <w:sz w:val="18"/>
                <w:szCs w:val="18"/>
                <w:color w:val="auto"/>
              </w:rPr>
              <w:t>Change of Currency</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1.10</w:t>
            </w:r>
          </w:p>
        </w:tc>
        <w:tc>
          <w:tcPr>
            <w:tcW w:w="9240" w:type="dxa"/>
            <w:vAlign w:val="bottom"/>
          </w:tcPr>
          <w:p>
            <w:pPr>
              <w:ind w:left="320"/>
              <w:spacing w:after="0"/>
              <w:rPr>
                <w:sz w:val="20"/>
                <w:szCs w:val="20"/>
                <w:color w:val="auto"/>
              </w:rPr>
            </w:pPr>
            <w:r>
              <w:rPr>
                <w:rFonts w:ascii="Arial" w:cs="Arial" w:eastAsia="Arial" w:hAnsi="Arial"/>
                <w:sz w:val="18"/>
                <w:szCs w:val="18"/>
                <w:color w:val="auto"/>
              </w:rPr>
              <w:t>Additional Borrowers</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8"/>
        </w:trPr>
        <w:tc>
          <w:tcPr>
            <w:tcW w:w="1420" w:type="dxa"/>
            <w:vAlign w:val="bottom"/>
          </w:tcPr>
          <w:p>
            <w:pPr>
              <w:spacing w:after="0"/>
              <w:rPr>
                <w:sz w:val="24"/>
                <w:szCs w:val="24"/>
                <w:color w:val="auto"/>
              </w:rPr>
            </w:pPr>
          </w:p>
        </w:tc>
        <w:tc>
          <w:tcPr>
            <w:tcW w:w="9240" w:type="dxa"/>
            <w:vAlign w:val="bottom"/>
          </w:tcPr>
          <w:p>
            <w:pPr>
              <w:jc w:val="center"/>
              <w:ind w:right="1030"/>
              <w:spacing w:after="0"/>
              <w:rPr>
                <w:sz w:val="20"/>
                <w:szCs w:val="20"/>
                <w:color w:val="auto"/>
              </w:rPr>
            </w:pPr>
            <w:r>
              <w:rPr>
                <w:rFonts w:ascii="Arial" w:cs="Arial" w:eastAsia="Arial" w:hAnsi="Arial"/>
                <w:sz w:val="18"/>
                <w:szCs w:val="18"/>
                <w:color w:val="auto"/>
              </w:rPr>
              <w:t>ARTICLE 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9240" w:type="dxa"/>
            <w:vAlign w:val="bottom"/>
          </w:tcPr>
          <w:p>
            <w:pPr>
              <w:jc w:val="center"/>
              <w:ind w:right="1050"/>
              <w:spacing w:after="0"/>
              <w:rPr>
                <w:sz w:val="20"/>
                <w:szCs w:val="20"/>
                <w:color w:val="auto"/>
              </w:rPr>
            </w:pPr>
            <w:r>
              <w:rPr>
                <w:rFonts w:ascii="Arial" w:cs="Arial" w:eastAsia="Arial" w:hAnsi="Arial"/>
                <w:sz w:val="18"/>
                <w:szCs w:val="18"/>
                <w:color w:val="auto"/>
                <w:w w:val="94"/>
              </w:rPr>
              <w:t>THE CREDITS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SECTION 2.01</w:t>
            </w:r>
          </w:p>
        </w:tc>
        <w:tc>
          <w:tcPr>
            <w:tcW w:w="9240" w:type="dxa"/>
            <w:vAlign w:val="bottom"/>
          </w:tcPr>
          <w:p>
            <w:pPr>
              <w:ind w:left="320"/>
              <w:spacing w:after="0"/>
              <w:rPr>
                <w:sz w:val="20"/>
                <w:szCs w:val="20"/>
                <w:color w:val="auto"/>
              </w:rPr>
            </w:pPr>
            <w:r>
              <w:rPr>
                <w:rFonts w:ascii="Arial" w:cs="Arial" w:eastAsia="Arial" w:hAnsi="Arial"/>
                <w:sz w:val="18"/>
                <w:szCs w:val="18"/>
                <w:color w:val="auto"/>
              </w:rPr>
              <w:t>Commitments</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2.02</w:t>
            </w:r>
          </w:p>
        </w:tc>
        <w:tc>
          <w:tcPr>
            <w:tcW w:w="9240" w:type="dxa"/>
            <w:vAlign w:val="bottom"/>
          </w:tcPr>
          <w:p>
            <w:pPr>
              <w:ind w:left="320"/>
              <w:spacing w:after="0"/>
              <w:rPr>
                <w:sz w:val="20"/>
                <w:szCs w:val="20"/>
                <w:color w:val="auto"/>
              </w:rPr>
            </w:pPr>
            <w:r>
              <w:rPr>
                <w:rFonts w:ascii="Arial" w:cs="Arial" w:eastAsia="Arial" w:hAnsi="Arial"/>
                <w:sz w:val="18"/>
                <w:szCs w:val="18"/>
                <w:color w:val="auto"/>
              </w:rPr>
              <w:t>Funding of Loans</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2.03</w:t>
            </w:r>
          </w:p>
        </w:tc>
        <w:tc>
          <w:tcPr>
            <w:tcW w:w="9240" w:type="dxa"/>
            <w:vAlign w:val="bottom"/>
          </w:tcPr>
          <w:p>
            <w:pPr>
              <w:ind w:left="320"/>
              <w:spacing w:after="0"/>
              <w:rPr>
                <w:sz w:val="20"/>
                <w:szCs w:val="20"/>
                <w:color w:val="auto"/>
              </w:rPr>
            </w:pPr>
            <w:r>
              <w:rPr>
                <w:rFonts w:ascii="Arial" w:cs="Arial" w:eastAsia="Arial" w:hAnsi="Arial"/>
                <w:sz w:val="18"/>
                <w:szCs w:val="18"/>
                <w:color w:val="auto"/>
              </w:rPr>
              <w:t>Requests for Borrowings</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2.04</w:t>
            </w:r>
          </w:p>
        </w:tc>
        <w:tc>
          <w:tcPr>
            <w:tcW w:w="9240" w:type="dxa"/>
            <w:vAlign w:val="bottom"/>
          </w:tcPr>
          <w:p>
            <w:pPr>
              <w:ind w:left="320"/>
              <w:spacing w:after="0"/>
              <w:rPr>
                <w:sz w:val="20"/>
                <w:szCs w:val="20"/>
                <w:color w:val="auto"/>
              </w:rPr>
            </w:pPr>
            <w:r>
              <w:rPr>
                <w:rFonts w:ascii="Arial" w:cs="Arial" w:eastAsia="Arial" w:hAnsi="Arial"/>
                <w:sz w:val="18"/>
                <w:szCs w:val="18"/>
                <w:color w:val="auto"/>
              </w:rPr>
              <w:t>Tranche Conversions</w:t>
            </w: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2.05</w:t>
            </w:r>
          </w:p>
        </w:tc>
        <w:tc>
          <w:tcPr>
            <w:tcW w:w="9240" w:type="dxa"/>
            <w:vAlign w:val="bottom"/>
          </w:tcPr>
          <w:p>
            <w:pPr>
              <w:ind w:left="320"/>
              <w:spacing w:after="0"/>
              <w:rPr>
                <w:sz w:val="20"/>
                <w:szCs w:val="20"/>
                <w:color w:val="auto"/>
              </w:rPr>
            </w:pPr>
            <w:r>
              <w:rPr>
                <w:rFonts w:ascii="Arial" w:cs="Arial" w:eastAsia="Arial" w:hAnsi="Arial"/>
                <w:sz w:val="18"/>
                <w:szCs w:val="18"/>
                <w:color w:val="auto"/>
              </w:rPr>
              <w:t>Letters of Credit</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2.06</w:t>
            </w:r>
          </w:p>
        </w:tc>
        <w:tc>
          <w:tcPr>
            <w:tcW w:w="9240" w:type="dxa"/>
            <w:vAlign w:val="bottom"/>
          </w:tcPr>
          <w:p>
            <w:pPr>
              <w:ind w:left="320"/>
              <w:spacing w:after="0"/>
              <w:rPr>
                <w:sz w:val="20"/>
                <w:szCs w:val="20"/>
                <w:color w:val="auto"/>
              </w:rPr>
            </w:pPr>
            <w:r>
              <w:rPr>
                <w:rFonts w:ascii="Arial" w:cs="Arial" w:eastAsia="Arial" w:hAnsi="Arial"/>
                <w:sz w:val="18"/>
                <w:szCs w:val="18"/>
                <w:color w:val="auto"/>
              </w:rPr>
              <w:t>Termination and Reduction of Commitments</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2.07</w:t>
            </w:r>
          </w:p>
        </w:tc>
        <w:tc>
          <w:tcPr>
            <w:tcW w:w="9240" w:type="dxa"/>
            <w:vAlign w:val="bottom"/>
          </w:tcPr>
          <w:p>
            <w:pPr>
              <w:ind w:left="320"/>
              <w:spacing w:after="0"/>
              <w:rPr>
                <w:sz w:val="20"/>
                <w:szCs w:val="20"/>
                <w:color w:val="auto"/>
              </w:rPr>
            </w:pPr>
            <w:r>
              <w:rPr>
                <w:rFonts w:ascii="Arial" w:cs="Arial" w:eastAsia="Arial" w:hAnsi="Arial"/>
                <w:sz w:val="18"/>
                <w:szCs w:val="18"/>
                <w:color w:val="auto"/>
              </w:rPr>
              <w:t>Repayment of Loans; Evidence of Debt</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2.08</w:t>
            </w:r>
          </w:p>
        </w:tc>
        <w:tc>
          <w:tcPr>
            <w:tcW w:w="9240" w:type="dxa"/>
            <w:vAlign w:val="bottom"/>
          </w:tcPr>
          <w:p>
            <w:pPr>
              <w:ind w:left="320"/>
              <w:spacing w:after="0"/>
              <w:rPr>
                <w:sz w:val="20"/>
                <w:szCs w:val="20"/>
                <w:color w:val="auto"/>
              </w:rPr>
            </w:pPr>
            <w:r>
              <w:rPr>
                <w:rFonts w:ascii="Arial" w:cs="Arial" w:eastAsia="Arial" w:hAnsi="Arial"/>
                <w:sz w:val="18"/>
                <w:szCs w:val="18"/>
                <w:color w:val="auto"/>
              </w:rPr>
              <w:t>[Reserved]</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2.09</w:t>
            </w:r>
          </w:p>
        </w:tc>
        <w:tc>
          <w:tcPr>
            <w:tcW w:w="9240" w:type="dxa"/>
            <w:vAlign w:val="bottom"/>
          </w:tcPr>
          <w:p>
            <w:pPr>
              <w:ind w:left="320"/>
              <w:spacing w:after="0"/>
              <w:rPr>
                <w:sz w:val="20"/>
                <w:szCs w:val="20"/>
                <w:color w:val="auto"/>
              </w:rPr>
            </w:pPr>
            <w:r>
              <w:rPr>
                <w:rFonts w:ascii="Arial" w:cs="Arial" w:eastAsia="Arial" w:hAnsi="Arial"/>
                <w:sz w:val="18"/>
                <w:szCs w:val="18"/>
                <w:color w:val="auto"/>
              </w:rPr>
              <w:t>Prepayment of Loans</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2.10</w:t>
            </w:r>
          </w:p>
        </w:tc>
        <w:tc>
          <w:tcPr>
            <w:tcW w:w="9240" w:type="dxa"/>
            <w:vAlign w:val="bottom"/>
          </w:tcPr>
          <w:p>
            <w:pPr>
              <w:ind w:left="320"/>
              <w:spacing w:after="0"/>
              <w:rPr>
                <w:sz w:val="20"/>
                <w:szCs w:val="20"/>
                <w:color w:val="auto"/>
              </w:rPr>
            </w:pPr>
            <w:r>
              <w:rPr>
                <w:rFonts w:ascii="Arial" w:cs="Arial" w:eastAsia="Arial" w:hAnsi="Arial"/>
                <w:sz w:val="18"/>
                <w:szCs w:val="18"/>
                <w:color w:val="auto"/>
              </w:rPr>
              <w:t>Fees</w:t>
            </w: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2.11</w:t>
            </w:r>
          </w:p>
        </w:tc>
        <w:tc>
          <w:tcPr>
            <w:tcW w:w="9240" w:type="dxa"/>
            <w:vAlign w:val="bottom"/>
          </w:tcPr>
          <w:p>
            <w:pPr>
              <w:ind w:left="320"/>
              <w:spacing w:after="0"/>
              <w:rPr>
                <w:sz w:val="20"/>
                <w:szCs w:val="20"/>
                <w:color w:val="auto"/>
              </w:rPr>
            </w:pPr>
            <w:r>
              <w:rPr>
                <w:rFonts w:ascii="Arial" w:cs="Arial" w:eastAsia="Arial" w:hAnsi="Arial"/>
                <w:sz w:val="18"/>
                <w:szCs w:val="18"/>
                <w:color w:val="auto"/>
              </w:rPr>
              <w:t>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2.12</w:t>
            </w:r>
          </w:p>
        </w:tc>
        <w:tc>
          <w:tcPr>
            <w:tcW w:w="9240" w:type="dxa"/>
            <w:vAlign w:val="bottom"/>
          </w:tcPr>
          <w:p>
            <w:pPr>
              <w:ind w:left="320"/>
              <w:spacing w:after="0"/>
              <w:rPr>
                <w:sz w:val="20"/>
                <w:szCs w:val="20"/>
                <w:color w:val="auto"/>
              </w:rPr>
            </w:pPr>
            <w:r>
              <w:rPr>
                <w:rFonts w:ascii="Arial" w:cs="Arial" w:eastAsia="Arial" w:hAnsi="Arial"/>
                <w:sz w:val="18"/>
                <w:szCs w:val="18"/>
                <w:color w:val="auto"/>
              </w:rPr>
              <w:t>Alternate Rate of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2.13</w:t>
            </w:r>
          </w:p>
        </w:tc>
        <w:tc>
          <w:tcPr>
            <w:tcW w:w="9240" w:type="dxa"/>
            <w:vAlign w:val="bottom"/>
          </w:tcPr>
          <w:p>
            <w:pPr>
              <w:ind w:left="320"/>
              <w:spacing w:after="0"/>
              <w:rPr>
                <w:sz w:val="20"/>
                <w:szCs w:val="20"/>
                <w:color w:val="auto"/>
              </w:rPr>
            </w:pPr>
            <w:r>
              <w:rPr>
                <w:rFonts w:ascii="Arial" w:cs="Arial" w:eastAsia="Arial" w:hAnsi="Arial"/>
                <w:sz w:val="18"/>
                <w:szCs w:val="18"/>
                <w:color w:val="auto"/>
              </w:rPr>
              <w:t>Increased Costs</w:t>
            </w: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2.14</w:t>
            </w:r>
          </w:p>
        </w:tc>
        <w:tc>
          <w:tcPr>
            <w:tcW w:w="9240" w:type="dxa"/>
            <w:vAlign w:val="bottom"/>
          </w:tcPr>
          <w:p>
            <w:pPr>
              <w:ind w:left="320"/>
              <w:spacing w:after="0"/>
              <w:rPr>
                <w:sz w:val="20"/>
                <w:szCs w:val="20"/>
                <w:color w:val="auto"/>
              </w:rPr>
            </w:pPr>
            <w:r>
              <w:rPr>
                <w:rFonts w:ascii="Arial" w:cs="Arial" w:eastAsia="Arial" w:hAnsi="Arial"/>
                <w:sz w:val="18"/>
                <w:szCs w:val="18"/>
                <w:color w:val="auto"/>
              </w:rPr>
              <w:t>Break Funding Payments</w:t>
            </w: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2.15</w:t>
            </w:r>
          </w:p>
        </w:tc>
        <w:tc>
          <w:tcPr>
            <w:tcW w:w="9240" w:type="dxa"/>
            <w:vAlign w:val="bottom"/>
          </w:tcPr>
          <w:p>
            <w:pPr>
              <w:ind w:left="320"/>
              <w:spacing w:after="0"/>
              <w:rPr>
                <w:sz w:val="20"/>
                <w:szCs w:val="20"/>
                <w:color w:val="auto"/>
              </w:rPr>
            </w:pPr>
            <w:r>
              <w:rPr>
                <w:rFonts w:ascii="Arial" w:cs="Arial" w:eastAsia="Arial" w:hAnsi="Arial"/>
                <w:sz w:val="18"/>
                <w:szCs w:val="18"/>
                <w:color w:val="auto"/>
              </w:rPr>
              <w:t>Taxes</w:t>
            </w: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2.16</w:t>
            </w:r>
          </w:p>
        </w:tc>
        <w:tc>
          <w:tcPr>
            <w:tcW w:w="9240" w:type="dxa"/>
            <w:vAlign w:val="bottom"/>
          </w:tcPr>
          <w:p>
            <w:pPr>
              <w:ind w:left="320"/>
              <w:spacing w:after="0"/>
              <w:rPr>
                <w:sz w:val="20"/>
                <w:szCs w:val="20"/>
                <w:color w:val="auto"/>
              </w:rPr>
            </w:pPr>
            <w:r>
              <w:rPr>
                <w:rFonts w:ascii="Arial" w:cs="Arial" w:eastAsia="Arial" w:hAnsi="Arial"/>
                <w:sz w:val="18"/>
                <w:szCs w:val="18"/>
                <w:color w:val="auto"/>
              </w:rPr>
              <w:t>Payments Generally; Pro Rata Treatment; Sharing of Setoffs</w:t>
            </w: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2.17</w:t>
            </w:r>
          </w:p>
        </w:tc>
        <w:tc>
          <w:tcPr>
            <w:tcW w:w="9240" w:type="dxa"/>
            <w:vAlign w:val="bottom"/>
          </w:tcPr>
          <w:p>
            <w:pPr>
              <w:ind w:left="320"/>
              <w:spacing w:after="0"/>
              <w:rPr>
                <w:sz w:val="20"/>
                <w:szCs w:val="20"/>
                <w:color w:val="auto"/>
              </w:rPr>
            </w:pPr>
            <w:r>
              <w:rPr>
                <w:rFonts w:ascii="Arial" w:cs="Arial" w:eastAsia="Arial" w:hAnsi="Arial"/>
                <w:sz w:val="18"/>
                <w:szCs w:val="18"/>
                <w:color w:val="auto"/>
              </w:rPr>
              <w:t>Mitigation Obligations; Replacement of Lenders</w:t>
            </w: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2.18</w:t>
            </w:r>
          </w:p>
        </w:tc>
        <w:tc>
          <w:tcPr>
            <w:tcW w:w="9240" w:type="dxa"/>
            <w:vAlign w:val="bottom"/>
          </w:tcPr>
          <w:p>
            <w:pPr>
              <w:ind w:left="320"/>
              <w:spacing w:after="0"/>
              <w:rPr>
                <w:sz w:val="20"/>
                <w:szCs w:val="20"/>
                <w:color w:val="auto"/>
              </w:rPr>
            </w:pPr>
            <w:r>
              <w:rPr>
                <w:rFonts w:ascii="Arial" w:cs="Arial" w:eastAsia="Arial" w:hAnsi="Arial"/>
                <w:sz w:val="18"/>
                <w:szCs w:val="18"/>
                <w:color w:val="auto"/>
              </w:rPr>
              <w:t>Incremental Revolving Commitments</w:t>
            </w: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2.19</w:t>
            </w:r>
          </w:p>
        </w:tc>
        <w:tc>
          <w:tcPr>
            <w:tcW w:w="9240" w:type="dxa"/>
            <w:vAlign w:val="bottom"/>
          </w:tcPr>
          <w:p>
            <w:pPr>
              <w:ind w:left="320"/>
              <w:spacing w:after="0"/>
              <w:rPr>
                <w:sz w:val="20"/>
                <w:szCs w:val="20"/>
                <w:color w:val="auto"/>
              </w:rPr>
            </w:pPr>
            <w:r>
              <w:rPr>
                <w:rFonts w:ascii="Arial" w:cs="Arial" w:eastAsia="Arial" w:hAnsi="Arial"/>
                <w:sz w:val="18"/>
                <w:szCs w:val="18"/>
                <w:color w:val="auto"/>
              </w:rPr>
              <w:t>Defaulting Lenders</w:t>
            </w:r>
          </w:p>
        </w:tc>
        <w:tc>
          <w:tcPr>
            <w:tcW w:w="3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18"/>
        </w:trPr>
        <w:tc>
          <w:tcPr>
            <w:tcW w:w="1420" w:type="dxa"/>
            <w:vAlign w:val="bottom"/>
          </w:tcPr>
          <w:p>
            <w:pPr>
              <w:spacing w:after="0"/>
              <w:rPr>
                <w:sz w:val="24"/>
                <w:szCs w:val="24"/>
                <w:color w:val="auto"/>
              </w:rPr>
            </w:pPr>
          </w:p>
        </w:tc>
        <w:tc>
          <w:tcPr>
            <w:tcW w:w="9240" w:type="dxa"/>
            <w:vAlign w:val="bottom"/>
          </w:tcPr>
          <w:p>
            <w:pPr>
              <w:jc w:val="center"/>
              <w:ind w:right="1030"/>
              <w:spacing w:after="0"/>
              <w:rPr>
                <w:sz w:val="20"/>
                <w:szCs w:val="20"/>
                <w:color w:val="auto"/>
              </w:rPr>
            </w:pPr>
            <w:r>
              <w:rPr>
                <w:rFonts w:ascii="Arial" w:cs="Arial" w:eastAsia="Arial" w:hAnsi="Arial"/>
                <w:sz w:val="18"/>
                <w:szCs w:val="18"/>
                <w:color w:val="auto"/>
                <w:w w:val="99"/>
              </w:rPr>
              <w:t>ARTICLE III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9240" w:type="dxa"/>
            <w:vAlign w:val="bottom"/>
          </w:tcPr>
          <w:p>
            <w:pPr>
              <w:jc w:val="center"/>
              <w:ind w:right="1030"/>
              <w:spacing w:after="0"/>
              <w:rPr>
                <w:sz w:val="20"/>
                <w:szCs w:val="20"/>
                <w:color w:val="auto"/>
              </w:rPr>
            </w:pPr>
            <w:r>
              <w:rPr>
                <w:rFonts w:ascii="Arial" w:cs="Arial" w:eastAsia="Arial" w:hAnsi="Arial"/>
                <w:sz w:val="18"/>
                <w:szCs w:val="18"/>
                <w:color w:val="auto"/>
                <w:w w:val="95"/>
              </w:rPr>
              <w:t>REPRESENTATIONS AND WARRANTIES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SECTION 3.01</w:t>
            </w:r>
          </w:p>
        </w:tc>
        <w:tc>
          <w:tcPr>
            <w:tcW w:w="9240" w:type="dxa"/>
            <w:vAlign w:val="bottom"/>
          </w:tcPr>
          <w:p>
            <w:pPr>
              <w:ind w:left="320"/>
              <w:spacing w:after="0"/>
              <w:rPr>
                <w:sz w:val="20"/>
                <w:szCs w:val="20"/>
                <w:color w:val="auto"/>
              </w:rPr>
            </w:pPr>
            <w:r>
              <w:rPr>
                <w:rFonts w:ascii="Arial" w:cs="Arial" w:eastAsia="Arial" w:hAnsi="Arial"/>
                <w:sz w:val="18"/>
                <w:szCs w:val="18"/>
                <w:color w:val="auto"/>
              </w:rPr>
              <w:t>Organization; Powers</w:t>
            </w:r>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3.02</w:t>
            </w:r>
          </w:p>
        </w:tc>
        <w:tc>
          <w:tcPr>
            <w:tcW w:w="9240" w:type="dxa"/>
            <w:vAlign w:val="bottom"/>
          </w:tcPr>
          <w:p>
            <w:pPr>
              <w:ind w:left="320"/>
              <w:spacing w:after="0"/>
              <w:rPr>
                <w:sz w:val="20"/>
                <w:szCs w:val="20"/>
                <w:color w:val="auto"/>
              </w:rPr>
            </w:pPr>
            <w:r>
              <w:rPr>
                <w:rFonts w:ascii="Arial" w:cs="Arial" w:eastAsia="Arial" w:hAnsi="Arial"/>
                <w:sz w:val="18"/>
                <w:szCs w:val="18"/>
                <w:color w:val="auto"/>
              </w:rPr>
              <w:t>Authorization; Enforceability</w:t>
            </w:r>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3.03</w:t>
            </w:r>
          </w:p>
        </w:tc>
        <w:tc>
          <w:tcPr>
            <w:tcW w:w="9240" w:type="dxa"/>
            <w:vAlign w:val="bottom"/>
          </w:tcPr>
          <w:p>
            <w:pPr>
              <w:ind w:left="320"/>
              <w:spacing w:after="0"/>
              <w:rPr>
                <w:sz w:val="20"/>
                <w:szCs w:val="20"/>
                <w:color w:val="auto"/>
              </w:rPr>
            </w:pPr>
            <w:r>
              <w:rPr>
                <w:rFonts w:ascii="Arial" w:cs="Arial" w:eastAsia="Arial" w:hAnsi="Arial"/>
                <w:sz w:val="18"/>
                <w:szCs w:val="18"/>
                <w:color w:val="auto"/>
              </w:rPr>
              <w:t>Governmental Approvals; No Conflicts</w:t>
            </w:r>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3.04</w:t>
            </w:r>
          </w:p>
        </w:tc>
        <w:tc>
          <w:tcPr>
            <w:tcW w:w="9240" w:type="dxa"/>
            <w:vAlign w:val="bottom"/>
          </w:tcPr>
          <w:p>
            <w:pPr>
              <w:ind w:left="320"/>
              <w:spacing w:after="0"/>
              <w:rPr>
                <w:sz w:val="20"/>
                <w:szCs w:val="20"/>
                <w:color w:val="auto"/>
              </w:rPr>
            </w:pPr>
            <w:r>
              <w:rPr>
                <w:rFonts w:ascii="Arial" w:cs="Arial" w:eastAsia="Arial" w:hAnsi="Arial"/>
                <w:sz w:val="18"/>
                <w:szCs w:val="18"/>
                <w:color w:val="auto"/>
              </w:rPr>
              <w:t>Financial Condition; No Material Adverse Change</w:t>
            </w:r>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3.05</w:t>
            </w:r>
          </w:p>
        </w:tc>
        <w:tc>
          <w:tcPr>
            <w:tcW w:w="9240" w:type="dxa"/>
            <w:vAlign w:val="bottom"/>
          </w:tcPr>
          <w:p>
            <w:pPr>
              <w:ind w:left="320"/>
              <w:spacing w:after="0"/>
              <w:rPr>
                <w:sz w:val="20"/>
                <w:szCs w:val="20"/>
                <w:color w:val="auto"/>
              </w:rPr>
            </w:pPr>
            <w:r>
              <w:rPr>
                <w:rFonts w:ascii="Arial" w:cs="Arial" w:eastAsia="Arial" w:hAnsi="Arial"/>
                <w:sz w:val="18"/>
                <w:szCs w:val="18"/>
                <w:color w:val="auto"/>
              </w:rPr>
              <w:t>Properties</w:t>
            </w:r>
          </w:p>
        </w:tc>
        <w:tc>
          <w:tcPr>
            <w:tcW w:w="3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3.06</w:t>
            </w:r>
          </w:p>
        </w:tc>
        <w:tc>
          <w:tcPr>
            <w:tcW w:w="9240" w:type="dxa"/>
            <w:vAlign w:val="bottom"/>
          </w:tcPr>
          <w:p>
            <w:pPr>
              <w:ind w:left="320"/>
              <w:spacing w:after="0"/>
              <w:rPr>
                <w:sz w:val="20"/>
                <w:szCs w:val="20"/>
                <w:color w:val="auto"/>
              </w:rPr>
            </w:pPr>
            <w:r>
              <w:rPr>
                <w:rFonts w:ascii="Arial" w:cs="Arial" w:eastAsia="Arial" w:hAnsi="Arial"/>
                <w:sz w:val="18"/>
                <w:szCs w:val="18"/>
                <w:color w:val="auto"/>
              </w:rPr>
              <w:t>Litigation Matters</w:t>
            </w:r>
          </w:p>
        </w:tc>
        <w:tc>
          <w:tcPr>
            <w:tcW w:w="3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71"/>
        </w:trPr>
        <w:tc>
          <w:tcPr>
            <w:tcW w:w="1420" w:type="dxa"/>
            <w:vAlign w:val="bottom"/>
            <w:vMerge w:val="restart"/>
          </w:tcPr>
          <w:p>
            <w:pPr>
              <w:spacing w:after="0"/>
              <w:rPr>
                <w:sz w:val="20"/>
                <w:szCs w:val="20"/>
                <w:color w:val="auto"/>
              </w:rPr>
            </w:pPr>
            <w:r>
              <w:rPr>
                <w:rFonts w:ascii="Arial" w:cs="Arial" w:eastAsia="Arial" w:hAnsi="Arial"/>
                <w:sz w:val="18"/>
                <w:szCs w:val="18"/>
                <w:color w:val="auto"/>
              </w:rPr>
              <w:t>SECTION 3.07</w:t>
            </w:r>
          </w:p>
        </w:tc>
        <w:tc>
          <w:tcPr>
            <w:tcW w:w="9240" w:type="dxa"/>
            <w:vAlign w:val="bottom"/>
            <w:vMerge w:val="restart"/>
          </w:tcPr>
          <w:p>
            <w:pPr>
              <w:ind w:left="320"/>
              <w:spacing w:after="0"/>
              <w:rPr>
                <w:sz w:val="20"/>
                <w:szCs w:val="20"/>
                <w:color w:val="auto"/>
              </w:rPr>
            </w:pPr>
            <w:r>
              <w:rPr>
                <w:rFonts w:ascii="Arial" w:cs="Arial" w:eastAsia="Arial" w:hAnsi="Arial"/>
                <w:sz w:val="18"/>
                <w:szCs w:val="18"/>
                <w:color w:val="auto"/>
              </w:rPr>
              <w:t>Compliance with Laws</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420" w:type="dxa"/>
            <w:vAlign w:val="bottom"/>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3.08</w:t>
            </w:r>
          </w:p>
        </w:tc>
        <w:tc>
          <w:tcPr>
            <w:tcW w:w="9240" w:type="dxa"/>
            <w:vAlign w:val="bottom"/>
          </w:tcPr>
          <w:p>
            <w:pPr>
              <w:ind w:left="320"/>
              <w:spacing w:after="0"/>
              <w:rPr>
                <w:sz w:val="20"/>
                <w:szCs w:val="20"/>
                <w:color w:val="auto"/>
              </w:rPr>
            </w:pPr>
            <w:r>
              <w:rPr>
                <w:rFonts w:ascii="Arial" w:cs="Arial" w:eastAsia="Arial" w:hAnsi="Arial"/>
                <w:sz w:val="18"/>
                <w:szCs w:val="18"/>
                <w:color w:val="auto"/>
              </w:rPr>
              <w:t>Investment Company Status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3.09</w:t>
            </w:r>
          </w:p>
        </w:tc>
        <w:tc>
          <w:tcPr>
            <w:tcW w:w="9240" w:type="dxa"/>
            <w:vAlign w:val="bottom"/>
          </w:tcPr>
          <w:p>
            <w:pPr>
              <w:ind w:left="320"/>
              <w:spacing w:after="0"/>
              <w:rPr>
                <w:sz w:val="20"/>
                <w:szCs w:val="20"/>
                <w:color w:val="auto"/>
              </w:rPr>
            </w:pPr>
            <w:r>
              <w:rPr>
                <w:rFonts w:ascii="Arial" w:cs="Arial" w:eastAsia="Arial" w:hAnsi="Arial"/>
                <w:sz w:val="18"/>
                <w:szCs w:val="18"/>
                <w:color w:val="auto"/>
              </w:rPr>
              <w:t>Taxes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3.10</w:t>
            </w:r>
          </w:p>
        </w:tc>
        <w:tc>
          <w:tcPr>
            <w:tcW w:w="9240" w:type="dxa"/>
            <w:vAlign w:val="bottom"/>
          </w:tcPr>
          <w:p>
            <w:pPr>
              <w:ind w:left="320"/>
              <w:spacing w:after="0"/>
              <w:rPr>
                <w:sz w:val="20"/>
                <w:szCs w:val="20"/>
                <w:color w:val="auto"/>
              </w:rPr>
            </w:pPr>
            <w:r>
              <w:rPr>
                <w:rFonts w:ascii="Arial" w:cs="Arial" w:eastAsia="Arial" w:hAnsi="Arial"/>
                <w:sz w:val="18"/>
                <w:szCs w:val="18"/>
                <w:color w:val="auto"/>
              </w:rPr>
              <w:t>[Reserved]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3.11</w:t>
            </w:r>
          </w:p>
        </w:tc>
        <w:tc>
          <w:tcPr>
            <w:tcW w:w="9240" w:type="dxa"/>
            <w:vAlign w:val="bottom"/>
          </w:tcPr>
          <w:p>
            <w:pPr>
              <w:ind w:left="320"/>
              <w:spacing w:after="0"/>
              <w:rPr>
                <w:sz w:val="20"/>
                <w:szCs w:val="20"/>
                <w:color w:val="auto"/>
              </w:rPr>
            </w:pPr>
            <w:r>
              <w:rPr>
                <w:rFonts w:ascii="Arial" w:cs="Arial" w:eastAsia="Arial" w:hAnsi="Arial"/>
                <w:sz w:val="18"/>
                <w:szCs w:val="18"/>
                <w:color w:val="auto"/>
              </w:rPr>
              <w:t>Disclosure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3.12</w:t>
            </w:r>
          </w:p>
        </w:tc>
        <w:tc>
          <w:tcPr>
            <w:tcW w:w="9240" w:type="dxa"/>
            <w:vAlign w:val="bottom"/>
          </w:tcPr>
          <w:p>
            <w:pPr>
              <w:ind w:left="320"/>
              <w:spacing w:after="0"/>
              <w:rPr>
                <w:sz w:val="20"/>
                <w:szCs w:val="20"/>
                <w:color w:val="auto"/>
              </w:rPr>
            </w:pPr>
            <w:r>
              <w:rPr>
                <w:rFonts w:ascii="Arial" w:cs="Arial" w:eastAsia="Arial" w:hAnsi="Arial"/>
                <w:sz w:val="18"/>
                <w:szCs w:val="18"/>
                <w:color w:val="auto"/>
              </w:rPr>
              <w:t>[Reserved]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3.13</w:t>
            </w:r>
          </w:p>
        </w:tc>
        <w:tc>
          <w:tcPr>
            <w:tcW w:w="9240" w:type="dxa"/>
            <w:vAlign w:val="bottom"/>
          </w:tcPr>
          <w:p>
            <w:pPr>
              <w:ind w:left="320"/>
              <w:spacing w:after="0"/>
              <w:rPr>
                <w:sz w:val="20"/>
                <w:szCs w:val="20"/>
                <w:color w:val="auto"/>
              </w:rPr>
            </w:pPr>
            <w:r>
              <w:rPr>
                <w:rFonts w:ascii="Arial" w:cs="Arial" w:eastAsia="Arial" w:hAnsi="Arial"/>
                <w:sz w:val="18"/>
                <w:szCs w:val="18"/>
                <w:color w:val="auto"/>
              </w:rPr>
              <w:t>[Reserved]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3.14</w:t>
            </w:r>
          </w:p>
        </w:tc>
        <w:tc>
          <w:tcPr>
            <w:tcW w:w="9240" w:type="dxa"/>
            <w:vAlign w:val="bottom"/>
          </w:tcPr>
          <w:p>
            <w:pPr>
              <w:ind w:left="320"/>
              <w:spacing w:after="0"/>
              <w:rPr>
                <w:sz w:val="20"/>
                <w:szCs w:val="20"/>
                <w:color w:val="auto"/>
              </w:rPr>
            </w:pPr>
            <w:r>
              <w:rPr>
                <w:rFonts w:ascii="Arial" w:cs="Arial" w:eastAsia="Arial" w:hAnsi="Arial"/>
                <w:sz w:val="18"/>
                <w:szCs w:val="18"/>
                <w:color w:val="auto"/>
              </w:rPr>
              <w:t>Federal Reserve Regulations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3.15</w:t>
            </w:r>
          </w:p>
        </w:tc>
        <w:tc>
          <w:tcPr>
            <w:tcW w:w="9240" w:type="dxa"/>
            <w:vAlign w:val="bottom"/>
          </w:tcPr>
          <w:p>
            <w:pPr>
              <w:ind w:left="320"/>
              <w:spacing w:after="0"/>
              <w:rPr>
                <w:sz w:val="20"/>
                <w:szCs w:val="20"/>
                <w:color w:val="auto"/>
              </w:rPr>
            </w:pPr>
            <w:r>
              <w:rPr>
                <w:rFonts w:ascii="Arial" w:cs="Arial" w:eastAsia="Arial" w:hAnsi="Arial"/>
                <w:sz w:val="18"/>
                <w:szCs w:val="18"/>
                <w:color w:val="auto"/>
              </w:rPr>
              <w:t>OFAC</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3.16</w:t>
            </w:r>
          </w:p>
        </w:tc>
        <w:tc>
          <w:tcPr>
            <w:tcW w:w="9240" w:type="dxa"/>
            <w:vAlign w:val="bottom"/>
          </w:tcPr>
          <w:p>
            <w:pPr>
              <w:ind w:left="320"/>
              <w:spacing w:after="0"/>
              <w:rPr>
                <w:sz w:val="20"/>
                <w:szCs w:val="20"/>
                <w:color w:val="auto"/>
              </w:rPr>
            </w:pPr>
            <w:r>
              <w:rPr>
                <w:rFonts w:ascii="Arial" w:cs="Arial" w:eastAsia="Arial" w:hAnsi="Arial"/>
                <w:sz w:val="18"/>
                <w:szCs w:val="18"/>
                <w:color w:val="auto"/>
              </w:rPr>
              <w:t>Anti-Corruption Laws and Patriot Act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3.17</w:t>
            </w:r>
          </w:p>
        </w:tc>
        <w:tc>
          <w:tcPr>
            <w:tcW w:w="9240" w:type="dxa"/>
            <w:vAlign w:val="bottom"/>
          </w:tcPr>
          <w:p>
            <w:pPr>
              <w:ind w:left="320"/>
              <w:spacing w:after="0"/>
              <w:rPr>
                <w:sz w:val="20"/>
                <w:szCs w:val="20"/>
                <w:color w:val="auto"/>
              </w:rPr>
            </w:pPr>
            <w:r>
              <w:rPr>
                <w:rFonts w:ascii="Arial" w:cs="Arial" w:eastAsia="Arial" w:hAnsi="Arial"/>
                <w:sz w:val="18"/>
                <w:szCs w:val="18"/>
                <w:color w:val="auto"/>
              </w:rPr>
              <w:t>Affected Financial Institution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18"/>
        </w:trPr>
        <w:tc>
          <w:tcPr>
            <w:tcW w:w="1420" w:type="dxa"/>
            <w:vAlign w:val="bottom"/>
          </w:tcPr>
          <w:p>
            <w:pPr>
              <w:spacing w:after="0"/>
              <w:rPr>
                <w:sz w:val="24"/>
                <w:szCs w:val="24"/>
                <w:color w:val="auto"/>
              </w:rPr>
            </w:pPr>
          </w:p>
        </w:tc>
        <w:tc>
          <w:tcPr>
            <w:tcW w:w="9240" w:type="dxa"/>
            <w:vAlign w:val="bottom"/>
          </w:tcPr>
          <w:p>
            <w:pPr>
              <w:jc w:val="center"/>
              <w:ind w:right="1050"/>
              <w:spacing w:after="0"/>
              <w:rPr>
                <w:sz w:val="20"/>
                <w:szCs w:val="20"/>
                <w:color w:val="auto"/>
              </w:rPr>
            </w:pPr>
            <w:r>
              <w:rPr>
                <w:rFonts w:ascii="Arial" w:cs="Arial" w:eastAsia="Arial" w:hAnsi="Arial"/>
                <w:sz w:val="18"/>
                <w:szCs w:val="18"/>
                <w:color w:val="auto"/>
                <w:w w:val="99"/>
              </w:rPr>
              <w:t>ARTICLE IV</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9240" w:type="dxa"/>
            <w:vAlign w:val="bottom"/>
          </w:tcPr>
          <w:p>
            <w:pPr>
              <w:jc w:val="center"/>
              <w:ind w:right="1050"/>
              <w:spacing w:after="0"/>
              <w:rPr>
                <w:sz w:val="20"/>
                <w:szCs w:val="20"/>
                <w:color w:val="auto"/>
              </w:rPr>
            </w:pPr>
            <w:r>
              <w:rPr>
                <w:rFonts w:ascii="Arial" w:cs="Arial" w:eastAsia="Arial" w:hAnsi="Arial"/>
                <w:sz w:val="18"/>
                <w:szCs w:val="18"/>
                <w:color w:val="auto"/>
                <w:w w:val="97"/>
              </w:rPr>
              <w:t>CONDITIONS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SECTION 4.01</w:t>
            </w:r>
          </w:p>
        </w:tc>
        <w:tc>
          <w:tcPr>
            <w:tcW w:w="9240" w:type="dxa"/>
            <w:vAlign w:val="bottom"/>
          </w:tcPr>
          <w:p>
            <w:pPr>
              <w:ind w:left="320"/>
              <w:spacing w:after="0"/>
              <w:rPr>
                <w:sz w:val="20"/>
                <w:szCs w:val="20"/>
                <w:color w:val="auto"/>
              </w:rPr>
            </w:pPr>
            <w:r>
              <w:rPr>
                <w:rFonts w:ascii="Arial" w:cs="Arial" w:eastAsia="Arial" w:hAnsi="Arial"/>
                <w:sz w:val="18"/>
                <w:szCs w:val="18"/>
                <w:color w:val="auto"/>
              </w:rPr>
              <w:t>Conditions to the Closing Date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4.02</w:t>
            </w:r>
          </w:p>
        </w:tc>
        <w:tc>
          <w:tcPr>
            <w:tcW w:w="9240" w:type="dxa"/>
            <w:vAlign w:val="bottom"/>
          </w:tcPr>
          <w:p>
            <w:pPr>
              <w:ind w:left="320"/>
              <w:spacing w:after="0"/>
              <w:rPr>
                <w:sz w:val="20"/>
                <w:szCs w:val="20"/>
                <w:color w:val="auto"/>
              </w:rPr>
            </w:pPr>
            <w:r>
              <w:rPr>
                <w:rFonts w:ascii="Arial" w:cs="Arial" w:eastAsia="Arial" w:hAnsi="Arial"/>
                <w:sz w:val="18"/>
                <w:szCs w:val="18"/>
                <w:color w:val="auto"/>
              </w:rPr>
              <w:t>Each Credit Event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4.03</w:t>
            </w:r>
          </w:p>
        </w:tc>
        <w:tc>
          <w:tcPr>
            <w:tcW w:w="9240" w:type="dxa"/>
            <w:vAlign w:val="bottom"/>
          </w:tcPr>
          <w:p>
            <w:pPr>
              <w:ind w:left="320"/>
              <w:spacing w:after="0"/>
              <w:rPr>
                <w:sz w:val="20"/>
                <w:szCs w:val="20"/>
                <w:color w:val="auto"/>
              </w:rPr>
            </w:pPr>
            <w:r>
              <w:rPr>
                <w:rFonts w:ascii="Arial" w:cs="Arial" w:eastAsia="Arial" w:hAnsi="Arial"/>
                <w:sz w:val="18"/>
                <w:szCs w:val="18"/>
                <w:color w:val="auto"/>
              </w:rPr>
              <w:t>Specified Borrowing on Verafin Acquisition Closing Date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4.04</w:t>
            </w:r>
          </w:p>
        </w:tc>
        <w:tc>
          <w:tcPr>
            <w:tcW w:w="9240" w:type="dxa"/>
            <w:vAlign w:val="bottom"/>
          </w:tcPr>
          <w:p>
            <w:pPr>
              <w:ind w:left="320"/>
              <w:spacing w:after="0"/>
              <w:rPr>
                <w:sz w:val="20"/>
                <w:szCs w:val="20"/>
                <w:color w:val="auto"/>
              </w:rPr>
            </w:pPr>
            <w:r>
              <w:rPr>
                <w:rFonts w:ascii="Arial" w:cs="Arial" w:eastAsia="Arial" w:hAnsi="Arial"/>
                <w:sz w:val="18"/>
                <w:szCs w:val="18"/>
                <w:color w:val="auto"/>
              </w:rPr>
              <w:t>Actions Between Closing Date and Verafin Acquisition Closing Date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18"/>
        </w:trPr>
        <w:tc>
          <w:tcPr>
            <w:tcW w:w="1420" w:type="dxa"/>
            <w:vAlign w:val="bottom"/>
          </w:tcPr>
          <w:p>
            <w:pPr>
              <w:spacing w:after="0"/>
              <w:rPr>
                <w:sz w:val="24"/>
                <w:szCs w:val="24"/>
                <w:color w:val="auto"/>
              </w:rPr>
            </w:pPr>
          </w:p>
        </w:tc>
        <w:tc>
          <w:tcPr>
            <w:tcW w:w="9240" w:type="dxa"/>
            <w:vAlign w:val="bottom"/>
          </w:tcPr>
          <w:p>
            <w:pPr>
              <w:jc w:val="center"/>
              <w:ind w:right="1030"/>
              <w:spacing w:after="0"/>
              <w:rPr>
                <w:sz w:val="20"/>
                <w:szCs w:val="20"/>
                <w:color w:val="auto"/>
              </w:rPr>
            </w:pPr>
            <w:r>
              <w:rPr>
                <w:rFonts w:ascii="Arial" w:cs="Arial" w:eastAsia="Arial" w:hAnsi="Arial"/>
                <w:sz w:val="18"/>
                <w:szCs w:val="18"/>
                <w:color w:val="auto"/>
                <w:w w:val="98"/>
              </w:rPr>
              <w:t>ARTICLE V</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9240" w:type="dxa"/>
            <w:vAlign w:val="bottom"/>
          </w:tcPr>
          <w:p>
            <w:pPr>
              <w:jc w:val="center"/>
              <w:ind w:right="1030"/>
              <w:spacing w:after="0"/>
              <w:rPr>
                <w:sz w:val="20"/>
                <w:szCs w:val="20"/>
                <w:color w:val="auto"/>
              </w:rPr>
            </w:pPr>
            <w:r>
              <w:rPr>
                <w:rFonts w:ascii="Arial" w:cs="Arial" w:eastAsia="Arial" w:hAnsi="Arial"/>
                <w:sz w:val="18"/>
                <w:szCs w:val="18"/>
                <w:color w:val="auto"/>
                <w:w w:val="98"/>
              </w:rPr>
              <w:t>AFFIRMATIVE COVENANTS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SECTION 5.01</w:t>
            </w:r>
          </w:p>
        </w:tc>
        <w:tc>
          <w:tcPr>
            <w:tcW w:w="9240" w:type="dxa"/>
            <w:vAlign w:val="bottom"/>
          </w:tcPr>
          <w:p>
            <w:pPr>
              <w:ind w:left="320"/>
              <w:spacing w:after="0"/>
              <w:rPr>
                <w:sz w:val="20"/>
                <w:szCs w:val="20"/>
                <w:color w:val="auto"/>
              </w:rPr>
            </w:pPr>
            <w:r>
              <w:rPr>
                <w:rFonts w:ascii="Arial" w:cs="Arial" w:eastAsia="Arial" w:hAnsi="Arial"/>
                <w:sz w:val="18"/>
                <w:szCs w:val="18"/>
                <w:color w:val="auto"/>
              </w:rPr>
              <w:t>Financial Statements and Other Information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5.02</w:t>
            </w:r>
          </w:p>
        </w:tc>
        <w:tc>
          <w:tcPr>
            <w:tcW w:w="9240" w:type="dxa"/>
            <w:vAlign w:val="bottom"/>
          </w:tcPr>
          <w:p>
            <w:pPr>
              <w:ind w:left="320"/>
              <w:spacing w:after="0"/>
              <w:rPr>
                <w:sz w:val="20"/>
                <w:szCs w:val="20"/>
                <w:color w:val="auto"/>
              </w:rPr>
            </w:pPr>
            <w:r>
              <w:rPr>
                <w:rFonts w:ascii="Arial" w:cs="Arial" w:eastAsia="Arial" w:hAnsi="Arial"/>
                <w:sz w:val="18"/>
                <w:szCs w:val="18"/>
                <w:color w:val="auto"/>
              </w:rPr>
              <w:t>Notices of Material Events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5.03</w:t>
            </w:r>
          </w:p>
        </w:tc>
        <w:tc>
          <w:tcPr>
            <w:tcW w:w="9240" w:type="dxa"/>
            <w:vAlign w:val="bottom"/>
          </w:tcPr>
          <w:p>
            <w:pPr>
              <w:ind w:left="320"/>
              <w:spacing w:after="0"/>
              <w:rPr>
                <w:sz w:val="20"/>
                <w:szCs w:val="20"/>
                <w:color w:val="auto"/>
              </w:rPr>
            </w:pPr>
            <w:r>
              <w:rPr>
                <w:rFonts w:ascii="Arial" w:cs="Arial" w:eastAsia="Arial" w:hAnsi="Arial"/>
                <w:sz w:val="18"/>
                <w:szCs w:val="18"/>
                <w:color w:val="auto"/>
              </w:rPr>
              <w:t>Existence; Conduct of Business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5.04</w:t>
            </w:r>
          </w:p>
        </w:tc>
        <w:tc>
          <w:tcPr>
            <w:tcW w:w="9240" w:type="dxa"/>
            <w:vAlign w:val="bottom"/>
          </w:tcPr>
          <w:p>
            <w:pPr>
              <w:ind w:left="320"/>
              <w:spacing w:after="0"/>
              <w:rPr>
                <w:sz w:val="20"/>
                <w:szCs w:val="20"/>
                <w:color w:val="auto"/>
              </w:rPr>
            </w:pPr>
            <w:r>
              <w:rPr>
                <w:rFonts w:ascii="Arial" w:cs="Arial" w:eastAsia="Arial" w:hAnsi="Arial"/>
                <w:sz w:val="18"/>
                <w:szCs w:val="18"/>
                <w:color w:val="auto"/>
              </w:rPr>
              <w:t>Payment of Taxes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5.05</w:t>
            </w:r>
          </w:p>
        </w:tc>
        <w:tc>
          <w:tcPr>
            <w:tcW w:w="9240" w:type="dxa"/>
            <w:vAlign w:val="bottom"/>
          </w:tcPr>
          <w:p>
            <w:pPr>
              <w:ind w:left="320"/>
              <w:spacing w:after="0"/>
              <w:rPr>
                <w:sz w:val="20"/>
                <w:szCs w:val="20"/>
                <w:color w:val="auto"/>
              </w:rPr>
            </w:pPr>
            <w:r>
              <w:rPr>
                <w:rFonts w:ascii="Arial" w:cs="Arial" w:eastAsia="Arial" w:hAnsi="Arial"/>
                <w:sz w:val="18"/>
                <w:szCs w:val="18"/>
                <w:color w:val="auto"/>
              </w:rPr>
              <w:t>Maintenance of Properties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5.06</w:t>
            </w:r>
          </w:p>
        </w:tc>
        <w:tc>
          <w:tcPr>
            <w:tcW w:w="9240" w:type="dxa"/>
            <w:vAlign w:val="bottom"/>
          </w:tcPr>
          <w:p>
            <w:pPr>
              <w:ind w:left="320"/>
              <w:spacing w:after="0"/>
              <w:rPr>
                <w:sz w:val="20"/>
                <w:szCs w:val="20"/>
                <w:color w:val="auto"/>
              </w:rPr>
            </w:pPr>
            <w:r>
              <w:rPr>
                <w:rFonts w:ascii="Arial" w:cs="Arial" w:eastAsia="Arial" w:hAnsi="Arial"/>
                <w:sz w:val="18"/>
                <w:szCs w:val="18"/>
                <w:color w:val="auto"/>
              </w:rPr>
              <w:t>Insurance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5.07</w:t>
            </w:r>
          </w:p>
        </w:tc>
        <w:tc>
          <w:tcPr>
            <w:tcW w:w="9240" w:type="dxa"/>
            <w:vAlign w:val="bottom"/>
          </w:tcPr>
          <w:p>
            <w:pPr>
              <w:ind w:left="320"/>
              <w:spacing w:after="0"/>
              <w:rPr>
                <w:sz w:val="20"/>
                <w:szCs w:val="20"/>
                <w:color w:val="auto"/>
              </w:rPr>
            </w:pPr>
            <w:r>
              <w:rPr>
                <w:rFonts w:ascii="Arial" w:cs="Arial" w:eastAsia="Arial" w:hAnsi="Arial"/>
                <w:sz w:val="18"/>
                <w:szCs w:val="18"/>
                <w:color w:val="auto"/>
              </w:rPr>
              <w:t>Books and Records; Inspection and Audit Rights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5.08</w:t>
            </w:r>
          </w:p>
        </w:tc>
        <w:tc>
          <w:tcPr>
            <w:tcW w:w="9240" w:type="dxa"/>
            <w:vAlign w:val="bottom"/>
          </w:tcPr>
          <w:p>
            <w:pPr>
              <w:ind w:left="320"/>
              <w:spacing w:after="0"/>
              <w:rPr>
                <w:sz w:val="20"/>
                <w:szCs w:val="20"/>
                <w:color w:val="auto"/>
              </w:rPr>
            </w:pPr>
            <w:r>
              <w:rPr>
                <w:rFonts w:ascii="Arial" w:cs="Arial" w:eastAsia="Arial" w:hAnsi="Arial"/>
                <w:sz w:val="18"/>
                <w:szCs w:val="18"/>
                <w:color w:val="auto"/>
              </w:rPr>
              <w:t>Compliance with Laws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418"/>
        </w:trPr>
        <w:tc>
          <w:tcPr>
            <w:tcW w:w="1420" w:type="dxa"/>
            <w:vAlign w:val="bottom"/>
          </w:tcPr>
          <w:p>
            <w:pPr>
              <w:spacing w:after="0"/>
              <w:rPr>
                <w:sz w:val="24"/>
                <w:szCs w:val="24"/>
                <w:color w:val="auto"/>
              </w:rPr>
            </w:pPr>
          </w:p>
        </w:tc>
        <w:tc>
          <w:tcPr>
            <w:tcW w:w="9240" w:type="dxa"/>
            <w:vAlign w:val="bottom"/>
          </w:tcPr>
          <w:p>
            <w:pPr>
              <w:jc w:val="center"/>
              <w:ind w:right="1050"/>
              <w:spacing w:after="0"/>
              <w:rPr>
                <w:sz w:val="20"/>
                <w:szCs w:val="20"/>
                <w:color w:val="auto"/>
              </w:rPr>
            </w:pPr>
            <w:r>
              <w:rPr>
                <w:rFonts w:ascii="Arial" w:cs="Arial" w:eastAsia="Arial" w:hAnsi="Arial"/>
                <w:sz w:val="18"/>
                <w:szCs w:val="18"/>
                <w:color w:val="auto"/>
                <w:w w:val="99"/>
              </w:rPr>
              <w:t>ARTICLE VI</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9240" w:type="dxa"/>
            <w:vAlign w:val="bottom"/>
          </w:tcPr>
          <w:p>
            <w:pPr>
              <w:jc w:val="center"/>
              <w:ind w:right="1050"/>
              <w:spacing w:after="0"/>
              <w:rPr>
                <w:sz w:val="20"/>
                <w:szCs w:val="20"/>
                <w:color w:val="auto"/>
              </w:rPr>
            </w:pPr>
            <w:r>
              <w:rPr>
                <w:rFonts w:ascii="Arial" w:cs="Arial" w:eastAsia="Arial" w:hAnsi="Arial"/>
                <w:sz w:val="18"/>
                <w:szCs w:val="18"/>
                <w:color w:val="auto"/>
                <w:w w:val="97"/>
              </w:rPr>
              <w:t>NEGATIVE COVENANTS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SECTION 6.01</w:t>
            </w:r>
          </w:p>
        </w:tc>
        <w:tc>
          <w:tcPr>
            <w:tcW w:w="9240" w:type="dxa"/>
            <w:vAlign w:val="bottom"/>
          </w:tcPr>
          <w:p>
            <w:pPr>
              <w:ind w:left="320"/>
              <w:spacing w:after="0"/>
              <w:rPr>
                <w:sz w:val="20"/>
                <w:szCs w:val="20"/>
                <w:color w:val="auto"/>
              </w:rPr>
            </w:pPr>
            <w:r>
              <w:rPr>
                <w:rFonts w:ascii="Arial" w:cs="Arial" w:eastAsia="Arial" w:hAnsi="Arial"/>
                <w:sz w:val="18"/>
                <w:szCs w:val="18"/>
                <w:color w:val="auto"/>
              </w:rPr>
              <w:t>Indebtedness of Subsidiaries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6.02</w:t>
            </w:r>
          </w:p>
        </w:tc>
        <w:tc>
          <w:tcPr>
            <w:tcW w:w="9240" w:type="dxa"/>
            <w:vAlign w:val="bottom"/>
          </w:tcPr>
          <w:p>
            <w:pPr>
              <w:ind w:left="320"/>
              <w:spacing w:after="0"/>
              <w:rPr>
                <w:sz w:val="20"/>
                <w:szCs w:val="20"/>
                <w:color w:val="auto"/>
              </w:rPr>
            </w:pPr>
            <w:r>
              <w:rPr>
                <w:rFonts w:ascii="Arial" w:cs="Arial" w:eastAsia="Arial" w:hAnsi="Arial"/>
                <w:sz w:val="18"/>
                <w:szCs w:val="18"/>
                <w:color w:val="auto"/>
              </w:rPr>
              <w:t>Liens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6.03</w:t>
            </w:r>
          </w:p>
        </w:tc>
        <w:tc>
          <w:tcPr>
            <w:tcW w:w="9240" w:type="dxa"/>
            <w:vAlign w:val="bottom"/>
          </w:tcPr>
          <w:p>
            <w:pPr>
              <w:ind w:left="320"/>
              <w:spacing w:after="0"/>
              <w:rPr>
                <w:sz w:val="20"/>
                <w:szCs w:val="20"/>
                <w:color w:val="auto"/>
              </w:rPr>
            </w:pPr>
            <w:r>
              <w:rPr>
                <w:rFonts w:ascii="Arial" w:cs="Arial" w:eastAsia="Arial" w:hAnsi="Arial"/>
                <w:sz w:val="18"/>
                <w:szCs w:val="18"/>
                <w:color w:val="auto"/>
              </w:rPr>
              <w:t>Fundamental Changes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6.04</w:t>
            </w:r>
          </w:p>
        </w:tc>
        <w:tc>
          <w:tcPr>
            <w:tcW w:w="9240" w:type="dxa"/>
            <w:vAlign w:val="bottom"/>
          </w:tcPr>
          <w:p>
            <w:pPr>
              <w:ind w:left="320"/>
              <w:spacing w:after="0"/>
              <w:rPr>
                <w:sz w:val="20"/>
                <w:szCs w:val="20"/>
                <w:color w:val="auto"/>
              </w:rPr>
            </w:pPr>
            <w:r>
              <w:rPr>
                <w:rFonts w:ascii="Arial" w:cs="Arial" w:eastAsia="Arial" w:hAnsi="Arial"/>
                <w:sz w:val="18"/>
                <w:szCs w:val="18"/>
                <w:color w:val="auto"/>
              </w:rPr>
              <w:t>Use of Proceeds and Letters of Credit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6.05</w:t>
            </w:r>
          </w:p>
        </w:tc>
        <w:tc>
          <w:tcPr>
            <w:tcW w:w="9240" w:type="dxa"/>
            <w:vAlign w:val="bottom"/>
          </w:tcPr>
          <w:p>
            <w:pPr>
              <w:ind w:left="320"/>
              <w:spacing w:after="0"/>
              <w:rPr>
                <w:sz w:val="20"/>
                <w:szCs w:val="20"/>
                <w:color w:val="auto"/>
              </w:rPr>
            </w:pPr>
            <w:r>
              <w:rPr>
                <w:rFonts w:ascii="Arial" w:cs="Arial" w:eastAsia="Arial" w:hAnsi="Arial"/>
                <w:sz w:val="18"/>
                <w:szCs w:val="18"/>
                <w:color w:val="auto"/>
              </w:rPr>
              <w:t>Asset Sales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6.06</w:t>
            </w:r>
          </w:p>
        </w:tc>
        <w:tc>
          <w:tcPr>
            <w:tcW w:w="9240" w:type="dxa"/>
            <w:vAlign w:val="bottom"/>
          </w:tcPr>
          <w:p>
            <w:pPr>
              <w:ind w:left="320"/>
              <w:spacing w:after="0"/>
              <w:rPr>
                <w:sz w:val="20"/>
                <w:szCs w:val="20"/>
                <w:color w:val="auto"/>
              </w:rPr>
            </w:pPr>
            <w:r>
              <w:rPr>
                <w:rFonts w:ascii="Arial" w:cs="Arial" w:eastAsia="Arial" w:hAnsi="Arial"/>
                <w:sz w:val="18"/>
                <w:szCs w:val="18"/>
                <w:color w:val="auto"/>
              </w:rPr>
              <w:t>Leverage Ratio</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65" w:right="49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9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40" w:type="dxa"/>
            <w:vAlign w:val="bottom"/>
          </w:tcPr>
          <w:p>
            <w:pPr>
              <w:jc w:val="center"/>
              <w:ind w:right="1290"/>
              <w:spacing w:after="0"/>
              <w:rPr>
                <w:sz w:val="20"/>
                <w:szCs w:val="20"/>
                <w:color w:val="auto"/>
              </w:rPr>
            </w:pPr>
            <w:r>
              <w:rPr>
                <w:rFonts w:ascii="Arial" w:cs="Arial" w:eastAsia="Arial" w:hAnsi="Arial"/>
                <w:sz w:val="18"/>
                <w:szCs w:val="18"/>
                <w:color w:val="auto"/>
              </w:rPr>
              <w:t>ARTICLE VII</w:t>
            </w:r>
          </w:p>
        </w:tc>
        <w:tc>
          <w:tcPr>
            <w:tcW w:w="320" w:type="dxa"/>
            <w:vAlign w:val="bottom"/>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940" w:type="dxa"/>
            <w:vAlign w:val="bottom"/>
          </w:tcPr>
          <w:p>
            <w:pPr>
              <w:jc w:val="center"/>
              <w:ind w:right="1290"/>
              <w:spacing w:after="0"/>
              <w:rPr>
                <w:sz w:val="20"/>
                <w:szCs w:val="20"/>
                <w:color w:val="auto"/>
              </w:rPr>
            </w:pPr>
            <w:r>
              <w:rPr>
                <w:rFonts w:ascii="Arial" w:cs="Arial" w:eastAsia="Arial" w:hAnsi="Arial"/>
                <w:sz w:val="18"/>
                <w:szCs w:val="18"/>
                <w:color w:val="auto"/>
                <w:w w:val="95"/>
              </w:rPr>
              <w:t>EVENTS OF DEFAULT</w:t>
            </w:r>
          </w:p>
        </w:tc>
        <w:tc>
          <w:tcPr>
            <w:tcW w:w="320" w:type="dxa"/>
            <w:vAlign w:val="bottom"/>
          </w:tcPr>
          <w:p>
            <w:pPr>
              <w:spacing w:after="0"/>
              <w:rPr>
                <w:sz w:val="20"/>
                <w:szCs w:val="20"/>
                <w:color w:val="auto"/>
              </w:rPr>
            </w:pPr>
          </w:p>
        </w:tc>
      </w:tr>
      <w:tr>
        <w:trPr>
          <w:trHeight w:val="4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40" w:type="dxa"/>
            <w:vAlign w:val="bottom"/>
          </w:tcPr>
          <w:p>
            <w:pPr>
              <w:jc w:val="center"/>
              <w:ind w:right="1310"/>
              <w:spacing w:after="0"/>
              <w:rPr>
                <w:sz w:val="20"/>
                <w:szCs w:val="20"/>
                <w:color w:val="auto"/>
              </w:rPr>
            </w:pPr>
            <w:r>
              <w:rPr>
                <w:rFonts w:ascii="Arial" w:cs="Arial" w:eastAsia="Arial" w:hAnsi="Arial"/>
                <w:sz w:val="18"/>
                <w:szCs w:val="18"/>
                <w:color w:val="auto"/>
              </w:rPr>
              <w:t>ARTICLE VIII</w:t>
            </w:r>
          </w:p>
        </w:tc>
        <w:tc>
          <w:tcPr>
            <w:tcW w:w="320" w:type="dxa"/>
            <w:vAlign w:val="bottom"/>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940" w:type="dxa"/>
            <w:vAlign w:val="bottom"/>
          </w:tcPr>
          <w:p>
            <w:pPr>
              <w:jc w:val="center"/>
              <w:ind w:right="1290"/>
              <w:spacing w:after="0"/>
              <w:rPr>
                <w:sz w:val="20"/>
                <w:szCs w:val="20"/>
                <w:color w:val="auto"/>
              </w:rPr>
            </w:pPr>
            <w:r>
              <w:rPr>
                <w:rFonts w:ascii="Arial" w:cs="Arial" w:eastAsia="Arial" w:hAnsi="Arial"/>
                <w:sz w:val="18"/>
                <w:szCs w:val="18"/>
                <w:color w:val="auto"/>
                <w:w w:val="98"/>
              </w:rPr>
              <w:t>REGARDING THE ADMINISTRATIVE AGENT</w:t>
            </w:r>
          </w:p>
        </w:tc>
        <w:tc>
          <w:tcPr>
            <w:tcW w:w="320" w:type="dxa"/>
            <w:vAlign w:val="bottom"/>
          </w:tcPr>
          <w:p>
            <w:pPr>
              <w:spacing w:after="0"/>
              <w:rPr>
                <w:sz w:val="20"/>
                <w:szCs w:val="20"/>
                <w:color w:val="auto"/>
              </w:rPr>
            </w:pPr>
          </w:p>
        </w:tc>
      </w:tr>
      <w:tr>
        <w:trPr>
          <w:trHeight w:val="4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40" w:type="dxa"/>
            <w:vAlign w:val="bottom"/>
          </w:tcPr>
          <w:p>
            <w:pPr>
              <w:jc w:val="center"/>
              <w:ind w:right="1310"/>
              <w:spacing w:after="0"/>
              <w:rPr>
                <w:sz w:val="20"/>
                <w:szCs w:val="20"/>
                <w:color w:val="auto"/>
              </w:rPr>
            </w:pPr>
            <w:r>
              <w:rPr>
                <w:rFonts w:ascii="Arial" w:cs="Arial" w:eastAsia="Arial" w:hAnsi="Arial"/>
                <w:sz w:val="18"/>
                <w:szCs w:val="18"/>
                <w:color w:val="auto"/>
                <w:w w:val="99"/>
              </w:rPr>
              <w:t>ARTICLE IX</w:t>
            </w:r>
          </w:p>
        </w:tc>
        <w:tc>
          <w:tcPr>
            <w:tcW w:w="320" w:type="dxa"/>
            <w:vAlign w:val="bottom"/>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940" w:type="dxa"/>
            <w:vAlign w:val="bottom"/>
          </w:tcPr>
          <w:p>
            <w:pPr>
              <w:jc w:val="center"/>
              <w:ind w:right="1310"/>
              <w:spacing w:after="0"/>
              <w:rPr>
                <w:sz w:val="20"/>
                <w:szCs w:val="20"/>
                <w:color w:val="auto"/>
              </w:rPr>
            </w:pPr>
            <w:r>
              <w:rPr>
                <w:rFonts w:ascii="Arial" w:cs="Arial" w:eastAsia="Arial" w:hAnsi="Arial"/>
                <w:sz w:val="18"/>
                <w:szCs w:val="18"/>
                <w:color w:val="auto"/>
                <w:w w:val="97"/>
              </w:rPr>
              <w:t>MISCELLANEOUS</w:t>
            </w:r>
          </w:p>
        </w:tc>
        <w:tc>
          <w:tcPr>
            <w:tcW w:w="320" w:type="dxa"/>
            <w:vAlign w:val="bottom"/>
          </w:tcPr>
          <w:p>
            <w:pPr>
              <w:spacing w:after="0"/>
              <w:rPr>
                <w:sz w:val="20"/>
                <w:szCs w:val="20"/>
                <w:color w:val="auto"/>
              </w:rPr>
            </w:pPr>
          </w:p>
        </w:tc>
      </w:tr>
      <w:tr>
        <w:trPr>
          <w:trHeight w:val="418"/>
        </w:trPr>
        <w:tc>
          <w:tcPr>
            <w:tcW w:w="1360" w:type="dxa"/>
            <w:vAlign w:val="bottom"/>
            <w:gridSpan w:val="3"/>
          </w:tcPr>
          <w:p>
            <w:pPr>
              <w:spacing w:after="0"/>
              <w:rPr>
                <w:sz w:val="20"/>
                <w:szCs w:val="20"/>
                <w:color w:val="auto"/>
              </w:rPr>
            </w:pPr>
            <w:r>
              <w:rPr>
                <w:rFonts w:ascii="Arial" w:cs="Arial" w:eastAsia="Arial" w:hAnsi="Arial"/>
                <w:sz w:val="18"/>
                <w:szCs w:val="18"/>
                <w:color w:val="auto"/>
              </w:rPr>
              <w:t>SECTION 9.01</w:t>
            </w:r>
          </w:p>
        </w:tc>
        <w:tc>
          <w:tcPr>
            <w:tcW w:w="340" w:type="dxa"/>
            <w:vAlign w:val="bottom"/>
          </w:tcPr>
          <w:p>
            <w:pPr>
              <w:spacing w:after="0"/>
              <w:rPr>
                <w:sz w:val="24"/>
                <w:szCs w:val="24"/>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Notices</w:t>
            </w:r>
          </w:p>
        </w:tc>
        <w:tc>
          <w:tcPr>
            <w:tcW w:w="3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9.02</w:t>
            </w:r>
          </w:p>
        </w:tc>
        <w:tc>
          <w:tcPr>
            <w:tcW w:w="340" w:type="dxa"/>
            <w:vAlign w:val="bottom"/>
          </w:tcPr>
          <w:p>
            <w:pPr>
              <w:spacing w:after="0"/>
              <w:rPr>
                <w:sz w:val="18"/>
                <w:szCs w:val="18"/>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Waivers; Amendments</w:t>
            </w:r>
          </w:p>
        </w:tc>
        <w:tc>
          <w:tcPr>
            <w:tcW w:w="3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9.03</w:t>
            </w:r>
          </w:p>
        </w:tc>
        <w:tc>
          <w:tcPr>
            <w:tcW w:w="340" w:type="dxa"/>
            <w:vAlign w:val="bottom"/>
          </w:tcPr>
          <w:p>
            <w:pPr>
              <w:spacing w:after="0"/>
              <w:rPr>
                <w:sz w:val="18"/>
                <w:szCs w:val="18"/>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Expenses; Indemnity; Damage Waiver</w:t>
            </w:r>
          </w:p>
        </w:tc>
        <w:tc>
          <w:tcPr>
            <w:tcW w:w="3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9.04</w:t>
            </w:r>
          </w:p>
        </w:tc>
        <w:tc>
          <w:tcPr>
            <w:tcW w:w="340" w:type="dxa"/>
            <w:vAlign w:val="bottom"/>
          </w:tcPr>
          <w:p>
            <w:pPr>
              <w:spacing w:after="0"/>
              <w:rPr>
                <w:sz w:val="18"/>
                <w:szCs w:val="18"/>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Successors and Assigns</w:t>
            </w:r>
          </w:p>
        </w:tc>
        <w:tc>
          <w:tcPr>
            <w:tcW w:w="3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9.05</w:t>
            </w:r>
          </w:p>
        </w:tc>
        <w:tc>
          <w:tcPr>
            <w:tcW w:w="340" w:type="dxa"/>
            <w:vAlign w:val="bottom"/>
          </w:tcPr>
          <w:p>
            <w:pPr>
              <w:spacing w:after="0"/>
              <w:rPr>
                <w:sz w:val="18"/>
                <w:szCs w:val="18"/>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Survival</w:t>
            </w:r>
          </w:p>
        </w:tc>
        <w:tc>
          <w:tcPr>
            <w:tcW w:w="3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9.06</w:t>
            </w:r>
          </w:p>
        </w:tc>
        <w:tc>
          <w:tcPr>
            <w:tcW w:w="340" w:type="dxa"/>
            <w:vAlign w:val="bottom"/>
          </w:tcPr>
          <w:p>
            <w:pPr>
              <w:spacing w:after="0"/>
              <w:rPr>
                <w:sz w:val="18"/>
                <w:szCs w:val="18"/>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Counterparts; Integration; Effectiveness</w:t>
            </w:r>
          </w:p>
        </w:tc>
        <w:tc>
          <w:tcPr>
            <w:tcW w:w="3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9.07</w:t>
            </w:r>
          </w:p>
        </w:tc>
        <w:tc>
          <w:tcPr>
            <w:tcW w:w="340" w:type="dxa"/>
            <w:vAlign w:val="bottom"/>
          </w:tcPr>
          <w:p>
            <w:pPr>
              <w:spacing w:after="0"/>
              <w:rPr>
                <w:sz w:val="18"/>
                <w:szCs w:val="18"/>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3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9.08</w:t>
            </w:r>
          </w:p>
        </w:tc>
        <w:tc>
          <w:tcPr>
            <w:tcW w:w="340" w:type="dxa"/>
            <w:vAlign w:val="bottom"/>
          </w:tcPr>
          <w:p>
            <w:pPr>
              <w:spacing w:after="0"/>
              <w:rPr>
                <w:sz w:val="18"/>
                <w:szCs w:val="18"/>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Right of Setoff</w:t>
            </w:r>
          </w:p>
        </w:tc>
        <w:tc>
          <w:tcPr>
            <w:tcW w:w="3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9.09</w:t>
            </w:r>
          </w:p>
        </w:tc>
        <w:tc>
          <w:tcPr>
            <w:tcW w:w="340" w:type="dxa"/>
            <w:vAlign w:val="bottom"/>
          </w:tcPr>
          <w:p>
            <w:pPr>
              <w:spacing w:after="0"/>
              <w:rPr>
                <w:sz w:val="18"/>
                <w:szCs w:val="18"/>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Governing Law; Jurisdiction; Consent to Service of Process</w:t>
            </w:r>
          </w:p>
        </w:tc>
        <w:tc>
          <w:tcPr>
            <w:tcW w:w="3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9.10</w:t>
            </w:r>
          </w:p>
        </w:tc>
        <w:tc>
          <w:tcPr>
            <w:tcW w:w="340" w:type="dxa"/>
            <w:vAlign w:val="bottom"/>
          </w:tcPr>
          <w:p>
            <w:pPr>
              <w:spacing w:after="0"/>
              <w:rPr>
                <w:sz w:val="18"/>
                <w:szCs w:val="18"/>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WAIVER OF JURY TRIAL</w:t>
            </w:r>
          </w:p>
        </w:tc>
        <w:tc>
          <w:tcPr>
            <w:tcW w:w="3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9.11</w:t>
            </w:r>
          </w:p>
        </w:tc>
        <w:tc>
          <w:tcPr>
            <w:tcW w:w="340" w:type="dxa"/>
            <w:vAlign w:val="bottom"/>
          </w:tcPr>
          <w:p>
            <w:pPr>
              <w:spacing w:after="0"/>
              <w:rPr>
                <w:sz w:val="18"/>
                <w:szCs w:val="18"/>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Headings</w:t>
            </w:r>
          </w:p>
        </w:tc>
        <w:tc>
          <w:tcPr>
            <w:tcW w:w="3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9.12</w:t>
            </w:r>
          </w:p>
        </w:tc>
        <w:tc>
          <w:tcPr>
            <w:tcW w:w="340" w:type="dxa"/>
            <w:vAlign w:val="bottom"/>
          </w:tcPr>
          <w:p>
            <w:pPr>
              <w:spacing w:after="0"/>
              <w:rPr>
                <w:sz w:val="18"/>
                <w:szCs w:val="18"/>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Confidentiality</w:t>
            </w:r>
          </w:p>
        </w:tc>
        <w:tc>
          <w:tcPr>
            <w:tcW w:w="3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9.13</w:t>
            </w:r>
          </w:p>
        </w:tc>
        <w:tc>
          <w:tcPr>
            <w:tcW w:w="340" w:type="dxa"/>
            <w:vAlign w:val="bottom"/>
          </w:tcPr>
          <w:p>
            <w:pPr>
              <w:spacing w:after="0"/>
              <w:rPr>
                <w:sz w:val="18"/>
                <w:szCs w:val="18"/>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Interest Rate Limitation</w:t>
            </w:r>
          </w:p>
        </w:tc>
        <w:tc>
          <w:tcPr>
            <w:tcW w:w="3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9.14</w:t>
            </w:r>
          </w:p>
        </w:tc>
        <w:tc>
          <w:tcPr>
            <w:tcW w:w="340" w:type="dxa"/>
            <w:vAlign w:val="bottom"/>
          </w:tcPr>
          <w:p>
            <w:pPr>
              <w:spacing w:after="0"/>
              <w:rPr>
                <w:sz w:val="18"/>
                <w:szCs w:val="18"/>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USA Patriot Act</w:t>
            </w: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9.15</w:t>
            </w:r>
          </w:p>
        </w:tc>
        <w:tc>
          <w:tcPr>
            <w:tcW w:w="340" w:type="dxa"/>
            <w:vAlign w:val="bottom"/>
          </w:tcPr>
          <w:p>
            <w:pPr>
              <w:spacing w:after="0"/>
              <w:rPr>
                <w:sz w:val="18"/>
                <w:szCs w:val="18"/>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No Advisory or Fiduciary Responsibility</w:t>
            </w: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9.16</w:t>
            </w:r>
          </w:p>
        </w:tc>
        <w:tc>
          <w:tcPr>
            <w:tcW w:w="340" w:type="dxa"/>
            <w:vAlign w:val="bottom"/>
          </w:tcPr>
          <w:p>
            <w:pPr>
              <w:spacing w:after="0"/>
              <w:rPr>
                <w:sz w:val="18"/>
                <w:szCs w:val="18"/>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Judgment Currency</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9.17</w:t>
            </w:r>
          </w:p>
        </w:tc>
        <w:tc>
          <w:tcPr>
            <w:tcW w:w="340" w:type="dxa"/>
            <w:vAlign w:val="bottom"/>
          </w:tcPr>
          <w:p>
            <w:pPr>
              <w:spacing w:after="0"/>
              <w:rPr>
                <w:sz w:val="18"/>
                <w:szCs w:val="18"/>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Electronic Execution of Assignments and Certain Other Documents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r>
      <w:tr>
        <w:trPr>
          <w:trHeight w:val="230"/>
        </w:trPr>
        <w:tc>
          <w:tcPr>
            <w:tcW w:w="1360" w:type="dxa"/>
            <w:vAlign w:val="bottom"/>
            <w:gridSpan w:val="3"/>
          </w:tcPr>
          <w:p>
            <w:pPr>
              <w:spacing w:after="0"/>
              <w:rPr>
                <w:sz w:val="20"/>
                <w:szCs w:val="20"/>
                <w:color w:val="auto"/>
              </w:rPr>
            </w:pPr>
            <w:r>
              <w:rPr>
                <w:rFonts w:ascii="Arial" w:cs="Arial" w:eastAsia="Arial" w:hAnsi="Arial"/>
                <w:sz w:val="18"/>
                <w:szCs w:val="18"/>
                <w:color w:val="auto"/>
              </w:rPr>
              <w:t>SECTION 9.18</w:t>
            </w:r>
          </w:p>
        </w:tc>
        <w:tc>
          <w:tcPr>
            <w:tcW w:w="340" w:type="dxa"/>
            <w:vAlign w:val="bottom"/>
          </w:tcPr>
          <w:p>
            <w:pPr>
              <w:spacing w:after="0"/>
              <w:rPr>
                <w:sz w:val="20"/>
                <w:szCs w:val="20"/>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r>
      <w:tr>
        <w:trPr>
          <w:trHeight w:val="391"/>
        </w:trPr>
        <w:tc>
          <w:tcPr>
            <w:tcW w:w="136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34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65"/>
        </w:trPr>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8"/>
              </w:rPr>
              <w:t>Schedule 2.01</w:t>
            </w:r>
          </w:p>
        </w:tc>
        <w:tc>
          <w:tcPr>
            <w:tcW w:w="320" w:type="dxa"/>
            <w:vAlign w:val="bottom"/>
          </w:tcPr>
          <w:p>
            <w:pPr>
              <w:spacing w:after="0"/>
              <w:rPr>
                <w:sz w:val="24"/>
                <w:szCs w:val="24"/>
                <w:color w:val="auto"/>
              </w:rPr>
            </w:pP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8940" w:type="dxa"/>
            <w:vAlign w:val="bottom"/>
          </w:tcPr>
          <w:p>
            <w:pPr>
              <w:ind w:left="180"/>
              <w:spacing w:after="0"/>
              <w:rPr>
                <w:sz w:val="20"/>
                <w:szCs w:val="20"/>
                <w:color w:val="auto"/>
              </w:rPr>
            </w:pPr>
            <w:r>
              <w:rPr>
                <w:rFonts w:ascii="Arial" w:cs="Arial" w:eastAsia="Arial" w:hAnsi="Arial"/>
                <w:sz w:val="18"/>
                <w:szCs w:val="18"/>
                <w:color w:val="auto"/>
              </w:rPr>
              <w:t>Commitments</w:t>
            </w:r>
          </w:p>
        </w:tc>
        <w:tc>
          <w:tcPr>
            <w:tcW w:w="320" w:type="dxa"/>
            <w:vAlign w:val="bottom"/>
          </w:tcPr>
          <w:p>
            <w:pPr>
              <w:spacing w:after="0"/>
              <w:rPr>
                <w:sz w:val="24"/>
                <w:szCs w:val="24"/>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Schedule 2.05</w:t>
            </w:r>
          </w:p>
        </w:tc>
        <w:tc>
          <w:tcPr>
            <w:tcW w:w="9280" w:type="dxa"/>
            <w:vAlign w:val="bottom"/>
            <w:gridSpan w:val="2"/>
          </w:tcPr>
          <w:p>
            <w:pPr>
              <w:ind w:left="220"/>
              <w:spacing w:after="0"/>
              <w:rPr>
                <w:sz w:val="20"/>
                <w:szCs w:val="20"/>
                <w:color w:val="auto"/>
              </w:rPr>
            </w:pPr>
            <w:r>
              <w:rPr>
                <w:rFonts w:ascii="Arial" w:cs="Arial" w:eastAsia="Arial" w:hAnsi="Arial"/>
                <w:sz w:val="18"/>
                <w:szCs w:val="18"/>
                <w:color w:val="auto"/>
              </w:rPr>
              <w:t>–  Existing Letters of Credit</w:t>
            </w:r>
          </w:p>
        </w:tc>
        <w:tc>
          <w:tcPr>
            <w:tcW w:w="320" w:type="dxa"/>
            <w:vAlign w:val="bottom"/>
          </w:tcPr>
          <w:p>
            <w:pPr>
              <w:spacing w:after="0"/>
              <w:rPr>
                <w:sz w:val="18"/>
                <w:szCs w:val="18"/>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Schedule 3.06</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8940" w:type="dxa"/>
            <w:vAlign w:val="bottom"/>
          </w:tcPr>
          <w:p>
            <w:pPr>
              <w:ind w:left="180"/>
              <w:spacing w:after="0"/>
              <w:rPr>
                <w:sz w:val="20"/>
                <w:szCs w:val="20"/>
                <w:color w:val="auto"/>
              </w:rPr>
            </w:pPr>
            <w:r>
              <w:rPr>
                <w:rFonts w:ascii="Arial" w:cs="Arial" w:eastAsia="Arial" w:hAnsi="Arial"/>
                <w:sz w:val="18"/>
                <w:szCs w:val="18"/>
                <w:color w:val="auto"/>
              </w:rPr>
              <w:t>Disclosed Matters</w:t>
            </w:r>
          </w:p>
        </w:tc>
        <w:tc>
          <w:tcPr>
            <w:tcW w:w="320" w:type="dxa"/>
            <w:vAlign w:val="bottom"/>
          </w:tcPr>
          <w:p>
            <w:pPr>
              <w:spacing w:after="0"/>
              <w:rPr>
                <w:sz w:val="18"/>
                <w:szCs w:val="18"/>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Schedule 6.02</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8940" w:type="dxa"/>
            <w:vAlign w:val="bottom"/>
          </w:tcPr>
          <w:p>
            <w:pPr>
              <w:ind w:left="180"/>
              <w:spacing w:after="0"/>
              <w:rPr>
                <w:sz w:val="20"/>
                <w:szCs w:val="20"/>
                <w:color w:val="auto"/>
              </w:rPr>
            </w:pPr>
            <w:r>
              <w:rPr>
                <w:rFonts w:ascii="Arial" w:cs="Arial" w:eastAsia="Arial" w:hAnsi="Arial"/>
                <w:sz w:val="18"/>
                <w:szCs w:val="18"/>
                <w:color w:val="auto"/>
              </w:rPr>
              <w:t>Existing Liens</w:t>
            </w:r>
          </w:p>
        </w:tc>
        <w:tc>
          <w:tcPr>
            <w:tcW w:w="320" w:type="dxa"/>
            <w:vAlign w:val="bottom"/>
          </w:tcPr>
          <w:p>
            <w:pPr>
              <w:spacing w:after="0"/>
              <w:rPr>
                <w:sz w:val="18"/>
                <w:szCs w:val="18"/>
                <w:color w:val="auto"/>
              </w:rPr>
            </w:pPr>
          </w:p>
        </w:tc>
      </w:tr>
      <w:tr>
        <w:trPr>
          <w:trHeight w:val="230"/>
        </w:trPr>
        <w:tc>
          <w:tcPr>
            <w:tcW w:w="1360" w:type="dxa"/>
            <w:vAlign w:val="bottom"/>
            <w:gridSpan w:val="3"/>
          </w:tcPr>
          <w:p>
            <w:pPr>
              <w:spacing w:after="0"/>
              <w:rPr>
                <w:sz w:val="20"/>
                <w:szCs w:val="20"/>
                <w:color w:val="auto"/>
              </w:rPr>
            </w:pPr>
            <w:r>
              <w:rPr>
                <w:rFonts w:ascii="Arial" w:cs="Arial" w:eastAsia="Arial" w:hAnsi="Arial"/>
                <w:sz w:val="18"/>
                <w:szCs w:val="18"/>
                <w:color w:val="auto"/>
              </w:rPr>
              <w:t>Schedule 9.01</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8940" w:type="dxa"/>
            <w:vAlign w:val="bottom"/>
          </w:tcPr>
          <w:p>
            <w:pPr>
              <w:ind w:left="180"/>
              <w:spacing w:after="0"/>
              <w:rPr>
                <w:sz w:val="20"/>
                <w:szCs w:val="20"/>
                <w:color w:val="auto"/>
              </w:rPr>
            </w:pPr>
            <w:r>
              <w:rPr>
                <w:rFonts w:ascii="Arial" w:cs="Arial" w:eastAsia="Arial" w:hAnsi="Arial"/>
                <w:sz w:val="18"/>
                <w:szCs w:val="18"/>
                <w:color w:val="auto"/>
              </w:rPr>
              <w:t>Administrative Agent’s Office</w:t>
            </w:r>
          </w:p>
        </w:tc>
        <w:tc>
          <w:tcPr>
            <w:tcW w:w="320" w:type="dxa"/>
            <w:vAlign w:val="bottom"/>
          </w:tcPr>
          <w:p>
            <w:pPr>
              <w:spacing w:after="0"/>
              <w:rPr>
                <w:sz w:val="20"/>
                <w:szCs w:val="20"/>
                <w:color w:val="auto"/>
              </w:rPr>
            </w:pPr>
          </w:p>
        </w:tc>
      </w:tr>
      <w:tr>
        <w:trPr>
          <w:trHeight w:val="391"/>
        </w:trPr>
        <w:tc>
          <w:tcPr>
            <w:tcW w:w="136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34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8"/>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540" w:type="dxa"/>
            <w:vAlign w:val="bottom"/>
            <w:gridSpan w:val="2"/>
          </w:tcPr>
          <w:p>
            <w:pPr>
              <w:spacing w:after="0"/>
              <w:rPr>
                <w:sz w:val="24"/>
                <w:szCs w:val="24"/>
                <w:color w:val="auto"/>
              </w:rPr>
            </w:pPr>
          </w:p>
        </w:tc>
        <w:tc>
          <w:tcPr>
            <w:tcW w:w="9280" w:type="dxa"/>
            <w:vAlign w:val="bottom"/>
            <w:gridSpan w:val="2"/>
          </w:tcPr>
          <w:p>
            <w:pPr>
              <w:ind w:left="220"/>
              <w:spacing w:after="0"/>
              <w:rPr>
                <w:sz w:val="20"/>
                <w:szCs w:val="20"/>
                <w:color w:val="auto"/>
              </w:rPr>
            </w:pPr>
            <w:r>
              <w:rPr>
                <w:rFonts w:ascii="Arial" w:cs="Arial" w:eastAsia="Arial" w:hAnsi="Arial"/>
                <w:sz w:val="18"/>
                <w:szCs w:val="18"/>
                <w:color w:val="auto"/>
              </w:rPr>
              <w:t>–  Form of Assignment and Assumption</w:t>
            </w:r>
          </w:p>
        </w:tc>
        <w:tc>
          <w:tcPr>
            <w:tcW w:w="320" w:type="dxa"/>
            <w:vAlign w:val="bottom"/>
          </w:tcPr>
          <w:p>
            <w:pPr>
              <w:spacing w:after="0"/>
              <w:rPr>
                <w:sz w:val="24"/>
                <w:szCs w:val="24"/>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9280" w:type="dxa"/>
            <w:vAlign w:val="bottom"/>
            <w:gridSpan w:val="2"/>
          </w:tcPr>
          <w:p>
            <w:pPr>
              <w:ind w:left="220"/>
              <w:spacing w:after="0"/>
              <w:rPr>
                <w:sz w:val="20"/>
                <w:szCs w:val="20"/>
                <w:color w:val="auto"/>
              </w:rPr>
            </w:pPr>
            <w:r>
              <w:rPr>
                <w:rFonts w:ascii="Arial" w:cs="Arial" w:eastAsia="Arial" w:hAnsi="Arial"/>
                <w:sz w:val="18"/>
                <w:szCs w:val="18"/>
                <w:color w:val="auto"/>
              </w:rPr>
              <w:t>–  Form of Borrowing Request</w:t>
            </w:r>
          </w:p>
        </w:tc>
        <w:tc>
          <w:tcPr>
            <w:tcW w:w="320" w:type="dxa"/>
            <w:vAlign w:val="bottom"/>
          </w:tcPr>
          <w:p>
            <w:pPr>
              <w:spacing w:after="0"/>
              <w:rPr>
                <w:sz w:val="18"/>
                <w:szCs w:val="18"/>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9280" w:type="dxa"/>
            <w:vAlign w:val="bottom"/>
            <w:gridSpan w:val="2"/>
          </w:tcPr>
          <w:p>
            <w:pPr>
              <w:ind w:left="220"/>
              <w:spacing w:after="0"/>
              <w:rPr>
                <w:sz w:val="20"/>
                <w:szCs w:val="20"/>
                <w:color w:val="auto"/>
              </w:rPr>
            </w:pPr>
            <w:r>
              <w:rPr>
                <w:rFonts w:ascii="Arial" w:cs="Arial" w:eastAsia="Arial" w:hAnsi="Arial"/>
                <w:sz w:val="18"/>
                <w:szCs w:val="18"/>
                <w:color w:val="auto"/>
              </w:rPr>
              <w:t>–  Form of United States Tax Compliance Certificate</w:t>
            </w:r>
          </w:p>
        </w:tc>
        <w:tc>
          <w:tcPr>
            <w:tcW w:w="320" w:type="dxa"/>
            <w:vAlign w:val="bottom"/>
          </w:tcPr>
          <w:p>
            <w:pPr>
              <w:spacing w:after="0"/>
              <w:rPr>
                <w:sz w:val="18"/>
                <w:szCs w:val="18"/>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9280" w:type="dxa"/>
            <w:vAlign w:val="bottom"/>
            <w:gridSpan w:val="2"/>
          </w:tcPr>
          <w:p>
            <w:pPr>
              <w:ind w:left="220"/>
              <w:spacing w:after="0"/>
              <w:rPr>
                <w:sz w:val="20"/>
                <w:szCs w:val="20"/>
                <w:color w:val="auto"/>
              </w:rPr>
            </w:pPr>
            <w:r>
              <w:rPr>
                <w:rFonts w:ascii="Arial" w:cs="Arial" w:eastAsia="Arial" w:hAnsi="Arial"/>
                <w:sz w:val="18"/>
                <w:szCs w:val="18"/>
                <w:color w:val="auto"/>
              </w:rPr>
              <w:t>–  Form of Additional Borrower Agreement</w:t>
            </w:r>
          </w:p>
        </w:tc>
        <w:tc>
          <w:tcPr>
            <w:tcW w:w="320" w:type="dxa"/>
            <w:vAlign w:val="bottom"/>
          </w:tcPr>
          <w:p>
            <w:pPr>
              <w:spacing w:after="0"/>
              <w:rPr>
                <w:sz w:val="18"/>
                <w:szCs w:val="18"/>
                <w:color w:val="auto"/>
              </w:rPr>
            </w:pPr>
          </w:p>
        </w:tc>
      </w:tr>
      <w:tr>
        <w:trPr>
          <w:trHeight w:val="230"/>
        </w:trPr>
        <w:tc>
          <w:tcPr>
            <w:tcW w:w="136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9280" w:type="dxa"/>
            <w:vAlign w:val="bottom"/>
            <w:gridSpan w:val="2"/>
          </w:tcPr>
          <w:p>
            <w:pPr>
              <w:ind w:left="220"/>
              <w:spacing w:after="0"/>
              <w:rPr>
                <w:sz w:val="20"/>
                <w:szCs w:val="20"/>
                <w:color w:val="auto"/>
              </w:rPr>
            </w:pPr>
            <w:r>
              <w:rPr>
                <w:rFonts w:ascii="Arial" w:cs="Arial" w:eastAsia="Arial" w:hAnsi="Arial"/>
                <w:sz w:val="18"/>
                <w:szCs w:val="18"/>
                <w:color w:val="auto"/>
              </w:rPr>
              <w:t>–  Form of Solvency Certificate</w:t>
            </w:r>
          </w:p>
        </w:tc>
        <w:tc>
          <w:tcPr>
            <w:tcW w:w="32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65" w:right="499" w:bottom="1440" w:gutter="0" w:footer="0" w:header="0"/>
        </w:sectPr>
      </w:pPr>
    </w:p>
    <w:bookmarkStart w:id="130" w:name="page131"/>
    <w:bookmarkEnd w:id="130"/>
    <w:p>
      <w:pPr>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CREDIT AGREEMENT, dated as of December 21, 2020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NASDAQ,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any Additional Borrowers (as defined below) that become party to this Agreement from time to time, the LENDERS party hereto, and BANK OF AMERICA, N.A., as Administrative Agent and Issuing Bank.</w:t>
      </w:r>
    </w:p>
    <w:p>
      <w:pPr>
        <w:spacing w:after="0" w:line="184" w:lineRule="exact"/>
        <w:rPr>
          <w:sz w:val="20"/>
          <w:szCs w:val="20"/>
          <w:color w:val="auto"/>
        </w:rPr>
      </w:pPr>
    </w:p>
    <w:p>
      <w:pPr>
        <w:ind w:right="240" w:firstLine="440"/>
        <w:spacing w:after="0" w:line="257" w:lineRule="auto"/>
        <w:rPr>
          <w:sz w:val="20"/>
          <w:szCs w:val="20"/>
          <w:color w:val="auto"/>
        </w:rPr>
      </w:pPr>
      <w:r>
        <w:rPr>
          <w:rFonts w:ascii="Arial" w:cs="Arial" w:eastAsia="Arial" w:hAnsi="Arial"/>
          <w:sz w:val="18"/>
          <w:szCs w:val="18"/>
          <w:color w:val="auto"/>
        </w:rPr>
        <w:t>The Borrower has requested that the Revolving Lenders extend credit in the form of Revolving Loans and the Issuing Banks issue Letters of Credit, in each case at any time and from time to time during the Revolving Availability Period such that the aggregate Revolving Exposures will not exceed $1,250,000,000 at any time. In addition, the Borrower may request that the Lenders or prospective Additional Lenders agree to provide Incremental Revolving Commitments pursuant to Section 2.18 from time to time on or after the Closing Date in an aggregate amount not to exceed $625,000,000.</w:t>
      </w:r>
    </w:p>
    <w:p>
      <w:pPr>
        <w:spacing w:after="0" w:line="188"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Lenders are willing to extend such credit to the Borrower, and the Issuing Banks are willing to issue Letters of Credit for the account of the Borrower, on the terms and subject to the conditions set forth 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11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Base Rate.</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Gross-Up Amount</w:t>
      </w:r>
      <w:r>
        <w:rPr>
          <w:rFonts w:ascii="Arial" w:cs="Arial" w:eastAsia="Arial" w:hAnsi="Arial"/>
          <w:sz w:val="18"/>
          <w:szCs w:val="18"/>
          <w:color w:val="auto"/>
        </w:rPr>
        <w:t>” means, with respect to any Non-ABR Lender’s ABR Loan for any day on which such ABR Loan is outstanding, the lesser of:</w:t>
      </w:r>
    </w:p>
    <w:p>
      <w:pPr>
        <w:spacing w:after="0" w:line="62" w:lineRule="exact"/>
        <w:rPr>
          <w:sz w:val="20"/>
          <w:szCs w:val="20"/>
          <w:color w:val="auto"/>
        </w:rPr>
      </w:pPr>
    </w:p>
    <w:p>
      <w:pPr>
        <w:jc w:val="both"/>
        <w:ind w:left="440" w:right="420" w:firstLine="419"/>
        <w:spacing w:after="0" w:line="291" w:lineRule="auto"/>
        <w:tabs>
          <w:tab w:leader="none" w:pos="1108"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the actual amount (as determined in good faith by the applicable Non-ABR Lender and set forth in a reasonably detailed certificate delivered to the Borrower) by which (i) such Non-ABR Lender’s cost of funding such Non-ABR Lender’s ABR Loan for such day exceeded</w:t>
      </w:r>
    </w:p>
    <w:p>
      <w:pPr>
        <w:ind w:left="700" w:hanging="264"/>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Base Rate for such day minus 1.00% per annum; and</w:t>
      </w:r>
    </w:p>
    <w:p>
      <w:pPr>
        <w:spacing w:after="0" w:line="102" w:lineRule="exact"/>
        <w:rPr>
          <w:rFonts w:ascii="Arial" w:cs="Arial" w:eastAsia="Arial" w:hAnsi="Arial"/>
          <w:sz w:val="18"/>
          <w:szCs w:val="18"/>
          <w:color w:val="auto"/>
        </w:rPr>
      </w:pPr>
    </w:p>
    <w:p>
      <w:pPr>
        <w:ind w:left="440" w:right="500" w:firstLine="419"/>
        <w:spacing w:after="0" w:line="277" w:lineRule="auto"/>
        <w:tabs>
          <w:tab w:leader="none" w:pos="111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amount by which (i) the Eurocurrency Rate for an interest period of one day commencing on such date (or, if such day is not a Business Day, the preceding Business Day) exceeded (ii) the Base Rate for such day minus 1.00% per annum.</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acquisition by the Borrower or a Subsidiary of (i) a majority of the outstanding Equity Interests in, or all or substantially all the assets of, or the assets constituting a division or line of business of, a Person or (ii) any asset of another Person constituting a business unit of such other Person.</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Debt</w:t>
      </w:r>
      <w:r>
        <w:rPr>
          <w:rFonts w:ascii="Arial" w:cs="Arial" w:eastAsia="Arial" w:hAnsi="Arial"/>
          <w:sz w:val="18"/>
          <w:szCs w:val="18"/>
          <w:color w:val="auto"/>
        </w:rPr>
        <w:t xml:space="preserve">” means any indebtedness for borrowed money of the Borrower or any of its Subsidiaries that has been issued for the purpose of financing, in whole or in part, an Acquisition and any related transactions or series of related transactions (including for the purpose of refinancing or replacing all or a portion of any pre-existing Indebtedness for borrowed money of the Borrower, any of its Subsidiaries or the Person(s) or assets to be acquired);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either (a)(i) the release of the proceeds thereof to the Borrower and its Subsidiaries is contingent upon the consummation of such Acquisition</w:t>
      </w:r>
    </w:p>
    <w:p>
      <w:pPr>
        <w:sectPr>
          <w:pgSz w:w="11900" w:h="16838" w:orient="portrait"/>
          <w:cols w:equalWidth="0" w:num="1">
            <w:col w:w="10980"/>
          </w:cols>
          <w:pgMar w:left="440" w:top="274" w:right="479" w:bottom="1440" w:gutter="0" w:footer="0" w:header="0"/>
        </w:sectPr>
      </w:pPr>
    </w:p>
    <w:bookmarkStart w:id="131" w:name="page132"/>
    <w:bookmarkEnd w:id="13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pending such release, such proceeds are held pursuant to an escrow or similar arrangement and (ii) if the definitive agreement (or, in the case of a tender offer or similar transaction, the definitive offer document) for such Acquisition is terminated prior to the consummation of such Acquisition or if such Acquisition is otherwise not consummated by the date specified in the definitive documentation relating to such Indebtedness for borrowed money, such proceeds shall be promptly applied to satisfy and discharge all obligations of the Borrower and its Subsidiaries in respect of such Indebtedness for borrowed money, (b)(i) such Indebtedness for borrowed money contains a “special mandatory redemption” provision (or other similar provision) or otherwise permits such Indebtedness for borrowed money to be redeemed or prepaid if such Acquisition is not consummated by the date specified in the definitive documentation relating to such Indebtedness for borrowed money, and (ii) if the definitive agreement (or, in the case of a tender offer or similar transaction, the definitive offer document) for such Acquisition is terminated in accordance with its terms prior to the consummation of such Acquisition or such Acquisition is otherwise not consummated by the date specified in the definitive documentation relating to such Indebtedness for borrowed money, such Indebtedness for borrowed money is so redeemed or prepaid within ninety (90) days of such termination or such specified date, as the case may be or (c) such Indebtedness for borrowed money consists of commercial paper (it being understood that in the event that the definitive agreement (or, in the case of a tender offer or similar transaction, the definitive offer document) for such Acquisition is terminated in accordance with its terms prior to the consummation of such Acquisition, then such commercial paper will cease to constitute Acquisition Debt if such commercial paper remains outstanding on the date that is ninety (90) days following such termination).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Holiday</w:t>
      </w:r>
      <w:r>
        <w:rPr>
          <w:rFonts w:ascii="Arial" w:cs="Arial" w:eastAsia="Arial" w:hAnsi="Arial"/>
          <w:sz w:val="18"/>
          <w:szCs w:val="18"/>
          <w:color w:val="auto"/>
        </w:rPr>
        <w:t>” shall have the meaning provided in Section 6.06.</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Borrower</w:t>
      </w:r>
      <w:r>
        <w:rPr>
          <w:rFonts w:ascii="Arial" w:cs="Arial" w:eastAsia="Arial" w:hAnsi="Arial"/>
          <w:sz w:val="18"/>
          <w:szCs w:val="18"/>
          <w:color w:val="auto"/>
        </w:rPr>
        <w:t>” shall have the meaning provided in Section 1.10.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Borrower Agreement</w:t>
      </w:r>
      <w:r>
        <w:rPr>
          <w:rFonts w:ascii="Arial" w:cs="Arial" w:eastAsia="Arial" w:hAnsi="Arial"/>
          <w:sz w:val="18"/>
          <w:szCs w:val="18"/>
          <w:color w:val="auto"/>
        </w:rPr>
        <w:t>” means the Additional Borrower Agreement substantially in the form of Exhibit 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has the meaning assigned to such term in Section 2.18(b).</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in its capacity as administrative agent for the Lenders hereunder, and its successors in such capacity as provided in Article VIII.</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9.01</w:t>
      </w:r>
      <w:r>
        <w:rPr>
          <w:rFonts w:ascii="Arial" w:cs="Arial" w:eastAsia="Arial" w:hAnsi="Arial"/>
          <w:sz w:val="18"/>
          <w:szCs w:val="18"/>
          <w:color w:val="auto"/>
        </w:rPr>
        <w:t>, or such other address or account as the Administrative Agent may from time to time notify to the Borrower and the Lenders.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has the meaning set forth in Section 9.01.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32" w:name="page133"/>
    <w:bookmarkEnd w:id="13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has the meaning assigned to such term by Section 9.16.</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means each of Euro, Sterling, Norwegian Kroner, Swedish Kronor, Danish Kroner, Canadian Dollars and each other currency (other than Dollars) that is approved in accordance with Section 1.08.</w:t>
      </w:r>
    </w:p>
    <w:p>
      <w:pPr>
        <w:spacing w:after="0" w:line="170"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Currency Equivalent</w:t>
      </w:r>
      <w:r>
        <w:rPr>
          <w:rFonts w:ascii="Arial" w:cs="Arial" w:eastAsia="Arial" w:hAnsi="Arial"/>
          <w:sz w:val="16"/>
          <w:szCs w:val="16"/>
          <w:color w:val="auto"/>
        </w:rPr>
        <w:t>” means, at any time, with respect to any amount denominated in Dollars, the equivalent amount thereof in the applicable Alternative Currency as determined by the Administrative Agent or the applicable Issuing Bank, as the case may be, at such time on the basis of the Spot Rate (determined in respect of the most recent Revaluation Date) for the purchase of such Alternative Currency with Dollars.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Scheduled Unavailability Date</w:t>
      </w:r>
      <w:r>
        <w:rPr>
          <w:rFonts w:ascii="Arial" w:cs="Arial" w:eastAsia="Arial" w:hAnsi="Arial"/>
          <w:sz w:val="18"/>
          <w:szCs w:val="18"/>
          <w:color w:val="auto"/>
        </w:rPr>
        <w:t>” has the meaning specified in Section 2.12(c)(ii).</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Sublimit</w:t>
      </w:r>
      <w:r>
        <w:rPr>
          <w:rFonts w:ascii="Arial" w:cs="Arial" w:eastAsia="Arial" w:hAnsi="Arial"/>
          <w:sz w:val="18"/>
          <w:szCs w:val="18"/>
          <w:color w:val="auto"/>
        </w:rPr>
        <w:t>” means, subject to Section 2.04(d), (i) in the case of the Revolving A Facility, $452,500,000 and (ii) in the case of the Revolving B Facility, $172,500,000.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Successor Rate</w:t>
      </w:r>
      <w:r>
        <w:rPr>
          <w:rFonts w:ascii="Arial" w:cs="Arial" w:eastAsia="Arial" w:hAnsi="Arial"/>
          <w:sz w:val="18"/>
          <w:szCs w:val="18"/>
          <w:color w:val="auto"/>
        </w:rPr>
        <w:t>” has the meaning specified in Section 2.12(c).</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Foreign Corrupt Practices Act of 1977 (as amended), the UK Bribery Act 2010, and other anti-corruption or anti-bribery laws and regulations applicable to the Borrower or its Subsidiaries from time to time.</w:t>
      </w:r>
    </w:p>
    <w:p>
      <w:pPr>
        <w:spacing w:after="0" w:line="170"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Currency</w:t>
      </w:r>
      <w:r>
        <w:rPr>
          <w:rFonts w:ascii="Arial" w:cs="Arial" w:eastAsia="Arial" w:hAnsi="Arial"/>
          <w:sz w:val="18"/>
          <w:szCs w:val="18"/>
          <w:color w:val="auto"/>
        </w:rPr>
        <w:t>” means Dollars or any Alternative Currency that bears interest at a rate based on an Applicable Reference Rate, as applicable.</w:t>
      </w:r>
    </w:p>
    <w:p>
      <w:pPr>
        <w:spacing w:after="0" w:line="170"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at any time with respect to any Revolving A Lender or any Revolving B Lender, the percentage, rounded to the ninth decimal place, of the aggregate Revolving A Commitments or Revolving B Commitments, respectively, represented by such Revolving A Lender’s or Revolving B Lender’s, as the case may be, Revolving A Commitment or Revolving B Commitment, respectively, at such time. If the Revolving A Commitments have terminated or expired, the Applicable Percentages shall be determined based upon the Revolving A Commitments most recently in effect, giving effect to any assignments of Revolving A Loans and Tranche A LC Exposures that occur after such termination or expiration and to any Lender’s status as a Defaulting Lender at the time of determination. If the Revolving B Commitments have terminated or expired, the Applicable Percentages shall be determined based upon the Revolving B Commitments most recently in effect, giving effect to any assignments of Revolving B Loans and Tranche B LC Exposures that occur after such termination or expiration and to any Lender’s status as a Defaulting Lender at the time of determination.</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from time to time, the following percentages per annum, based upon the Debt Rating as set forth below:</w:t>
      </w:r>
    </w:p>
    <w:p>
      <w:pPr>
        <w:spacing w:after="0" w:line="24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Pricing</w:t>
            </w:r>
          </w:p>
        </w:tc>
        <w:tc>
          <w:tcPr>
            <w:tcW w:w="3320" w:type="dxa"/>
            <w:vAlign w:val="bottom"/>
          </w:tcPr>
          <w:p>
            <w:pPr>
              <w:jc w:val="center"/>
              <w:ind w:left="995"/>
              <w:spacing w:after="0"/>
              <w:rPr>
                <w:sz w:val="20"/>
                <w:szCs w:val="20"/>
                <w:color w:val="auto"/>
              </w:rPr>
            </w:pPr>
            <w:r>
              <w:rPr>
                <w:rFonts w:ascii="Arial" w:cs="Arial" w:eastAsia="Arial" w:hAnsi="Arial"/>
                <w:sz w:val="14"/>
                <w:szCs w:val="14"/>
                <w:b w:val="1"/>
                <w:bCs w:val="1"/>
                <w:color w:val="auto"/>
                <w:w w:val="96"/>
              </w:rPr>
              <w:t>Debt Rating</w:t>
            </w: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1"/>
              </w:rPr>
              <w:t>Facility Fee</w:t>
            </w:r>
          </w:p>
        </w:tc>
        <w:tc>
          <w:tcPr>
            <w:tcW w:w="20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Eurocurrency Loans and</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ABR Loans</w:t>
            </w: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Level</w:t>
            </w:r>
          </w:p>
        </w:tc>
        <w:tc>
          <w:tcPr>
            <w:tcW w:w="3320" w:type="dxa"/>
            <w:vAlign w:val="bottom"/>
          </w:tcPr>
          <w:p>
            <w:pPr>
              <w:jc w:val="center"/>
              <w:ind w:left="995"/>
              <w:spacing w:after="0"/>
              <w:rPr>
                <w:sz w:val="20"/>
                <w:szCs w:val="20"/>
                <w:color w:val="auto"/>
              </w:rPr>
            </w:pPr>
            <w:r>
              <w:rPr>
                <w:rFonts w:ascii="Arial" w:cs="Arial" w:eastAsia="Arial" w:hAnsi="Arial"/>
                <w:sz w:val="14"/>
                <w:szCs w:val="14"/>
                <w:b w:val="1"/>
                <w:bCs w:val="1"/>
                <w:color w:val="auto"/>
                <w:w w:val="97"/>
              </w:rPr>
              <w:t>(S&amp;P/Moody’s)</w:t>
            </w: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0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Letter of Credit Fees</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Borders>
              <w:top w:val="single" w:sz="8" w:color="auto"/>
            </w:tcBorders>
            <w:shd w:val="clear" w:color="auto" w:fill="CCEEFF"/>
          </w:tcPr>
          <w:p>
            <w:pPr>
              <w:jc w:val="center"/>
              <w:ind w:left="35"/>
              <w:spacing w:after="0" w:line="203" w:lineRule="exact"/>
              <w:rPr>
                <w:sz w:val="20"/>
                <w:szCs w:val="20"/>
                <w:color w:val="auto"/>
              </w:rPr>
            </w:pPr>
            <w:r>
              <w:rPr>
                <w:rFonts w:ascii="Arial" w:cs="Arial" w:eastAsia="Arial" w:hAnsi="Arial"/>
                <w:sz w:val="18"/>
                <w:szCs w:val="18"/>
                <w:color w:val="auto"/>
                <w:w w:val="99"/>
              </w:rPr>
              <w:t>1</w:t>
            </w:r>
          </w:p>
        </w:tc>
        <w:tc>
          <w:tcPr>
            <w:tcW w:w="720" w:type="dxa"/>
            <w:vAlign w:val="bottom"/>
            <w:tcBorders>
              <w:top w:val="single" w:sz="8" w:color="CCEEFF"/>
            </w:tcBorders>
            <w:shd w:val="clear" w:color="auto" w:fill="CCEEFF"/>
          </w:tcPr>
          <w:p>
            <w:pPr>
              <w:spacing w:after="0"/>
              <w:rPr>
                <w:sz w:val="17"/>
                <w:szCs w:val="17"/>
                <w:color w:val="auto"/>
              </w:rPr>
            </w:pPr>
          </w:p>
        </w:tc>
        <w:tc>
          <w:tcPr>
            <w:tcW w:w="3320" w:type="dxa"/>
            <w:vAlign w:val="bottom"/>
            <w:tcBorders>
              <w:top w:val="single" w:sz="8" w:color="auto"/>
            </w:tcBorders>
            <w:shd w:val="clear" w:color="auto" w:fill="CCEEFF"/>
          </w:tcPr>
          <w:p>
            <w:pPr>
              <w:jc w:val="center"/>
              <w:ind w:left="995"/>
              <w:spacing w:after="0" w:line="203" w:lineRule="exact"/>
              <w:rPr>
                <w:sz w:val="20"/>
                <w:szCs w:val="20"/>
                <w:color w:val="auto"/>
              </w:rPr>
            </w:pPr>
            <w:r>
              <w:rPr>
                <w:rFonts w:ascii="Arial" w:cs="Arial" w:eastAsia="Arial" w:hAnsi="Arial"/>
                <w:sz w:val="18"/>
                <w:szCs w:val="18"/>
                <w:color w:val="auto"/>
              </w:rPr>
              <w:t>³A-/A3</w:t>
            </w:r>
          </w:p>
        </w:tc>
        <w:tc>
          <w:tcPr>
            <w:tcW w:w="10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0.125%</w:t>
            </w:r>
          </w:p>
        </w:tc>
        <w:tc>
          <w:tcPr>
            <w:tcW w:w="5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0.875%</w:t>
            </w:r>
          </w:p>
        </w:tc>
        <w:tc>
          <w:tcPr>
            <w:tcW w:w="5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0.000%</w:t>
            </w:r>
          </w:p>
        </w:tc>
        <w:tc>
          <w:tcPr>
            <w:tcW w:w="0" w:type="dxa"/>
            <w:vAlign w:val="bottom"/>
          </w:tcPr>
          <w:p>
            <w:pPr>
              <w:spacing w:after="0"/>
              <w:rPr>
                <w:sz w:val="1"/>
                <w:szCs w:val="1"/>
                <w:color w:val="auto"/>
              </w:rPr>
            </w:pPr>
          </w:p>
        </w:tc>
      </w:tr>
      <w:tr>
        <w:trPr>
          <w:trHeight w:val="216"/>
        </w:trPr>
        <w:tc>
          <w:tcPr>
            <w:tcW w:w="340" w:type="dxa"/>
            <w:vAlign w:val="bottom"/>
          </w:tcPr>
          <w:p>
            <w:pPr>
              <w:jc w:val="center"/>
              <w:ind w:left="35"/>
              <w:spacing w:after="0"/>
              <w:rPr>
                <w:sz w:val="20"/>
                <w:szCs w:val="20"/>
                <w:color w:val="auto"/>
              </w:rPr>
            </w:pPr>
            <w:r>
              <w:rPr>
                <w:rFonts w:ascii="Arial" w:cs="Arial" w:eastAsia="Arial" w:hAnsi="Arial"/>
                <w:sz w:val="18"/>
                <w:szCs w:val="18"/>
                <w:color w:val="auto"/>
                <w:w w:val="99"/>
              </w:rPr>
              <w:t>2</w:t>
            </w:r>
          </w:p>
        </w:tc>
        <w:tc>
          <w:tcPr>
            <w:tcW w:w="720" w:type="dxa"/>
            <w:vAlign w:val="bottom"/>
          </w:tcPr>
          <w:p>
            <w:pPr>
              <w:spacing w:after="0"/>
              <w:rPr>
                <w:sz w:val="18"/>
                <w:szCs w:val="18"/>
                <w:color w:val="auto"/>
              </w:rPr>
            </w:pPr>
          </w:p>
        </w:tc>
        <w:tc>
          <w:tcPr>
            <w:tcW w:w="3320" w:type="dxa"/>
            <w:vAlign w:val="bottom"/>
          </w:tcPr>
          <w:p>
            <w:pPr>
              <w:jc w:val="center"/>
              <w:ind w:left="995"/>
              <w:spacing w:after="0"/>
              <w:rPr>
                <w:sz w:val="20"/>
                <w:szCs w:val="20"/>
                <w:color w:val="auto"/>
              </w:rPr>
            </w:pPr>
            <w:r>
              <w:rPr>
                <w:rFonts w:ascii="Arial" w:cs="Arial" w:eastAsia="Arial" w:hAnsi="Arial"/>
                <w:sz w:val="18"/>
                <w:szCs w:val="18"/>
                <w:color w:val="auto"/>
                <w:w w:val="92"/>
              </w:rPr>
              <w:t>BBB+ / Baa1</w:t>
            </w:r>
          </w:p>
        </w:tc>
        <w:tc>
          <w:tcPr>
            <w:tcW w:w="2420" w:type="dxa"/>
            <w:vAlign w:val="bottom"/>
            <w:gridSpan w:val="3"/>
          </w:tcPr>
          <w:p>
            <w:pPr>
              <w:jc w:val="center"/>
              <w:ind w:left="1630"/>
              <w:spacing w:after="0"/>
              <w:rPr>
                <w:sz w:val="20"/>
                <w:szCs w:val="20"/>
                <w:color w:val="auto"/>
              </w:rPr>
            </w:pPr>
            <w:r>
              <w:rPr>
                <w:rFonts w:ascii="Arial" w:cs="Arial" w:eastAsia="Arial" w:hAnsi="Arial"/>
                <w:sz w:val="18"/>
                <w:szCs w:val="18"/>
                <w:color w:val="auto"/>
                <w:w w:val="88"/>
              </w:rPr>
              <w:t>0.150%</w:t>
            </w:r>
          </w:p>
        </w:tc>
        <w:tc>
          <w:tcPr>
            <w:tcW w:w="5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0.975%</w:t>
            </w:r>
          </w:p>
        </w:tc>
        <w:tc>
          <w:tcPr>
            <w:tcW w:w="5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0.000%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9"/>
              </w:rPr>
              <w:t>3</w:t>
            </w:r>
          </w:p>
        </w:tc>
        <w:tc>
          <w:tcPr>
            <w:tcW w:w="720" w:type="dxa"/>
            <w:vAlign w:val="bottom"/>
            <w:shd w:val="clear" w:color="auto" w:fill="CCEEFF"/>
          </w:tcPr>
          <w:p>
            <w:pPr>
              <w:spacing w:after="0"/>
              <w:rPr>
                <w:sz w:val="18"/>
                <w:szCs w:val="18"/>
                <w:color w:val="auto"/>
              </w:rPr>
            </w:pPr>
          </w:p>
        </w:tc>
        <w:tc>
          <w:tcPr>
            <w:tcW w:w="3320" w:type="dxa"/>
            <w:vAlign w:val="bottom"/>
            <w:shd w:val="clear" w:color="auto" w:fill="CCEEFF"/>
          </w:tcPr>
          <w:p>
            <w:pPr>
              <w:jc w:val="center"/>
              <w:ind w:left="995"/>
              <w:spacing w:after="0"/>
              <w:rPr>
                <w:sz w:val="20"/>
                <w:szCs w:val="20"/>
                <w:color w:val="auto"/>
              </w:rPr>
            </w:pPr>
            <w:r>
              <w:rPr>
                <w:rFonts w:ascii="Arial" w:cs="Arial" w:eastAsia="Arial" w:hAnsi="Arial"/>
                <w:sz w:val="18"/>
                <w:szCs w:val="18"/>
                <w:color w:val="auto"/>
                <w:w w:val="94"/>
              </w:rPr>
              <w:t>BBB / Baa2</w:t>
            </w:r>
          </w:p>
        </w:tc>
        <w:tc>
          <w:tcPr>
            <w:tcW w:w="2420" w:type="dxa"/>
            <w:vAlign w:val="bottom"/>
            <w:gridSpan w:val="3"/>
            <w:shd w:val="clear" w:color="auto" w:fill="CCEEFF"/>
          </w:tcPr>
          <w:p>
            <w:pPr>
              <w:jc w:val="center"/>
              <w:ind w:left="1630"/>
              <w:spacing w:after="0"/>
              <w:rPr>
                <w:sz w:val="20"/>
                <w:szCs w:val="20"/>
                <w:color w:val="auto"/>
              </w:rPr>
            </w:pPr>
            <w:r>
              <w:rPr>
                <w:rFonts w:ascii="Arial" w:cs="Arial" w:eastAsia="Arial" w:hAnsi="Arial"/>
                <w:sz w:val="18"/>
                <w:szCs w:val="18"/>
                <w:color w:val="auto"/>
                <w:w w:val="88"/>
              </w:rPr>
              <w:t>0.200%</w:t>
            </w:r>
          </w:p>
        </w:tc>
        <w:tc>
          <w:tcPr>
            <w:tcW w:w="5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1.050%</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0.050%</w:t>
            </w:r>
          </w:p>
        </w:tc>
        <w:tc>
          <w:tcPr>
            <w:tcW w:w="0" w:type="dxa"/>
            <w:vAlign w:val="bottom"/>
          </w:tcPr>
          <w:p>
            <w:pPr>
              <w:spacing w:after="0"/>
              <w:rPr>
                <w:sz w:val="1"/>
                <w:szCs w:val="1"/>
                <w:color w:val="auto"/>
              </w:rPr>
            </w:pPr>
          </w:p>
        </w:tc>
      </w:tr>
      <w:tr>
        <w:trPr>
          <w:trHeight w:val="216"/>
        </w:trPr>
        <w:tc>
          <w:tcPr>
            <w:tcW w:w="340" w:type="dxa"/>
            <w:vAlign w:val="bottom"/>
          </w:tcPr>
          <w:p>
            <w:pPr>
              <w:jc w:val="center"/>
              <w:ind w:left="35"/>
              <w:spacing w:after="0"/>
              <w:rPr>
                <w:sz w:val="20"/>
                <w:szCs w:val="20"/>
                <w:color w:val="auto"/>
              </w:rPr>
            </w:pPr>
            <w:r>
              <w:rPr>
                <w:rFonts w:ascii="Arial" w:cs="Arial" w:eastAsia="Arial" w:hAnsi="Arial"/>
                <w:sz w:val="18"/>
                <w:szCs w:val="18"/>
                <w:color w:val="auto"/>
                <w:w w:val="99"/>
              </w:rPr>
              <w:t>4</w:t>
            </w:r>
          </w:p>
        </w:tc>
        <w:tc>
          <w:tcPr>
            <w:tcW w:w="720" w:type="dxa"/>
            <w:vAlign w:val="bottom"/>
          </w:tcPr>
          <w:p>
            <w:pPr>
              <w:spacing w:after="0"/>
              <w:rPr>
                <w:sz w:val="18"/>
                <w:szCs w:val="18"/>
                <w:color w:val="auto"/>
              </w:rPr>
            </w:pPr>
          </w:p>
        </w:tc>
        <w:tc>
          <w:tcPr>
            <w:tcW w:w="3320" w:type="dxa"/>
            <w:vAlign w:val="bottom"/>
          </w:tcPr>
          <w:p>
            <w:pPr>
              <w:jc w:val="center"/>
              <w:ind w:left="995"/>
              <w:spacing w:after="0"/>
              <w:rPr>
                <w:sz w:val="20"/>
                <w:szCs w:val="20"/>
                <w:color w:val="auto"/>
              </w:rPr>
            </w:pPr>
            <w:r>
              <w:rPr>
                <w:rFonts w:ascii="Arial" w:cs="Arial" w:eastAsia="Arial" w:hAnsi="Arial"/>
                <w:sz w:val="18"/>
                <w:szCs w:val="18"/>
                <w:color w:val="auto"/>
                <w:w w:val="92"/>
              </w:rPr>
              <w:t>BBB- / Baa3</w:t>
            </w:r>
          </w:p>
        </w:tc>
        <w:tc>
          <w:tcPr>
            <w:tcW w:w="2420" w:type="dxa"/>
            <w:vAlign w:val="bottom"/>
            <w:gridSpan w:val="3"/>
          </w:tcPr>
          <w:p>
            <w:pPr>
              <w:jc w:val="center"/>
              <w:ind w:left="1630"/>
              <w:spacing w:after="0"/>
              <w:rPr>
                <w:sz w:val="20"/>
                <w:szCs w:val="20"/>
                <w:color w:val="auto"/>
              </w:rPr>
            </w:pPr>
            <w:r>
              <w:rPr>
                <w:rFonts w:ascii="Arial" w:cs="Arial" w:eastAsia="Arial" w:hAnsi="Arial"/>
                <w:sz w:val="18"/>
                <w:szCs w:val="18"/>
                <w:color w:val="auto"/>
                <w:w w:val="88"/>
              </w:rPr>
              <w:t>0.250%</w:t>
            </w:r>
          </w:p>
        </w:tc>
        <w:tc>
          <w:tcPr>
            <w:tcW w:w="5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1.250%</w:t>
            </w:r>
          </w:p>
        </w:tc>
        <w:tc>
          <w:tcPr>
            <w:tcW w:w="5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0.250%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9"/>
              </w:rPr>
              <w:t>5</w:t>
            </w:r>
          </w:p>
        </w:tc>
        <w:tc>
          <w:tcPr>
            <w:tcW w:w="720" w:type="dxa"/>
            <w:vAlign w:val="bottom"/>
            <w:shd w:val="clear" w:color="auto" w:fill="CCEEFF"/>
          </w:tcPr>
          <w:p>
            <w:pPr>
              <w:spacing w:after="0"/>
              <w:rPr>
                <w:sz w:val="18"/>
                <w:szCs w:val="18"/>
                <w:color w:val="auto"/>
              </w:rPr>
            </w:pPr>
          </w:p>
        </w:tc>
        <w:tc>
          <w:tcPr>
            <w:tcW w:w="3320" w:type="dxa"/>
            <w:vAlign w:val="bottom"/>
            <w:shd w:val="clear" w:color="auto" w:fill="CCEEFF"/>
          </w:tcPr>
          <w:p>
            <w:pPr>
              <w:jc w:val="center"/>
              <w:ind w:left="995"/>
              <w:spacing w:after="0"/>
              <w:rPr>
                <w:sz w:val="20"/>
                <w:szCs w:val="20"/>
                <w:color w:val="auto"/>
              </w:rPr>
            </w:pPr>
            <w:r>
              <w:rPr>
                <w:rFonts w:ascii="Arial" w:cs="Arial" w:eastAsia="Arial" w:hAnsi="Arial"/>
                <w:sz w:val="18"/>
                <w:szCs w:val="18"/>
                <w:color w:val="auto"/>
                <w:w w:val="94"/>
              </w:rPr>
              <w:t>&lt; BBB- / Baa3</w:t>
            </w:r>
          </w:p>
        </w:tc>
        <w:tc>
          <w:tcPr>
            <w:tcW w:w="2420" w:type="dxa"/>
            <w:vAlign w:val="bottom"/>
            <w:gridSpan w:val="3"/>
            <w:shd w:val="clear" w:color="auto" w:fill="CCEEFF"/>
          </w:tcPr>
          <w:p>
            <w:pPr>
              <w:jc w:val="center"/>
              <w:ind w:left="1630"/>
              <w:spacing w:after="0"/>
              <w:rPr>
                <w:sz w:val="20"/>
                <w:szCs w:val="20"/>
                <w:color w:val="auto"/>
              </w:rPr>
            </w:pPr>
            <w:r>
              <w:rPr>
                <w:rFonts w:ascii="Arial" w:cs="Arial" w:eastAsia="Arial" w:hAnsi="Arial"/>
                <w:sz w:val="18"/>
                <w:szCs w:val="18"/>
                <w:color w:val="auto"/>
                <w:w w:val="88"/>
              </w:rPr>
              <w:t>0.350%</w:t>
            </w:r>
          </w:p>
        </w:tc>
        <w:tc>
          <w:tcPr>
            <w:tcW w:w="5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1.400%</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0.400%</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4" w:right="479" w:bottom="1440" w:gutter="0" w:footer="0" w:header="0"/>
        </w:sectPr>
      </w:pPr>
    </w:p>
    <w:bookmarkStart w:id="133" w:name="page134"/>
    <w:bookmarkEnd w:id="133"/>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Initially, the Applicable Rate shall be determined based upon Pricing Level 3. Thereafter, each change in the Applicable Rate resulting from a publicly announced change in the Debt Rating shall be effective, in the case of an upgrade, during the period commencing on the date of the public announcement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w:t>
      </w:r>
    </w:p>
    <w:p>
      <w:pPr>
        <w:spacing w:after="0" w:line="188" w:lineRule="exact"/>
        <w:rPr>
          <w:sz w:val="20"/>
          <w:szCs w:val="20"/>
          <w:color w:val="auto"/>
        </w:rPr>
      </w:pPr>
    </w:p>
    <w:p>
      <w:pPr>
        <w:jc w:val="both"/>
        <w:ind w:right="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Reference Rate</w:t>
      </w:r>
      <w:r>
        <w:rPr>
          <w:rFonts w:ascii="Arial" w:cs="Arial" w:eastAsia="Arial" w:hAnsi="Arial"/>
          <w:sz w:val="16"/>
          <w:szCs w:val="16"/>
          <w:color w:val="auto"/>
        </w:rPr>
        <w:t>” means, for any Eurocurrency Loan denominated in Dollars or Sterling, LIBOR, for any Eurocurrency Loan in Euro, EURIBOR, for any Eurocurrency Loan denominated in Swedish Krona, STIBOR, for any Eurocurrency Loan denominated in Danish Kroner, CIBOR, for any Eurocurrency Loan denominated in Norwegian Kroner, NIBOR and for any Eurocurrency Loan denominated in Canadian Dollars, the CDOR.</w:t>
      </w:r>
    </w:p>
    <w:p>
      <w:pPr>
        <w:spacing w:after="0" w:line="14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BofA Securities, Inc., JPMorgan Chase Bank, N.A., Goldman Sachs Bank USA, Morgan Stanley Senior Funding, Inc., Mizuho Bank, LTD., Nordea Bank ABP, New York Branch, Skandinaviska Enskilda Banken AB (publ) and Wells Fargo Securities LLC, each in its capacity as a joint lead arranger for the Facilities.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w:t>
      </w:r>
      <w:r>
        <w:rPr>
          <w:rFonts w:ascii="Arial" w:cs="Arial" w:eastAsia="Arial" w:hAnsi="Arial"/>
          <w:sz w:val="18"/>
          <w:szCs w:val="18"/>
          <w:color w:val="auto"/>
        </w:rPr>
        <w:t>” has the meaning assigned to such term in Section 6.05.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Tax</w:t>
      </w:r>
      <w:r>
        <w:rPr>
          <w:rFonts w:ascii="Arial" w:cs="Arial" w:eastAsia="Arial" w:hAnsi="Arial"/>
          <w:sz w:val="18"/>
          <w:szCs w:val="18"/>
          <w:color w:val="auto"/>
        </w:rPr>
        <w:t>” has the meaning specified in the definition of Other Taxes.</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Section 9.04),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(including electronic documentation generated by use of an electronic platform) approved by the Administrative Agent.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Auto-Renewal Letter of Credit</w:t>
      </w:r>
      <w:r>
        <w:rPr>
          <w:rFonts w:ascii="Arial" w:cs="Arial" w:eastAsia="Arial" w:hAnsi="Arial"/>
          <w:sz w:val="18"/>
          <w:szCs w:val="18"/>
          <w:color w:val="auto"/>
        </w:rPr>
        <w:t>” has the meaning set forth in Section 2.05(a)(vii).</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22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for any day, a fluctuating rate per annum equal to the highest of (a) the Federal Funds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1/2 of 1%, (b) the Eurocurrency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 and (c) the rate of interest in effect for such day as publicly announced from time to time by Bank of America as its “prime rate.”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34" w:name="page135"/>
    <w:bookmarkEnd w:id="1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§1010.230.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Borrower or, other than for purposes of the definitions of Change of Control and Continuing Directors, any duly authorized committee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has the meaning set forth in Section 5.01.</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Loans of the same Class and Type, made, converted or continued on the same date and, in the case of Eurocurrency Loans, as to which a single Interest Period is in effect.</w:t>
      </w:r>
    </w:p>
    <w:p>
      <w:pPr>
        <w:spacing w:after="0" w:line="170"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Request</w:t>
      </w:r>
      <w:r>
        <w:rPr>
          <w:rFonts w:ascii="Arial" w:cs="Arial" w:eastAsia="Arial" w:hAnsi="Arial"/>
          <w:sz w:val="16"/>
          <w:szCs w:val="16"/>
          <w:color w:val="auto"/>
        </w:rPr>
        <w:t xml:space="preserve">” means a request by the Borrower for a Borrowing in accordance with Section 2.03 which, if in writing, shall be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49"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Broker-Dealer Subsidiary</w:t>
      </w:r>
      <w:r>
        <w:rPr>
          <w:rFonts w:ascii="Arial" w:cs="Arial" w:eastAsia="Arial" w:hAnsi="Arial"/>
          <w:sz w:val="18"/>
          <w:szCs w:val="18"/>
          <w:color w:val="auto"/>
        </w:rPr>
        <w:t>” means any Subsidiary that is registered as a broker-dealer pursuant to Section 15 of the Exchange Act (as in effect from time to time) or that is regulated as a broker-dealer or underwriter under any foreign securities law.</w:t>
      </w:r>
    </w:p>
    <w:p>
      <w:pPr>
        <w:spacing w:after="0" w:line="170"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rules, regulations, ordinances, codes or administrative or judicial authorities of, or in fact are closed in, (a) New York City, (b) Stockholm, Sweden (solely with respect to notices of borrowing under Section 2.03) or (c) the state in the United States where the Administrative Agent’s Office with respect to Obligations denominated in Dollars is located and:</w:t>
      </w:r>
    </w:p>
    <w:p>
      <w:pPr>
        <w:spacing w:after="0" w:line="79" w:lineRule="exact"/>
        <w:rPr>
          <w:sz w:val="20"/>
          <w:szCs w:val="20"/>
          <w:color w:val="auto"/>
        </w:rPr>
      </w:pPr>
    </w:p>
    <w:p>
      <w:pPr>
        <w:ind w:left="440" w:firstLine="419"/>
        <w:spacing w:after="0" w:line="259" w:lineRule="auto"/>
        <w:tabs>
          <w:tab w:leader="none" w:pos="110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Loan denominated in Dollars, any fundings, disbursements, settlements and payments in Dollars in respect of any such Eurocurrency Loan, or any other dealings in Dollars to be carried out pursuant to this Agreement in respect of any such Eurocurrency Loan, means any such day on which dealings in deposits in Dollars are conducted by and between banks in the London interbank eurodollar market;</w:t>
      </w:r>
    </w:p>
    <w:p>
      <w:pPr>
        <w:spacing w:after="0" w:line="78" w:lineRule="exact"/>
        <w:rPr>
          <w:rFonts w:ascii="Arial" w:cs="Arial" w:eastAsia="Arial" w:hAnsi="Arial"/>
          <w:sz w:val="18"/>
          <w:szCs w:val="18"/>
          <w:color w:val="auto"/>
        </w:rPr>
      </w:pPr>
    </w:p>
    <w:p>
      <w:pPr>
        <w:ind w:left="440" w:right="40" w:firstLine="419"/>
        <w:spacing w:after="0" w:line="263" w:lineRule="auto"/>
        <w:tabs>
          <w:tab w:leader="none" w:pos="111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Loan denominated in Euro, any fundings, disbursements, settlements and payments in Euro in respect of any such Eurocurrency Loan, or any other dealings in Euro to be carried out pursuant to this Agreement in respect of any such Eurocurrency Loan, means a TARGET Day;</w:t>
      </w:r>
    </w:p>
    <w:p>
      <w:pPr>
        <w:spacing w:after="0" w:line="75" w:lineRule="exact"/>
        <w:rPr>
          <w:rFonts w:ascii="Arial" w:cs="Arial" w:eastAsia="Arial" w:hAnsi="Arial"/>
          <w:sz w:val="18"/>
          <w:szCs w:val="18"/>
          <w:color w:val="auto"/>
        </w:rPr>
      </w:pPr>
    </w:p>
    <w:p>
      <w:pPr>
        <w:ind w:left="440" w:right="220" w:firstLine="419"/>
        <w:spacing w:after="0" w:line="263" w:lineRule="auto"/>
        <w:tabs>
          <w:tab w:leader="none" w:pos="110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Loan denominated in a currency other than Dollars or Euro, means any such day on which dealings in deposits in the relevant currency are conducted by and between banks in the London or other applicable offshore interbank market for such currency;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35" w:name="page136"/>
    <w:bookmarkEnd w:id="135"/>
    <w:p>
      <w:pPr>
        <w:ind w:left="440" w:right="200" w:firstLine="419"/>
        <w:spacing w:after="0" w:line="279" w:lineRule="auto"/>
        <w:tabs>
          <w:tab w:leader="none" w:pos="1118" w:val="left"/>
        </w:tabs>
        <w:numPr>
          <w:ilvl w:val="0"/>
          <w:numId w:val="1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such day relates to any fundings, disbursements, settlements and payments in a currency other than Dollars or Euro in respect of a Eurocurrency Loan denominated in a currency other than Dollars or Euro, or any other dealings in any currency other than Dollars or Euro to be carried out pursuant to this Agreement in respect of any such Eurocurrency Loan (other than any interest rate settings), means any such day on which banks are open for foreign exchange business in the principal financial center of the country of such currency.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means the lawful currency of Canada.</w:t>
      </w:r>
    </w:p>
    <w:p>
      <w:pPr>
        <w:spacing w:after="0" w:line="225" w:lineRule="exact"/>
        <w:rPr>
          <w:sz w:val="20"/>
          <w:szCs w:val="20"/>
          <w:color w:val="auto"/>
        </w:rPr>
      </w:pPr>
    </w:p>
    <w:p>
      <w:pPr>
        <w:ind w:right="24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 Obligations</w:t>
      </w:r>
      <w:r>
        <w:rPr>
          <w:rFonts w:ascii="Arial" w:cs="Arial" w:eastAsia="Arial" w:hAnsi="Arial"/>
          <w:sz w:val="16"/>
          <w:szCs w:val="16"/>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It is understood that with respect to the accounting for leases as either operating leases or capital leases and the impact of such accounting on the definitions and covenants herein, GAAP as in effect on the Closing Date shall be applied.</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w:t>
      </w:r>
      <w:r>
        <w:rPr>
          <w:rFonts w:ascii="Arial" w:cs="Arial" w:eastAsia="Arial" w:hAnsi="Arial"/>
          <w:sz w:val="18"/>
          <w:szCs w:val="18"/>
          <w:color w:val="auto"/>
        </w:rPr>
        <w:t>” has the meaning set forth in Section 2.05(e).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has the meaning set forth in Section 2.05(e).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any of the following types of investments:</w:t>
      </w:r>
    </w:p>
    <w:p>
      <w:pPr>
        <w:spacing w:after="0" w:line="117" w:lineRule="exact"/>
        <w:rPr>
          <w:sz w:val="20"/>
          <w:szCs w:val="20"/>
          <w:color w:val="auto"/>
        </w:rPr>
      </w:pPr>
    </w:p>
    <w:p>
      <w:pPr>
        <w:ind w:left="440" w:right="180" w:firstLine="419"/>
        <w:spacing w:after="0" w:line="263" w:lineRule="auto"/>
        <w:tabs>
          <w:tab w:leader="none" w:pos="110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full faith and credit of the United States of America is pledged in support thereof;</w:t>
      </w:r>
    </w:p>
    <w:p>
      <w:pPr>
        <w:spacing w:after="0" w:line="75" w:lineRule="exact"/>
        <w:rPr>
          <w:rFonts w:ascii="Arial" w:cs="Arial" w:eastAsia="Arial" w:hAnsi="Arial"/>
          <w:sz w:val="18"/>
          <w:szCs w:val="18"/>
          <w:color w:val="auto"/>
        </w:rPr>
      </w:pPr>
    </w:p>
    <w:p>
      <w:pPr>
        <w:ind w:left="440" w:right="20" w:firstLine="419"/>
        <w:spacing w:after="0" w:line="286" w:lineRule="auto"/>
        <w:tabs>
          <w:tab w:leader="none" w:pos="1118"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(c) of this definition and</w:t>
      </w:r>
    </w:p>
    <w:p>
      <w:pPr>
        <w:spacing w:after="0" w:line="1" w:lineRule="exact"/>
        <w:rPr>
          <w:rFonts w:ascii="Arial" w:cs="Arial" w:eastAsia="Arial" w:hAnsi="Arial"/>
          <w:sz w:val="16"/>
          <w:szCs w:val="16"/>
          <w:color w:val="auto"/>
        </w:rPr>
      </w:pPr>
    </w:p>
    <w:p>
      <w:pPr>
        <w:ind w:left="440" w:right="840" w:hanging="4"/>
        <w:spacing w:after="0" w:line="260" w:lineRule="auto"/>
        <w:tabs>
          <w:tab w:leader="none" w:pos="7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has combined capital and surplus of at least $1,000,000,000, in each case with maturities of not more than 90 days from the date of acquisition thereof;</w:t>
      </w:r>
    </w:p>
    <w:p>
      <w:pPr>
        <w:spacing w:after="0" w:line="77" w:lineRule="exact"/>
        <w:rPr>
          <w:rFonts w:ascii="Arial" w:cs="Arial" w:eastAsia="Arial" w:hAnsi="Arial"/>
          <w:sz w:val="18"/>
          <w:szCs w:val="18"/>
          <w:color w:val="auto"/>
        </w:rPr>
      </w:pPr>
    </w:p>
    <w:p>
      <w:pPr>
        <w:ind w:left="440" w:right="180" w:firstLine="419"/>
        <w:spacing w:after="0" w:line="263" w:lineRule="auto"/>
        <w:tabs>
          <w:tab w:leader="none" w:pos="110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commercial paper issued by any Person organized under the laws of any state of the United States of America and rated, at the time of acquisition thereof, at least “Prime-1” (or the then equivalent grade) by Moody’s or at least “A-1” (or the then equivalent grade) by S&amp;P, in each case with maturities of not more than 180 days from the date of acquisition thereof;</w:t>
      </w:r>
    </w:p>
    <w:p>
      <w:pPr>
        <w:spacing w:after="0" w:line="75" w:lineRule="exact"/>
        <w:rPr>
          <w:rFonts w:ascii="Arial" w:cs="Arial" w:eastAsia="Arial" w:hAnsi="Arial"/>
          <w:sz w:val="18"/>
          <w:szCs w:val="18"/>
          <w:color w:val="auto"/>
        </w:rPr>
      </w:pPr>
    </w:p>
    <w:p>
      <w:pPr>
        <w:ind w:left="440" w:firstLine="419"/>
        <w:spacing w:after="0" w:line="259" w:lineRule="auto"/>
        <w:tabs>
          <w:tab w:leader="none" w:pos="111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investments, classified in accordance with GAAP as current assets of the Borrower or any of its Subsidiaries, in money market investment programs registered under the Investment Company Act of 1940, which are administered by financial institutions that, at the time of acquisition thereof, have the highest rating obtainable from either Moody’s or S&amp;P, and the portfolios of which are limited solely to investments of the character, quality and maturity described in clauses (a), (b) and (c) of this definition; and</w:t>
      </w:r>
    </w:p>
    <w:p>
      <w:pPr>
        <w:spacing w:after="0" w:line="78" w:lineRule="exact"/>
        <w:rPr>
          <w:rFonts w:ascii="Arial" w:cs="Arial" w:eastAsia="Arial" w:hAnsi="Arial"/>
          <w:sz w:val="18"/>
          <w:szCs w:val="18"/>
          <w:color w:val="auto"/>
        </w:rPr>
      </w:pPr>
    </w:p>
    <w:p>
      <w:pPr>
        <w:ind w:left="1100" w:hanging="241"/>
        <w:spacing w:after="0"/>
        <w:tabs>
          <w:tab w:leader="none" w:pos="11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such other investments as may be agreed to from time to time between the Borrower and the Administrative Agent.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36" w:name="page137"/>
    <w:bookmarkEnd w:id="1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Certain Funds Period</w:t>
      </w:r>
      <w:r>
        <w:rPr>
          <w:rFonts w:ascii="Arial" w:cs="Arial" w:eastAsia="Arial" w:hAnsi="Arial"/>
          <w:sz w:val="18"/>
          <w:szCs w:val="18"/>
          <w:color w:val="auto"/>
        </w:rPr>
        <w:t>” has the meaning specified in Section 4.04(a).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117" w:lineRule="exact"/>
        <w:rPr>
          <w:sz w:val="20"/>
          <w:szCs w:val="20"/>
          <w:color w:val="auto"/>
        </w:rPr>
      </w:pPr>
    </w:p>
    <w:p>
      <w:pPr>
        <w:ind w:left="440" w:firstLine="419"/>
        <w:spacing w:after="0" w:line="296" w:lineRule="auto"/>
        <w:tabs>
          <w:tab w:leader="none" w:pos="1108"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becomes the “beneficial owner” (as defined in Rules 13d-3 and 13d-5 under the Exchange Act), directly or indirectly, of Equity Interests in the Borrower representing either more than 35% of the aggregate ordinary voting power (it being understood that to the extent that Equity Interests in the Borrower held by any such person or group are disregarded for ordinary voting purposes pursuant to the terms of the Borrower’s Organizational Documents, such Equity Interests shall not be included for purposes of determining whether the threshold set forth in this subclause (a) has been met); or</w:t>
      </w:r>
    </w:p>
    <w:p>
      <w:pPr>
        <w:spacing w:after="0" w:line="53" w:lineRule="exact"/>
        <w:rPr>
          <w:rFonts w:ascii="Arial" w:cs="Arial" w:eastAsia="Arial" w:hAnsi="Arial"/>
          <w:sz w:val="16"/>
          <w:szCs w:val="16"/>
          <w:color w:val="auto"/>
        </w:rPr>
      </w:pPr>
    </w:p>
    <w:p>
      <w:pPr>
        <w:ind w:left="440" w:right="400" w:firstLine="419"/>
        <w:spacing w:after="0" w:line="277" w:lineRule="auto"/>
        <w:tabs>
          <w:tab w:leader="none" w:pos="111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occupation of a majority of the seats (other than vacant seats) on the Board of Directors of the Borrower by Persons who are not Continuing Directors; or</w:t>
      </w:r>
    </w:p>
    <w:p>
      <w:pPr>
        <w:spacing w:after="0" w:line="62" w:lineRule="exact"/>
        <w:rPr>
          <w:rFonts w:ascii="Arial" w:cs="Arial" w:eastAsia="Arial" w:hAnsi="Arial"/>
          <w:sz w:val="18"/>
          <w:szCs w:val="18"/>
          <w:color w:val="auto"/>
        </w:rPr>
      </w:pPr>
    </w:p>
    <w:p>
      <w:pPr>
        <w:ind w:left="440" w:right="40" w:firstLine="419"/>
        <w:spacing w:after="0" w:line="277" w:lineRule="auto"/>
        <w:tabs>
          <w:tab w:leader="none" w:pos="110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occurrence of a “Change in Control” (or similar event, however denominated), as defined in any indenture or agreement in respect of Material Indebtedness of the Borrower or any Subsidiary.</w:t>
      </w:r>
    </w:p>
    <w:p>
      <w:pPr>
        <w:spacing w:after="0" w:line="170"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Issuing Bank (or, for purposes of Section 2.13(b), by any lending office of such Lender or by such Lender’s or Issuing Bank’s holding company, if any) with any request, guideline or directive (whether or not having the force of law) of any Governmental Authority made or issued after the date of this Agreement. It is understood and agreed that (x) the Dodd-Frank Wall Street Reform and Consumer Protection Act and all requests, rules, guidelines and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has the meaning set forth in Section 9.13.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CIBOR</w:t>
      </w:r>
      <w:r>
        <w:rPr>
          <w:rFonts w:ascii="Arial" w:cs="Arial" w:eastAsia="Arial" w:hAnsi="Arial"/>
          <w:sz w:val="18"/>
          <w:szCs w:val="18"/>
          <w:color w:val="auto"/>
        </w:rPr>
        <w:t>” has the meaning specified in the definition of Eurocurrency Rate.</w:t>
      </w:r>
    </w:p>
    <w:p>
      <w:pPr>
        <w:spacing w:after="0" w:line="225" w:lineRule="exact"/>
        <w:rPr>
          <w:sz w:val="20"/>
          <w:szCs w:val="20"/>
          <w:color w:val="auto"/>
        </w:rPr>
      </w:pPr>
    </w:p>
    <w:p>
      <w:pPr>
        <w:ind w:right="3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(a) when used in reference to any Loan or Borrowing, refers to whether such Loan, or the Loans comprising such Borrowing, are Revolving A Loans or Revolving B Loans, (b) when used in reference to any Commitment, refers to whether such Commitment is a Revolving A Commitment or Revolving B Commitment, and (c) when used in reference to any Lender, refers to whether such Lender has a Loan or Commitment with respect to a particular Class.</w:t>
      </w:r>
    </w:p>
    <w:p>
      <w:pPr>
        <w:spacing w:after="0" w:line="187"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Clearing House</w:t>
      </w:r>
      <w:r>
        <w:rPr>
          <w:rFonts w:ascii="Arial" w:cs="Arial" w:eastAsia="Arial" w:hAnsi="Arial"/>
          <w:sz w:val="17"/>
          <w:szCs w:val="17"/>
          <w:color w:val="auto"/>
        </w:rPr>
        <w:t>” means each Subsidiary of the Borrower that reconciles, settles, adjusts and clears contracts on an exchange of the Borrower or any of its Subsidiaries or any other exchange in respect of which the Borrower or any of its Subsidiaries has equivalent authority, as the case may be, subject, as applicable, to the rules of any exchange which is qualified to clear trades through such Clearing House.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Clearing Member</w:t>
      </w:r>
      <w:r>
        <w:rPr>
          <w:rFonts w:ascii="Arial" w:cs="Arial" w:eastAsia="Arial" w:hAnsi="Arial"/>
          <w:sz w:val="18"/>
          <w:szCs w:val="18"/>
          <w:color w:val="auto"/>
        </w:rPr>
        <w:t>” means a firm qualified to clear trades through any Clearing House.</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37" w:name="page138"/>
    <w:bookmarkEnd w:id="137"/>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Clearing Operations</w:t>
      </w:r>
      <w:r>
        <w:rPr>
          <w:rFonts w:ascii="Arial" w:cs="Arial" w:eastAsia="Arial" w:hAnsi="Arial"/>
          <w:sz w:val="18"/>
          <w:szCs w:val="18"/>
          <w:color w:val="auto"/>
        </w:rPr>
        <w:t>” means the business relating to clearing, depository and settlement operations conducted by any Subsidiary.</w:t>
      </w:r>
    </w:p>
    <w:p>
      <w:pPr>
        <w:spacing w:after="0" w:line="225" w:lineRule="exact"/>
        <w:rPr>
          <w:sz w:val="20"/>
          <w:szCs w:val="20"/>
          <w:color w:val="auto"/>
        </w:rPr>
      </w:pPr>
    </w:p>
    <w:p>
      <w:pPr>
        <w:ind w:left="4"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first Business Day on which the conditions specified in Section 4.01 are satisfied (or waived in accordance with Section 9.02), which date is the date hereof.</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with respect to any Lender, such Lender’s Revolving Commitment.</w:t>
      </w:r>
    </w:p>
    <w:p>
      <w:pPr>
        <w:spacing w:after="0" w:line="225" w:lineRule="exact"/>
        <w:rPr>
          <w:sz w:val="20"/>
          <w:szCs w:val="20"/>
          <w:color w:val="auto"/>
        </w:rPr>
      </w:pPr>
    </w:p>
    <w:p>
      <w:pPr>
        <w:ind w:left="4" w:right="12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for any period, Consolidated Net Income for such period plus (a) without duplication and to the extent deducted in determining such Consolidated Net Income, the sum of (i) consolidated interest expense for such period, (ii) consolidated income tax expense for such period, (iii) all amounts attributable to depreciation and amortization for such period, (iv) any non-cash charges for such period, (v) non-recurring, infrequent or unusual charges incurred during such period, including, without limitation, with respect to restructurings, headcount reductions or other similar actions, including severance charges in respect of employee terminations, costs, expenses or amounts paid in connection with litigation, investigations, fines, settlements and judgments, in an aggregate amount pursuant to this clause (v) not to exceed the greater of (1) $225,000,000 and</w:t>
      </w:r>
    </w:p>
    <w:p>
      <w:pPr>
        <w:spacing w:after="0" w:line="4" w:lineRule="exact"/>
        <w:rPr>
          <w:sz w:val="20"/>
          <w:szCs w:val="20"/>
          <w:color w:val="auto"/>
        </w:rPr>
      </w:pPr>
    </w:p>
    <w:p>
      <w:pPr>
        <w:ind w:left="4" w:right="40" w:hanging="4"/>
        <w:spacing w:after="0" w:line="281" w:lineRule="auto"/>
        <w:tabs>
          <w:tab w:leader="none" w:pos="25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fifteen percent (15.0%) of Consolidated EBITDA for such period (calculated without giving effect to this clause (v) (provided that the amounts added pursuant to this clause (v) and clause (ix) below shall not, together, exceed twenty (20.0%) of Consolidated EBITDA for such period)), (vi) non-cash expenses resulting from the grant of stock options, restricted stock units, performance stock units or other equity-related incentives or benefits to any director, officer or employee of the Borrower or any Subsidiary pursuant to a written plan or agreement approved by the Board of Directors of the Borrower, (vii) non-cash charges attributable to impairment of goodwill or other intangible assets or impairment of long-lived assets, (viii) the aggregate amount of all deferred financing fees and expenses incurred during such period in connection with the Transactions, all non-recurring fees and expenses (excluding interest charges) paid during such period in connection with the Transactions (including, without limitation, fees and expenses incurred in connection with the issuance or extinguishment of debt incurred in connection with the Transactions) and related fees and expenses paid to advisors (but excluding integration and restructuring charges incurred or paid in connection with the Transactions), (ix) integration and restructuring expenses and charges incurred during such period in connection with Acquisitions in an aggregate amount not to exceed the greater of (1) $225,000,000 and</w:t>
      </w:r>
    </w:p>
    <w:p>
      <w:pPr>
        <w:spacing w:after="0" w:line="5" w:lineRule="exact"/>
        <w:rPr>
          <w:rFonts w:ascii="Arial" w:cs="Arial" w:eastAsia="Arial" w:hAnsi="Arial"/>
          <w:sz w:val="16"/>
          <w:szCs w:val="16"/>
          <w:color w:val="auto"/>
        </w:rPr>
      </w:pPr>
    </w:p>
    <w:p>
      <w:pPr>
        <w:ind w:left="4" w:hanging="4"/>
        <w:spacing w:after="0" w:line="267" w:lineRule="auto"/>
        <w:tabs>
          <w:tab w:leader="none" w:pos="259" w:val="left"/>
        </w:tabs>
        <w:numPr>
          <w:ilvl w:val="0"/>
          <w:numId w:val="125"/>
        </w:numPr>
        <w:rPr>
          <w:rFonts w:ascii="Arial" w:cs="Arial" w:eastAsia="Arial" w:hAnsi="Arial"/>
          <w:sz w:val="17"/>
          <w:szCs w:val="17"/>
          <w:color w:val="auto"/>
        </w:rPr>
      </w:pPr>
      <w:r>
        <w:rPr>
          <w:rFonts w:ascii="Arial" w:cs="Arial" w:eastAsia="Arial" w:hAnsi="Arial"/>
          <w:sz w:val="17"/>
          <w:szCs w:val="17"/>
          <w:color w:val="auto"/>
        </w:rPr>
        <w:t>fifteen percent (15.0%) of Consolidated EBITDA for such period (calculated without giving effect to this clause (ix) (provided that the amounts added pursuant to this clause (ix) and clause (v) above shall not, together, exceed twenty (20.0%) of Consolidated EBITDA for such period)), set forth in reasonable detail and certified by a Financial Officer of the Borrower, (x) any costs, fees and expenses incurred in connection with any actual or proposed Acquisition, merger, joint venture, issuance of Equity Interests or Equity Equivalents, issuance or prepayments of Indebtedness, disposition or investment not prohibited hereby, in each case whether or not consummated, and (xi) expenses and charges incurred during such period in connection with natural disasters, catastrophes and other force majeure events, and minus (b) without duplication and to the extent included in determining such Consolidated Net Income, the sum of (i) any cash disbursements during such period that relate to non-cash charges or losses added to Consolidated Net Income pursuant to clause (a)(iv) or (a)(vi) of this definition in any prior period, (ii) any non-recurring gains for such period resulting from natural disasters, catastrophes and other force majeure events (including as a result of the receipt of casualty insurance proceeds), (iii) any non-cash gains for such period, (iv) any income relating to defined benefits pension or post-retirement benefit plans and (v) all gains during such period resulting from the sale or disposition of any asset of the Borrower or any Subsidiary outside the ordinary course of business, all determined on a consolidated basis in accordance with GAAP.</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4" w:right="439" w:bottom="1440" w:gutter="0" w:footer="0" w:header="0"/>
        </w:sectPr>
      </w:pPr>
    </w:p>
    <w:bookmarkStart w:id="138" w:name="page139"/>
    <w:bookmarkEnd w:id="138"/>
    <w:p>
      <w:pPr>
        <w:ind w:right="8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xml:space="preserve">” means, for any period, the net income (or loss) of the Borrower and the Subsidiaries for such period determined on a consolidated basis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be excluded (a) the net income (or loss) of any Subsidiary of the Borrower to the extent that the declaration or payment of dividends or similar distributions by such Subsidiary of such net income is not at the time permitted by operation of the terms of its Organizational Documents or any agreement or instrument (other than a Loan Document) or any Requirement of Law applicable to such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not be excluded from Consolidated Net Income such part of net income that is used or designated as being available to satisfy regulatory capital or liquidity requirements imposed on any Subsidiary of the Borrower by any Governmental Authority or pursuant to any Requirement of Law), and (b) the net income (or loss) of any other Person that is not a Subsidiary of the Borrower (or is accounted for by the Borrower by the equity method of accounting), except to the extent of the amount of cash dividends or other cash distributions actually paid to the Borrower or any Subsidiary (except to the extent the income (or loss) of such Subsidiary would be excluded from Consolidated Net Income pursuant to clause (a) of this proviso) during such period.</w:t>
      </w:r>
    </w:p>
    <w:p>
      <w:pPr>
        <w:spacing w:after="0" w:line="18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w:t>
      </w:r>
      <w:r>
        <w:rPr>
          <w:rFonts w:ascii="Arial" w:cs="Arial" w:eastAsia="Arial" w:hAnsi="Arial"/>
          <w:sz w:val="18"/>
          <w:szCs w:val="18"/>
          <w:color w:val="auto"/>
        </w:rPr>
        <w:t>” means (a) any member of the Board of Directors of the Borrower who was a member of the Board of Directors of the Borrower on the date of this Agreement and (b) any individual who becomes a member of the Board of Directors of the Borrower after the date of this Agreement if such individual was appointed, elected, nominated or approved for election to the Board of Directors of the Borrower with the affirmative vote of at least a majority of the directors then still in office.</w:t>
      </w:r>
    </w:p>
    <w:p>
      <w:pPr>
        <w:spacing w:after="0" w:line="187" w:lineRule="exact"/>
        <w:rPr>
          <w:sz w:val="20"/>
          <w:szCs w:val="20"/>
          <w:color w:val="auto"/>
        </w:rPr>
      </w:pPr>
    </w:p>
    <w:p>
      <w:pPr>
        <w:ind w:right="6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Danish Kroner</w:t>
      </w:r>
      <w:r>
        <w:rPr>
          <w:rFonts w:ascii="Arial" w:cs="Arial" w:eastAsia="Arial" w:hAnsi="Arial"/>
          <w:sz w:val="18"/>
          <w:szCs w:val="18"/>
          <w:color w:val="auto"/>
        </w:rPr>
        <w:t>” means the lawful currency of Denmark.</w:t>
      </w:r>
    </w:p>
    <w:p>
      <w:pPr>
        <w:spacing w:after="0" w:line="225"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Rating</w:t>
      </w:r>
      <w:r>
        <w:rPr>
          <w:rFonts w:ascii="Arial" w:cs="Arial" w:eastAsia="Arial" w:hAnsi="Arial"/>
          <w:sz w:val="16"/>
          <w:szCs w:val="16"/>
          <w:color w:val="auto"/>
        </w:rPr>
        <w:t>” means, as of any date of determination, the rating as determined by either S&amp;P or Moody’s (collectively, the “</w:t>
      </w:r>
      <w:r>
        <w:rPr>
          <w:rFonts w:ascii="Arial" w:cs="Arial" w:eastAsia="Arial" w:hAnsi="Arial"/>
          <w:sz w:val="16"/>
          <w:szCs w:val="16"/>
          <w:u w:val="single" w:color="auto"/>
          <w:color w:val="auto"/>
        </w:rPr>
        <w:t>Debt Ratings</w:t>
      </w:r>
      <w:r>
        <w:rPr>
          <w:rFonts w:ascii="Arial" w:cs="Arial" w:eastAsia="Arial" w:hAnsi="Arial"/>
          <w:sz w:val="16"/>
          <w:szCs w:val="16"/>
          <w:color w:val="auto"/>
        </w:rPr>
        <w:t xml:space="preserve">”) of the Borrower’s non-credit-enhanced, senior unsecured long-term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the respective Debt Ratings issued by the foregoing rating agencies differ by one level, then the Pricing Level for the higher of such Debt Ratings shall apply (with the Debt Rating for Pricing Level 1 being the highest and the Debt Rating for Pricing Level 5 being the lowest); (b) if there is a split in Debt Ratings of more than one level, then the Pricing Level of the Debt Rating that is one level lower than the Pricing Level of the higher Debt Rating shall apply; (c) if the Borrower has only one Debt Rating, the Pricing Level of such Debt Rating shall apply; and (d) if the Borrower does not have any Debt Rating, Pricing Level 5 shall apply.</w:t>
      </w:r>
    </w:p>
    <w:p>
      <w:pPr>
        <w:spacing w:after="0" w:line="164"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upon notice, lapse of time or both would, unless cured or waived, become an Event of Default.</w:t>
      </w:r>
    </w:p>
    <w:p>
      <w:pPr>
        <w:spacing w:after="0" w:line="17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means, subject to Section 2.19(b),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any Issuing Bank or any other Lender any other amount required to be paid by it hereunder (including in respect of its participation in Letters of Credit) within two Business Days of the date when due, (b) has notified the Borrower, the Administrative Agent or any Issuing Bank in writing that it does not intend to comply with its funding obligations hereunder, or has made a public statement to that effect with respect to its funding obligations hereunder, or generally under other agreements in which it commits to extend credit (unless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39" w:name="page140"/>
    <w:bookmarkEnd w:id="139"/>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or has been taken over by the Federal Deposit Insurance Corporation or any other state or federal regulatory authority, or (iii) become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Section 2.19(b)) as of the date established therefor by the Administrative Agent in a written notice of such determination, which shall be delivered by the Administrative Agent to the Borrower, each Issuing Bank and each other Lender promptly following such determination.</w:t>
      </w:r>
    </w:p>
    <w:p>
      <w:pPr>
        <w:spacing w:after="0" w:line="174"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itself is the subject of comprehensive Sanctions.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Matters</w:t>
      </w:r>
      <w:r>
        <w:rPr>
          <w:rFonts w:ascii="Arial" w:cs="Arial" w:eastAsia="Arial" w:hAnsi="Arial"/>
          <w:sz w:val="18"/>
          <w:szCs w:val="18"/>
          <w:color w:val="auto"/>
        </w:rPr>
        <w:t xml:space="preserve">” means the actions, suits and proceedings and the environmental matters disclosed in </w:t>
      </w:r>
      <w:r>
        <w:rPr>
          <w:rFonts w:ascii="Arial" w:cs="Arial" w:eastAsia="Arial" w:hAnsi="Arial"/>
          <w:sz w:val="18"/>
          <w:szCs w:val="18"/>
          <w:u w:val="single" w:color="auto"/>
          <w:color w:val="auto"/>
        </w:rPr>
        <w:t>Schedule 3.06</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Equity Interests</w:t>
      </w:r>
      <w:r>
        <w:rPr>
          <w:rFonts w:ascii="Arial" w:cs="Arial" w:eastAsia="Arial" w:hAnsi="Arial"/>
          <w:sz w:val="18"/>
          <w:szCs w:val="18"/>
          <w:color w:val="auto"/>
        </w:rPr>
        <w:t xml:space="preserve">” means Equity Interests that (a) mature or are mandatorily redeemable or subject to mandatory repurchase or redemption or repurchase at the option of the holders thereof (other than solely for Equity Interests that do not constitute Disqualified Equity Interests), in whole or in part and whether upon the occurrence of any event, pursuant to a sinking fund obligation, on a fixed date or otherwise, prior to the date that is 91 days after the Maturity Date (other than upon payment in full of the Obligations, reduction of the LC Exposure to zero and termination of the Commitments or upon a “change in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payment required pursuant to a “change in control” is contractually subordinated in right of payment to the Obligations on terms reasonably satisfactory to the Administrative Agent and such requirement is not applicable in more circumstances than pursuant to the change of control provisions in the Senior Notes Indentures as of the date hereof), or (b) are convertible or exchangeable, automatically or at the option of any holder thereof, into any Indebtedness, Equity Interests or other assets other than Qualified Equity Interests.</w:t>
      </w:r>
    </w:p>
    <w:p>
      <w:pPr>
        <w:spacing w:after="0" w:line="196"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Documentation Agents</w:t>
      </w:r>
      <w:r>
        <w:rPr>
          <w:rFonts w:ascii="Arial" w:cs="Arial" w:eastAsia="Arial" w:hAnsi="Arial"/>
          <w:sz w:val="18"/>
          <w:szCs w:val="18"/>
          <w:color w:val="auto"/>
        </w:rPr>
        <w:t>” means Citibank, N.A., HSBC Bank USA, N.A., Industrial and Commercial Bank of China Limited, New York Branch and Svenska Handelsbanken AB (publ), New York Branch, each in its capacity as a documentation agent for the Facilities.</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any Alternative Currency, the equivalent amount thereof in Dollars as determined by the Administrative Agent or the applicable Issuing Bank, as the case may be, at such time on the basis of the Spot Rate (determined in respect of the most recent Revaluation Date) for the purchase of Dollars with such Alternative Currency.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40" w:name="page141"/>
    <w:bookmarkEnd w:id="14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Dollar LIBOR Replacement Date</w:t>
      </w:r>
      <w:r>
        <w:rPr>
          <w:rFonts w:ascii="Arial" w:cs="Arial" w:eastAsia="Arial" w:hAnsi="Arial"/>
          <w:sz w:val="18"/>
          <w:szCs w:val="18"/>
          <w:color w:val="auto"/>
        </w:rPr>
        <w:t>” has the meaning specified in Section 2.12(d).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LIBOR Scheduled Unavailability Date</w:t>
      </w:r>
      <w:r>
        <w:rPr>
          <w:rFonts w:ascii="Arial" w:cs="Arial" w:eastAsia="Arial" w:hAnsi="Arial"/>
          <w:sz w:val="18"/>
          <w:szCs w:val="18"/>
          <w:color w:val="auto"/>
        </w:rPr>
        <w:t>” has the meaning specified in Section 2.12(d)(ii).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LIBOR Successor Rate</w:t>
      </w:r>
      <w:r>
        <w:rPr>
          <w:rFonts w:ascii="Arial" w:cs="Arial" w:eastAsia="Arial" w:hAnsi="Arial"/>
          <w:sz w:val="18"/>
          <w:szCs w:val="18"/>
          <w:color w:val="auto"/>
        </w:rPr>
        <w:t>” has the meaning specified in Section 2.12(d).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w:t>
      </w:r>
    </w:p>
    <w:p>
      <w:pPr>
        <w:ind w:left="244" w:hanging="244"/>
        <w:spacing w:after="0"/>
        <w:tabs>
          <w:tab w:leader="none" w:pos="24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of this definition, or (c) any financial institution established in an EEA Member Country that is a subsidiary of an institution described in clause</w:t>
      </w:r>
    </w:p>
    <w:p>
      <w:pPr>
        <w:spacing w:after="0" w:line="20" w:lineRule="exact"/>
        <w:rPr>
          <w:rFonts w:ascii="Arial" w:cs="Arial" w:eastAsia="Arial" w:hAnsi="Arial"/>
          <w:sz w:val="17"/>
          <w:szCs w:val="17"/>
          <w:color w:val="auto"/>
        </w:rPr>
      </w:pPr>
    </w:p>
    <w:p>
      <w:pPr>
        <w:ind w:left="244" w:hanging="244"/>
        <w:spacing w:after="0"/>
        <w:tabs>
          <w:tab w:leader="none" w:pos="24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or (b) of this definition and is subject to consolidated supervision with its parent.</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170"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treaties, laws, rules, regulations, codes, ordinances, orders, decrees, judgments, injunctions, notices or binding agreements issued, promulgated or entered into by or with any Governmental Authority, relating in any way to the environment, the preservation or reclamation of natural resources, or the generation, management, Release or threatened Release of any Hazardous Material.</w:t>
      </w:r>
    </w:p>
    <w:p>
      <w:pPr>
        <w:spacing w:after="0" w:line="165"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medical monitoring, costs of environmental remediation or restoration, administrative oversight costs, consultants’ fees, fines, penalties or indemnities), of the Borrower or any Subsidiary directly or indirectly resulting from or based upon (a) any actual or alleged violation of any Environmental Law or permit, license or approval issued thereunder, (b) the generation, use, handling, transportation, storage, treatment or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78" w:lineRule="exact"/>
        <w:rPr>
          <w:sz w:val="20"/>
          <w:szCs w:val="20"/>
          <w:color w:val="auto"/>
        </w:rPr>
      </w:pPr>
    </w:p>
    <w:p>
      <w:pPr>
        <w:ind w:left="4"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Equivalents</w:t>
      </w:r>
      <w:r>
        <w:rPr>
          <w:rFonts w:ascii="Arial" w:cs="Arial" w:eastAsia="Arial" w:hAnsi="Arial"/>
          <w:sz w:val="18"/>
          <w:szCs w:val="18"/>
          <w:color w:val="auto"/>
        </w:rPr>
        <w:t>” means all securities convertible into or exchangeable for Equity Interests, and all warrants, options or other rights to purchase or subscribe for any Equity Interests, whether or not presently convertible, exchangeable or exercisable.</w:t>
      </w:r>
    </w:p>
    <w:p>
      <w:pPr>
        <w:spacing w:after="0" w:line="170"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shares of capital stock, partnership interests, membership interests in a limited liability company, beneficial interests in a trust or other equity ownership interests in a Person.</w:t>
      </w:r>
    </w:p>
    <w:p>
      <w:pPr>
        <w:spacing w:after="0" w:line="10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4"/>
          </w:cols>
          <w:pgMar w:left="436" w:top="274" w:right="559" w:bottom="1440" w:gutter="0" w:footer="0" w:header="0"/>
        </w:sectPr>
      </w:pPr>
    </w:p>
    <w:bookmarkStart w:id="141" w:name="page142"/>
    <w:bookmarkEnd w:id="141"/>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the rulings issued thereunder.</w:t>
      </w:r>
    </w:p>
    <w:p>
      <w:pPr>
        <w:spacing w:after="0" w:line="170"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414(m) or (o) of the Code.</w:t>
      </w:r>
    </w:p>
    <w:p>
      <w:pPr>
        <w:spacing w:after="0" w:line="184"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with respect to any Plan, a failure to satisfy the minimum funding standard under Section 412 of the Code and Section 302 of ERISA, whether or not waived, (c) the filing pursuant to Section 412(d) of the Code or Section 303(d) of ERISA of an application for a waiver of the minimum funding standard with respect to any Plan, (d) a determination that any Plan is, or is expected to be, in “at risk” status (as defined in Section 430(i)(4) of the Code or Section 303(i)(4) of ERISA), (e) the incurrence by the Borrower or any of its ERISA Affiliates of any liability under Title IV of ERISA with respect to the termination of any Plan, (f) the receipt by the Borrower or any ERISA Affiliate from the PBGC or a plan administrator of any notice relating to an intention to terminate any Plan or Plans or to appoint a trustee to administer any Plan, (g) the incurrence by the Borrower or any of its ERISA Affiliates of any liability with respect to the withdrawal or partial withdrawal from any Plan or Multiemployer Plan, (h)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432 of the Code or Section 305 of ERISA) or (i) the withdrawal of the Borrower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spacing w:after="0" w:line="184"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EURIBOR</w:t>
      </w:r>
      <w:r>
        <w:rPr>
          <w:rFonts w:ascii="Arial" w:cs="Arial" w:eastAsia="Arial" w:hAnsi="Arial"/>
          <w:sz w:val="18"/>
          <w:szCs w:val="18"/>
          <w:color w:val="auto"/>
        </w:rPr>
        <w:t>” has the meaning specified in the definition of Eurocurrency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the lawful currency of the Participating Member States introduced in accordance with the EMU Legislation.</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Eurocurrency Rate.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w:t>
      </w:r>
    </w:p>
    <w:p>
      <w:pPr>
        <w:spacing w:after="0" w:line="117" w:lineRule="exact"/>
        <w:rPr>
          <w:sz w:val="20"/>
          <w:szCs w:val="20"/>
          <w:color w:val="auto"/>
        </w:rPr>
      </w:pPr>
    </w:p>
    <w:p>
      <w:pPr>
        <w:ind w:left="440" w:right="140" w:firstLine="419"/>
        <w:spacing w:after="0" w:line="275" w:lineRule="auto"/>
        <w:tabs>
          <w:tab w:leader="none" w:pos="110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for any Interest Period with respect to a Eurocurrency Loan denominated in Dollars or Sterling, the rate per annum equal to the London Interbank Offered Rate (“</w:t>
      </w:r>
      <w:r>
        <w:rPr>
          <w:rFonts w:ascii="Arial" w:cs="Arial" w:eastAsia="Arial" w:hAnsi="Arial"/>
          <w:sz w:val="17"/>
          <w:szCs w:val="17"/>
          <w:u w:val="single" w:color="auto"/>
          <w:color w:val="auto"/>
        </w:rPr>
        <w:t>LIBOR</w:t>
      </w:r>
      <w:r>
        <w:rPr>
          <w:rFonts w:ascii="Arial" w:cs="Arial" w:eastAsia="Arial" w:hAnsi="Arial"/>
          <w:sz w:val="17"/>
          <w:szCs w:val="17"/>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approximately 11:00 a.m., London time, on the Rate Determination Date, for deposits in the relevant currency (for delivery on the first day of such Interest Period) with a term equivalent to such Interest Period;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42" w:name="page143"/>
    <w:bookmarkEnd w:id="142"/>
    <w:p>
      <w:pPr>
        <w:ind w:firstLine="419"/>
        <w:spacing w:after="0" w:line="275" w:lineRule="auto"/>
        <w:tabs>
          <w:tab w:leader="none" w:pos="678" w:val="left"/>
        </w:tabs>
        <w:numPr>
          <w:ilvl w:val="0"/>
          <w:numId w:val="1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any Interest Period with respect to a Eurocurrency Loan denominated in Euros, the rate per annum equal to the Euro Interbank Offered Rate (“</w:t>
      </w:r>
      <w:r>
        <w:rPr>
          <w:rFonts w:ascii="Arial" w:cs="Arial" w:eastAsia="Arial" w:hAnsi="Arial"/>
          <w:sz w:val="17"/>
          <w:szCs w:val="17"/>
          <w:u w:val="single" w:color="auto"/>
          <w:color w:val="auto"/>
        </w:rPr>
        <w:t>EURIBOR</w:t>
      </w:r>
      <w:r>
        <w:rPr>
          <w:rFonts w:ascii="Arial" w:cs="Arial" w:eastAsia="Arial" w:hAnsi="Arial"/>
          <w:sz w:val="17"/>
          <w:szCs w:val="17"/>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approximately 11:00 a.m., Brussels Belgium time, on the Rate Determination Date, for deposits in the relevant currency (for delivery on the first day of such Interest Period) with a term equivalent to such Interest Period;</w:t>
      </w:r>
    </w:p>
    <w:p>
      <w:pPr>
        <w:spacing w:after="0" w:line="68" w:lineRule="exact"/>
        <w:rPr>
          <w:rFonts w:ascii="Arial" w:cs="Arial" w:eastAsia="Arial" w:hAnsi="Arial"/>
          <w:sz w:val="17"/>
          <w:szCs w:val="17"/>
          <w:color w:val="auto"/>
        </w:rPr>
      </w:pPr>
    </w:p>
    <w:p>
      <w:pPr>
        <w:ind w:right="80" w:firstLine="419"/>
        <w:spacing w:after="0" w:line="257" w:lineRule="auto"/>
        <w:tabs>
          <w:tab w:leader="none" w:pos="66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any Interest Period with respect to a Eurocurrency Loan denominated in Swedish Krona, the rate per annum equal to the Stockholm Interbank Offered Rate (“</w:t>
      </w:r>
      <w:r>
        <w:rPr>
          <w:rFonts w:ascii="Arial" w:cs="Arial" w:eastAsia="Arial" w:hAnsi="Arial"/>
          <w:sz w:val="18"/>
          <w:szCs w:val="18"/>
          <w:u w:val="single" w:color="auto"/>
          <w:color w:val="auto"/>
        </w:rPr>
        <w:t>STIBOR</w:t>
      </w:r>
      <w:r>
        <w:rPr>
          <w:rFonts w:ascii="Arial" w:cs="Arial" w:eastAsia="Arial" w:hAnsi="Arial"/>
          <w:sz w:val="18"/>
          <w:szCs w:val="18"/>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11:00 a.m. (Stockholm, Sweden time) on the Rate Determination Date with a term equivalent to such Interest Period;</w:t>
      </w:r>
    </w:p>
    <w:p>
      <w:pPr>
        <w:spacing w:after="0" w:line="79" w:lineRule="exact"/>
        <w:rPr>
          <w:rFonts w:ascii="Arial" w:cs="Arial" w:eastAsia="Arial" w:hAnsi="Arial"/>
          <w:sz w:val="18"/>
          <w:szCs w:val="18"/>
          <w:color w:val="auto"/>
        </w:rPr>
      </w:pPr>
    </w:p>
    <w:p>
      <w:pPr>
        <w:ind w:right="100" w:firstLine="419"/>
        <w:spacing w:after="0" w:line="257" w:lineRule="auto"/>
        <w:tabs>
          <w:tab w:leader="none" w:pos="67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any Interest Period with respect to a Eurocurrency Loan denominated in Danish Kroner, the rate per annum equal to the Copenhagen Interbank Offered Rate (“</w:t>
      </w:r>
      <w:r>
        <w:rPr>
          <w:rFonts w:ascii="Arial" w:cs="Arial" w:eastAsia="Arial" w:hAnsi="Arial"/>
          <w:sz w:val="18"/>
          <w:szCs w:val="18"/>
          <w:u w:val="single" w:color="auto"/>
          <w:color w:val="auto"/>
        </w:rPr>
        <w:t>CIBOR</w:t>
      </w:r>
      <w:r>
        <w:rPr>
          <w:rFonts w:ascii="Arial" w:cs="Arial" w:eastAsia="Arial" w:hAnsi="Arial"/>
          <w:sz w:val="18"/>
          <w:szCs w:val="18"/>
          <w:color w:val="auto"/>
        </w:rPr>
        <w:t>”) or a comparable or successor rate, which rate is approved by the Administrative Agent as currently published on the applicable Bloomberg screen page (or such other commercially available source providing such quotations as may be designated by the Administrative Agent from time to time) at or about 11:00 a.m. (Copenhagen, Denmark time) on the Rate Determination Date with a term equivalent to such Interest Period;</w:t>
      </w:r>
    </w:p>
    <w:p>
      <w:pPr>
        <w:spacing w:after="0" w:line="79" w:lineRule="exact"/>
        <w:rPr>
          <w:rFonts w:ascii="Arial" w:cs="Arial" w:eastAsia="Arial" w:hAnsi="Arial"/>
          <w:sz w:val="18"/>
          <w:szCs w:val="18"/>
          <w:color w:val="auto"/>
        </w:rPr>
      </w:pPr>
    </w:p>
    <w:p>
      <w:pPr>
        <w:ind w:right="80" w:firstLine="419"/>
        <w:spacing w:after="0" w:line="257" w:lineRule="auto"/>
        <w:tabs>
          <w:tab w:leader="none" w:pos="66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any Interest Period with respect to a Eurocurrency Loan denominated in Norwegian Kroner, the rate per annum equal to the Norwegian Interbank Offered Rate (“</w:t>
      </w:r>
      <w:r>
        <w:rPr>
          <w:rFonts w:ascii="Arial" w:cs="Arial" w:eastAsia="Arial" w:hAnsi="Arial"/>
          <w:sz w:val="18"/>
          <w:szCs w:val="18"/>
          <w:u w:val="single" w:color="auto"/>
          <w:color w:val="auto"/>
        </w:rPr>
        <w:t>NIBOR</w:t>
      </w:r>
      <w:r>
        <w:rPr>
          <w:rFonts w:ascii="Arial" w:cs="Arial" w:eastAsia="Arial" w:hAnsi="Arial"/>
          <w:sz w:val="18"/>
          <w:szCs w:val="18"/>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12:00 p.m. (London time) on the Rate Determination Date with a term equivalent to such Interest Period;</w:t>
      </w:r>
    </w:p>
    <w:p>
      <w:pPr>
        <w:spacing w:after="0" w:line="79" w:lineRule="exact"/>
        <w:rPr>
          <w:rFonts w:ascii="Arial" w:cs="Arial" w:eastAsia="Arial" w:hAnsi="Arial"/>
          <w:sz w:val="18"/>
          <w:szCs w:val="18"/>
          <w:color w:val="auto"/>
        </w:rPr>
      </w:pPr>
    </w:p>
    <w:p>
      <w:pPr>
        <w:ind w:right="40" w:firstLine="419"/>
        <w:spacing w:after="0" w:line="308" w:lineRule="auto"/>
        <w:tabs>
          <w:tab w:leader="none" w:pos="64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for any interest calculation with respect to an ABR Loan on any date, the rate per annum equal to LIBOR, at or about 11:00 a.m., London time determined two Business Days prior to such date for U.S. Dollar deposits with a term of one month commencing that day; and</w:t>
      </w:r>
    </w:p>
    <w:p>
      <w:pPr>
        <w:spacing w:after="0" w:line="38" w:lineRule="exact"/>
        <w:rPr>
          <w:rFonts w:ascii="Arial" w:cs="Arial" w:eastAsia="Arial" w:hAnsi="Arial"/>
          <w:sz w:val="17"/>
          <w:szCs w:val="17"/>
          <w:color w:val="auto"/>
        </w:rPr>
      </w:pPr>
    </w:p>
    <w:p>
      <w:pPr>
        <w:ind w:right="20" w:firstLine="419"/>
        <w:spacing w:after="0" w:line="271" w:lineRule="auto"/>
        <w:tabs>
          <w:tab w:leader="none" w:pos="67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for any interest calculation with respect to a Eurocurrency Loan denominated in Canadian Dollars, the rate per annum equal to the Canadian Dollar-denominated bankers’ acceptances displayed and identified as such on the “CDOR Page” (or any display substituted therefore) of Reuters Monitor Money Rates Service Reuters Screen,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or a comparable successor rate, which rate is approved by the Administrative Agent as published on the applicable Bloomberg screen page (or such other commercially available source providing such quotations as may be designated by the Administrative Agent from time to time) at or about 12:00 p.m. (Toronto time) on the Rate Determination Date with a term equivalent to such Interest Period</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80"/>
          </w:cols>
          <w:pgMar w:left="880" w:top="274" w:right="439" w:bottom="1440" w:gutter="0" w:footer="0" w:header="0"/>
        </w:sectPr>
      </w:pPr>
    </w:p>
    <w:bookmarkStart w:id="143" w:name="page144"/>
    <w:bookmarkEnd w:id="143"/>
    <w:p>
      <w:pPr>
        <w:ind w:right="280"/>
        <w:spacing w:after="0" w:line="30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w:t>
      </w:r>
      <w:r>
        <w:rPr>
          <w:rFonts w:ascii="Arial" w:cs="Arial" w:eastAsia="Arial" w:hAnsi="Arial"/>
          <w:sz w:val="16"/>
          <w:szCs w:val="16"/>
          <w:color w:val="auto"/>
        </w:rPr>
        <w:t xml:space="preserve"> that to the extent a comparable or successor rate is approved by the Administrative Agent in connection herewith, the approved rate shall be applied in a manner consistent with market practice;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to the extent such market practice is not administratively feasible for the Administrative Agent, such approved rate shall be applied in a manner as otherwise reasonably determined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the Eurocurrency Rate shall be less than zero, such rate shall be deemed zero for purposes of this Agreement.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Article VII.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with respect to the Administrative Agent, any Lender, Issuing Bank or any other recipient of any payment to be made by or on account of any obligation of the Borrower hereunder, (a) any Taxes imposed on or measured by its net income or overall gross income, capital, net worth or similar Taxes imposed on it in lieu of or as an adjunct to net or overall gross income taxes (including, for the avoidance of doubt, the Massachusetts corporate excise tax within the meaning of Massachusetts General Laws Ch. 63, Section 39), or franchise Taxes imposed, in each case, by a jurisdiction as a result of such recipient being organized or resident in, maintaining a lending office in, doing business in or having another present or former connection with, such jurisdiction (other than any business or connection arising (or deemed to arise) from such recipient having executed, delivered, become a party to, performed its obligations under, received payments under, received or perfected a security interest under, engaged in any other transactions pursuant to, or enforced, any Loan Documents), (b) any branch profits Taxes under Section 884(a) of the Code, or any similar Taxes, imposed by any jurisdiction described in clause (a) above, (c) in the case of a Lender (other than an assignee pursuant to a request by the Borrower under Section 2.17(b)), any U.S. federal withholding Tax that (i) is imposed pursuant to any Requirement of Laws in effect at the time such Lender becomes a party to this Agreement (or designates a new lending office), except to the extent that such Lender (or its assignor, if any) was entitled, immediately prior to the designation of a new lending office (or assignment), to receive additional amounts from the Borrower with respect to such withholding Tax pursuant to Section 2.15(a), or (ii) is attributable to such Lender’s failure to comply with Section 2.15(e) and (d) any U.S. federal withholding Taxes imposed pursuant to FATCA.</w:t>
      </w:r>
    </w:p>
    <w:p>
      <w:pPr>
        <w:spacing w:after="0" w:line="184"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the Credit Agreement, dated as of April 25, 2017, as amended, including by Amendment No. 1, dated as of December 1, 2020, among the Borrower, Bank of America as administrative agent, swingline lender and issuing bank, and the other lenders party thereto.</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each Letter of Credit which would be outstanding under the Existing Credit Agreement on the Closing Date and listed on </w:t>
      </w:r>
      <w:r>
        <w:rPr>
          <w:rFonts w:ascii="Arial" w:cs="Arial" w:eastAsia="Arial" w:hAnsi="Arial"/>
          <w:sz w:val="18"/>
          <w:szCs w:val="18"/>
          <w:u w:val="single" w:color="auto"/>
          <w:color w:val="auto"/>
        </w:rPr>
        <w:t>Schedule 2.05</w:t>
      </w:r>
      <w:r>
        <w:rPr>
          <w:rFonts w:ascii="Arial" w:cs="Arial" w:eastAsia="Arial" w:hAnsi="Arial"/>
          <w:sz w:val="18"/>
          <w:szCs w:val="18"/>
          <w:color w:val="auto"/>
        </w:rPr>
        <w:t>.</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Facilities</w:t>
      </w:r>
      <w:r>
        <w:rPr>
          <w:rFonts w:ascii="Arial" w:cs="Arial" w:eastAsia="Arial" w:hAnsi="Arial"/>
          <w:sz w:val="18"/>
          <w:szCs w:val="18"/>
          <w:color w:val="auto"/>
        </w:rPr>
        <w:t>” means the credit and loan facilities provided for in this Agreement pursuant to the Revolving A Facility and the Revolving B Facility, and “Facility” shall refer to either one of them as the context requires.</w:t>
      </w:r>
    </w:p>
    <w:p>
      <w:pPr>
        <w:spacing w:after="0" w:line="170"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as of the date of this Agreement (or any amended or successor version described above), any intergovernmental agreement entered into implementing such Sections of the Code and any fiscal or regulatory legislation, rules or practices adopted pursuant to intergovernmental agreements.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44" w:name="page145"/>
    <w:bookmarkEnd w:id="144"/>
    <w:p>
      <w:pPr>
        <w:ind w:right="10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Rate as so determined would be less than zero, such rate shall be deemed to be zero for purposes of this Agreement.</w:t>
      </w:r>
    </w:p>
    <w:p>
      <w:pPr>
        <w:spacing w:after="0" w:line="188"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Best Efforts – Revolving Administration Fee Letter, dated as of November 20, 2020, by and among the Borrower and Bank of America, N.A.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“United States person” as defined in Section 7701(a)(30) of the Code.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that is not organized under the laws of the United States of America, any state thereof or the District of Columbia.</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with respect to any Issuing Bank, such Defaulting Lender’s Applicable Percentage of the outstanding LC Exposure other than LC Exposure as to which such Defaulting Lender’s participation obligation has been reallocated to other Lenders or Cash Collateralized in accordance with the terms hereof.</w:t>
      </w:r>
    </w:p>
    <w:p>
      <w:pPr>
        <w:spacing w:after="0" w:line="184"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Indebtedness</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left="1100" w:hanging="241"/>
        <w:spacing w:after="0"/>
        <w:tabs>
          <w:tab w:leader="none" w:pos="11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obligations of such Person for borrowed money;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similar instruments;</w:t>
      </w:r>
    </w:p>
    <w:p>
      <w:pPr>
        <w:spacing w:after="0" w:line="117" w:lineRule="exact"/>
        <w:rPr>
          <w:rFonts w:ascii="Arial" w:cs="Arial" w:eastAsia="Arial" w:hAnsi="Arial"/>
          <w:sz w:val="18"/>
          <w:szCs w:val="18"/>
          <w:color w:val="auto"/>
        </w:rPr>
      </w:pPr>
    </w:p>
    <w:p>
      <w:pPr>
        <w:ind w:left="440" w:right="360" w:firstLine="419"/>
        <w:spacing w:after="0" w:line="277" w:lineRule="auto"/>
        <w:tabs>
          <w:tab w:leader="none" w:pos="110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obligations of such Person in respect of the deferred purchase price of property or services (excluding trade accounts payable and other accrued obligations, in each case incurred in the ordinary course of business);</w:t>
      </w:r>
    </w:p>
    <w:p>
      <w:pPr>
        <w:spacing w:after="0" w:line="62" w:lineRule="exact"/>
        <w:rPr>
          <w:rFonts w:ascii="Arial" w:cs="Arial" w:eastAsia="Arial" w:hAnsi="Arial"/>
          <w:sz w:val="18"/>
          <w:szCs w:val="18"/>
          <w:color w:val="auto"/>
        </w:rPr>
      </w:pPr>
    </w:p>
    <w:p>
      <w:pPr>
        <w:ind w:left="440" w:right="20" w:firstLine="419"/>
        <w:spacing w:after="0" w:line="263" w:lineRule="auto"/>
        <w:tabs>
          <w:tab w:leader="none" w:pos="111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Funded Indebtedness of others secured by (or for which the holder of such Indebtedness has an existing right, contingent or otherwise, to be secured by) any Lien on property owned or acquired by such Person, whether or not the Funded Indebtedness secured thereby has been assumed;</w:t>
      </w:r>
    </w:p>
    <w:p>
      <w:pPr>
        <w:spacing w:after="0" w:line="75" w:lineRule="exact"/>
        <w:rPr>
          <w:rFonts w:ascii="Arial" w:cs="Arial" w:eastAsia="Arial" w:hAnsi="Arial"/>
          <w:sz w:val="18"/>
          <w:szCs w:val="18"/>
          <w:color w:val="auto"/>
        </w:rPr>
      </w:pPr>
    </w:p>
    <w:p>
      <w:pPr>
        <w:ind w:left="1100" w:hanging="241"/>
        <w:spacing w:after="0"/>
        <w:tabs>
          <w:tab w:leader="none" w:pos="11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Guarantees by such Person of Funded Indebtedness of others;</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Capital Lease Obligations of such Person;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all drafts drawn (to the extent unreimbursed) under any letter of credit, letter of guaranty or bankers’ acceptance for the account of such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45" w:name="page146"/>
    <w:bookmarkEnd w:id="145"/>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 other provision of this Agreement to the contrary, (i) the term “Funded Indebtedness” shall not include contingent post-closing purchase price adjustments or earn-outs to which the seller in any Acquisition may become entitled and (ii) the amount of Funded Indebtedness for which recourse is limited either to a specified amount or to an identified asset of such Person shall be deemed to be equal to the lesser of (x) such specified amount and (y) the fair market value of such identified asset as determined by such Person in good faith. For the avoidance of doubt, Qualified Equity Interests shall not be deemed Funded Indebtedness.</w:t>
      </w:r>
    </w:p>
    <w:p>
      <w:pPr>
        <w:spacing w:after="0" w:line="188"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in the United States of America;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make a one-time election to switch to IFRS, if permitted to do so by the SEC in the Borrower’s filings with the SEC, and following such election and the notification in writing to the Administrative Agent by the Borrower thereof, “GAAP” shall mean IFRS. After such election, the Borrower cannot subsequently elect to report under generally accepted accounting principles in the United States of America.</w:t>
      </w:r>
    </w:p>
    <w:p>
      <w:pPr>
        <w:spacing w:after="0" w:line="187"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right="220"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has the meaning specified in the definition of Guarantee.</w:t>
      </w:r>
    </w:p>
    <w:p>
      <w:pPr>
        <w:spacing w:after="0" w:line="225"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all explosive or radioactive substances, materials or wastes and all hazardous or toxic substances, materials, wastes or other pollutants, including petroleum or petroleum distillates, asbestos or asbestos containing materials, polychlorinated biphenyls, radon gas, infectious or medical wastes and all other substances, materials or wastes of any nature regulated pursuant to any Environmental Law.</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HMT</w:t>
      </w:r>
      <w:r>
        <w:rPr>
          <w:rFonts w:ascii="Arial" w:cs="Arial" w:eastAsia="Arial" w:hAnsi="Arial"/>
          <w:sz w:val="18"/>
          <w:szCs w:val="18"/>
          <w:color w:val="auto"/>
        </w:rPr>
        <w:t>” has the meaning specified in the definition of Sanction(s).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Honor Date</w:t>
      </w:r>
      <w:r>
        <w:rPr>
          <w:rFonts w:ascii="Arial" w:cs="Arial" w:eastAsia="Arial" w:hAnsi="Arial"/>
          <w:sz w:val="18"/>
          <w:szCs w:val="18"/>
          <w:color w:val="auto"/>
        </w:rPr>
        <w:t>” has the meaning set forth in Section 2.05(a)(ix).</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the International Financial Reporting Standards issued and/or adopted by the International Accounting Standards Board, as in effect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has the meaning set forth in Section 2.12(a).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Amendment</w:t>
      </w:r>
      <w:r>
        <w:rPr>
          <w:rFonts w:ascii="Arial" w:cs="Arial" w:eastAsia="Arial" w:hAnsi="Arial"/>
          <w:sz w:val="18"/>
          <w:szCs w:val="18"/>
          <w:color w:val="auto"/>
        </w:rPr>
        <w:t>” has the meaning set forth in Section 2.18(b).</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146" w:name="page147"/>
    <w:bookmarkEnd w:id="14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Incremental Facility Closing Date</w:t>
      </w:r>
      <w:r>
        <w:rPr>
          <w:rFonts w:ascii="Arial" w:cs="Arial" w:eastAsia="Arial" w:hAnsi="Arial"/>
          <w:sz w:val="18"/>
          <w:szCs w:val="18"/>
          <w:color w:val="auto"/>
        </w:rPr>
        <w:t>” has the meaning assigned to such term in Section 2.18(b).</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Commitments</w:t>
      </w:r>
      <w:r>
        <w:rPr>
          <w:rFonts w:ascii="Arial" w:cs="Arial" w:eastAsia="Arial" w:hAnsi="Arial"/>
          <w:sz w:val="18"/>
          <w:szCs w:val="18"/>
          <w:color w:val="auto"/>
        </w:rPr>
        <w:t>” has the meaning assigned to such term in Section 2.18(a).</w:t>
      </w:r>
    </w:p>
    <w:p>
      <w:pPr>
        <w:spacing w:after="0" w:line="225"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(b) all obligations of such Person evidenced by bonds, debentures, notes or similar instruments, (c) all obligations of such Person upon which interest charges are customarily paid by such Person (excluding any obligations in respect of cash deposits by any Clearing Member (as defined below) for margin, any default fund or otherwise in the ordinary course of business), (d) all obligations of such Person under conditional sale or other title retention agreements relating to property acquired by such Person, (e) all obligations of such Person in respect of the deferred purchase price of property or services (excluding trade accounts payable and other accrued obligations, in each case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(other than any Guarantee provided by (x) any Clearing House (as defined below) to Clearing Members in the ordinary course of business for their obligations to one another or (y) to the extent considered Indebtedness, the Borrower or any Subsidiary to any other Person providing a clearing arrangement in connection with the fixed income trading business of the Borrower and its Subsidiaries), (h) all Capital Lease Obligations of such Person, (i) all obligations of such Person as an account party in respect of letters of credit and letters of guaranty (but only to the extent drawn and not reimbursed) and</w:t>
      </w:r>
    </w:p>
    <w:p>
      <w:pPr>
        <w:spacing w:after="0" w:line="3" w:lineRule="exact"/>
        <w:rPr>
          <w:sz w:val="20"/>
          <w:szCs w:val="20"/>
          <w:color w:val="auto"/>
        </w:rPr>
      </w:pPr>
    </w:p>
    <w:p>
      <w:pPr>
        <w:ind w:left="4" w:hanging="4"/>
        <w:spacing w:after="0" w:line="267" w:lineRule="auto"/>
        <w:tabs>
          <w:tab w:leader="none" w:pos="219"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all obligations of such Person in respect of bankers’ acceptances (but only to the extent drawn and not reimbursed).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 the term “Indebtedness” shall not include contingent post-closing purchase price adjustments or earn-outs to which the seller in any Acquisition may become entitled and (ii) the amount of Indebtedness for which recourse is limited either to a specified amount or to an identified asset of such Person shall be deemed to be equal to the lesser of (x) such specified amount and (y) the fair market value of such identified asset as determined by such Person in good faith. For the avoidance of doubt, Qualified Equity Interests shall not be deemed Indebtedness and “Indebtedness” shall not include (a) with respect to the transfer of positions and related margin from a suspended Clearing Member to another Clearing Member or the liquidation of any suspended or non-performing Clearing Member’s positions and related margin, obligations of the Borrower or a Subsidiary thereof to make a transfer in cash in respect of margin related to such suspended or non-performing Clearing Member’s positions, and (b) with respect to any Clearing House, any transaction with respect to which such entity is a party solely in its capacity as a central counterparty.</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all Taxes other than Excluded Taxes and Other Taxes.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set forth in Section 9.03(b).</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has the meaning set forth in Section 9.12.</w:t>
      </w:r>
    </w:p>
    <w:p>
      <w:pPr>
        <w:spacing w:after="0" w:line="225"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ABR Loan, the last Business Day of each March, June, September and December and the Maturity Date of such Loan and (b) with respect to any Eurocurrency Loan, the last Business Day of the Interest Period applicable to the Borrowing of which such Loan is a part and, in the case of a Eurocurrency Borrowing with an Interest Period of more than three months’ duration, each Business Day prior to the last day of such Interest Period that occurs at intervals of three months’ duration after the first day of such Interest Period and the Maturity Date of such Loan.</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147" w:name="page148"/>
    <w:bookmarkEnd w:id="147"/>
    <w:p>
      <w:pPr>
        <w:ind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with respect to any Eurocurrency Borrowing, the period commencing on the date of such Borrowing and ending on the numerically corresponding day in the calendar month that is one, two, three or six months thereafter (or such other period reasonably satisfactory to the Administrative Agent that is twelve months or less if, at the time of the relevant Borrowing, all Lenders participating therein agree in writing to make an interest period of such duration available), as the Borrower may 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Interest Period for any Borrowing shall extend past the Maturity Date for the Loans included in such Borrowing. For purposes hereof, the date of a Borrowing initially shall be the date on which such Borrowing is made and thereafter shall be the effective date of the most recent conversion or continuation of such Borrowing.</w:t>
      </w:r>
    </w:p>
    <w:p>
      <w:pPr>
        <w:spacing w:after="0" w:line="168"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any direct or indirect acquisition or investment (in one transaction or a series of transactions) by such Person, whether by means of (a) the purchase or other acquisition (including pursuant to any merger with any Person that was not a Wholly-Owned Subsidiary prior to such merger) of any Equity Interests or Equity Equivalents in or evidences of Indebtedness or other securities of another Person (including any option, warrant or other right to acquire any of the foregoing),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an Acquisition.</w:t>
      </w:r>
    </w:p>
    <w:p>
      <w:pPr>
        <w:spacing w:after="0" w:line="16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Definitions</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Documents</w:t>
      </w:r>
      <w:r>
        <w:rPr>
          <w:rFonts w:ascii="Arial" w:cs="Arial" w:eastAsia="Arial" w:hAnsi="Arial"/>
          <w:sz w:val="18"/>
          <w:szCs w:val="18"/>
          <w:color w:val="auto"/>
        </w:rPr>
        <w:t>” means, with respect to any Letter of Credit, the Letter of Credit Application and any other document, agreement and instrument entered into by the applicable Issuing Bank and the Borrower (or any Subsidiary) or in favor of such Issuing Bank and relating to such Letter of Credit.</w:t>
      </w:r>
    </w:p>
    <w:p>
      <w:pPr>
        <w:spacing w:after="0" w:line="184"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Bank</w:t>
      </w:r>
      <w:r>
        <w:rPr>
          <w:rFonts w:ascii="Arial" w:cs="Arial" w:eastAsia="Arial" w:hAnsi="Arial"/>
          <w:sz w:val="17"/>
          <w:szCs w:val="17"/>
          <w:color w:val="auto"/>
        </w:rPr>
        <w:t>” means (a) initially, Bank of America, in its capacity as the issuer of Letters of Credit hereunder, and (b) any other Revolving Lender that becomes an Issuing Bank in accordance with Section 2.05(i), Article VIII or Section 9.04(e), in each case, in its capacity as an issuer of Letters of Credit hereunder. Any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7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Bookrunning Managers</w:t>
      </w:r>
      <w:r>
        <w:rPr>
          <w:rFonts w:ascii="Arial" w:cs="Arial" w:eastAsia="Arial" w:hAnsi="Arial"/>
          <w:sz w:val="18"/>
          <w:szCs w:val="18"/>
          <w:color w:val="auto"/>
        </w:rPr>
        <w:t>” means BofA Securities, Inc., JPMorgan Chase Bank, N.A., Goldman Sachs Bank USA, Morgan Stanley Senior Funding, Inc., Mizuho Bank, LTD., Nordea Bank ABP, New York Branch, Skandinaviska Enskilda Banken AB (publ) and Wells Fargo Securities LLC, in their capacities as joint bookrunning managers.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148" w:name="page149"/>
    <w:bookmarkEnd w:id="14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assigned to such term by Section 9.16.</w:t>
      </w:r>
    </w:p>
    <w:p>
      <w:pPr>
        <w:spacing w:after="0" w:line="22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Revolving Lender, such Lender’s funding of its participation in any LC Borrowing in accordance with its Applicable Percentage.</w:t>
      </w:r>
    </w:p>
    <w:p>
      <w:pPr>
        <w:spacing w:after="0" w:line="170" w:lineRule="exact"/>
        <w:rPr>
          <w:sz w:val="20"/>
          <w:szCs w:val="20"/>
          <w:color w:val="auto"/>
        </w:rPr>
      </w:pPr>
    </w:p>
    <w:p>
      <w:pPr>
        <w:ind w:left="4" w:right="6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Borrowing</w:t>
      </w:r>
      <w:r>
        <w:rPr>
          <w:rFonts w:ascii="Arial" w:cs="Arial" w:eastAsia="Arial" w:hAnsi="Arial"/>
          <w:sz w:val="17"/>
          <w:szCs w:val="17"/>
          <w:color w:val="auto"/>
        </w:rPr>
        <w:t>” means an extension of credit resulting from a drawing under any Letter of Credit which has not been reimbursed by the Borrower on the date when made or refinanced as a Revolving Loan. All LC Borrowings shall be denominated in Dollars.</w:t>
      </w:r>
    </w:p>
    <w:p>
      <w:pPr>
        <w:spacing w:after="0" w:line="146"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Issuing Bank pursuant to a Letter of Credit.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the aggregate Tranche A LC Exposures and the aggregate Tranche B LC Exposures.</w:t>
      </w:r>
    </w:p>
    <w:p>
      <w:pPr>
        <w:spacing w:after="0" w:line="225"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any other Person that shall have become a party hereto pursuant to Section 9.04 or pursuant to an Incremental Facility Amendment, unless and until (a) any such Person ceases to be a party hereto pursuant to Section 9.04 or (b) the Commitments, if any, held by such Person have been terminated and the Obligations (other than contingent Obligations with respect to which no claim has been made), if any, owing to such Person have been paid in full.</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issued pursuant to this Agreement.</w:t>
      </w:r>
    </w:p>
    <w:p>
      <w:pPr>
        <w:spacing w:after="0" w:line="225"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any Issuing Bank.</w:t>
      </w:r>
    </w:p>
    <w:p>
      <w:pPr>
        <w:spacing w:after="0" w:line="170"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Leverage Ratio</w:t>
      </w:r>
      <w:r>
        <w:rPr>
          <w:rFonts w:ascii="Arial" w:cs="Arial" w:eastAsia="Arial" w:hAnsi="Arial"/>
          <w:sz w:val="16"/>
          <w:szCs w:val="16"/>
          <w:color w:val="auto"/>
        </w:rPr>
        <w:t>” means as of any date, the ratio of (a) Total Indebtedness as of such date minus the lesser of (i) cash and cash equivalents (determined in accordance with GAAP) of the Borrower and the Subsidiaries, other than (x) cash and cash equivalents not readily available for use by the Borrower in its discretion (including customer-segregated cash and cash equivalents and cash and cash equivalents required by applicable law or regulatory requirement to be maintained as such by the Borrower or any Subsidiary) and (y) the proceeds of Acquisition Debt, and (ii) $250,000,000, to</w:t>
      </w:r>
    </w:p>
    <w:p>
      <w:pPr>
        <w:spacing w:after="0" w:line="1" w:lineRule="exact"/>
        <w:rPr>
          <w:sz w:val="20"/>
          <w:szCs w:val="20"/>
          <w:color w:val="auto"/>
        </w:rPr>
      </w:pPr>
    </w:p>
    <w:p>
      <w:pPr>
        <w:ind w:left="4" w:hanging="4"/>
        <w:spacing w:after="0" w:line="269" w:lineRule="auto"/>
        <w:tabs>
          <w:tab w:leader="none" w:pos="259"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Consolidated EBITDA for the period of four consecutive fiscal quarters of the Borrower ended on such date (or, if such date is not the last day of a fiscal quarter, ended on the last day of the fiscal quarter of the Borrower most recently ended prior to such date for which financial statements have been delivered pursuant to Section 5.01);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to the contrary herein, at any time after the definitive agreement for any Acquisition shall have been executed (or, in the case of an Acquisition in the form of a tender offer or similar transaction, after the offer shall have been launched) and prior to the consummation of such Acquisition (or termination of the definitive documentation in respect thereof (or such later date as such indebtedness ceases to constitute Acquisition Debt as set forth in the definition of “Acquisition Debt”)), any Acquisition Debt (and the proceeds of such Acquisition Debt) shall be excluded from the determination of the Leverage Ratio.</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has the meaning specified in the definition of Eurocurrency Rate.</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4"/>
          </w:cols>
          <w:pgMar w:left="436" w:top="274" w:right="499" w:bottom="1440" w:gutter="0" w:footer="0" w:header="0"/>
        </w:sectPr>
      </w:pPr>
    </w:p>
    <w:bookmarkStart w:id="149" w:name="page150"/>
    <w:bookmarkEnd w:id="149"/>
    <w:p>
      <w:pPr>
        <w:ind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LIBOR Successor Rate Conforming Changes</w:t>
      </w:r>
      <w:r>
        <w:rPr>
          <w:rFonts w:ascii="Arial" w:cs="Arial" w:eastAsia="Arial" w:hAnsi="Arial"/>
          <w:sz w:val="16"/>
          <w:szCs w:val="16"/>
          <w:color w:val="auto"/>
        </w:rPr>
        <w:t>” means, with respect to any proposed Dollar LIBOR Successor Rate or Alternative Currency Successor Rate, any conforming changes to the definition of Base Rate,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reasonable discretion of the Administrative Agent, to reflect the adoption and implementation of such Dollar LIBOR Successor Rate or Alternative Currency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Dollar LIBOR Successor Rate or Alternative Currency Successor Rate exists, in such other manner of administration as the Administrative Agent reasonably determines is necessary in connection with the administration of this Agreement and any other Loan Document).</w:t>
      </w:r>
    </w:p>
    <w:p>
      <w:pPr>
        <w:spacing w:after="0" w:line="166"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6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each Issuer Document, any Incremental Facility Amendment, each Additional Borrower Agreement (and any related guarantee by the Borrower pursuant to Section 1.10).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Revolving Loans.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thereto in Regulation U of the Board.</w:t>
      </w:r>
    </w:p>
    <w:p>
      <w:pPr>
        <w:spacing w:after="0" w:line="225"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operations, properties or financial condition of the Borrower and the Subsidiaries, taken as a whole, (b) the ability of the Borrower to perform any of its material obligations under any Loan Document or (c) the rights of or remedies available to the Lenders under the Loan Documents, taken as a whole.</w:t>
      </w:r>
    </w:p>
    <w:p>
      <w:pPr>
        <w:spacing w:after="0" w:line="184" w:lineRule="exact"/>
        <w:rPr>
          <w:sz w:val="20"/>
          <w:szCs w:val="20"/>
          <w:color w:val="auto"/>
        </w:rPr>
      </w:pPr>
    </w:p>
    <w:p>
      <w:pPr>
        <w:jc w:val="both"/>
        <w:ind w:right="8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means Indebtedness (other than any Obligations), or obligations in respect of one or more Swap Agreements, of any one or more of the Borrower and the Material Subsidiaries in an aggregate principal amount exceeding $125,000,000. For purposes of determining Material Indebtedness, the “principal amount” of the obligations of the Borrower or any Material Subsidiary in respect of any Swap Agreement at any time shall be the maximum aggregate amount (giving effect to any netting agreements) that the Borrower or such Material Subsidiary would be required to pay if such Swap Agreement were terminated at such time.</w:t>
      </w:r>
    </w:p>
    <w:p>
      <w:pPr>
        <w:spacing w:after="0" w:line="176"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Subsidiary</w:t>
      </w:r>
      <w:r>
        <w:rPr>
          <w:rFonts w:ascii="Arial" w:cs="Arial" w:eastAsia="Arial" w:hAnsi="Arial"/>
          <w:sz w:val="16"/>
          <w:szCs w:val="16"/>
          <w:color w:val="auto"/>
        </w:rPr>
        <w:t xml:space="preserve">” means, at any date of determination, each of the Borrower’s Subsidiaries (i) which the Borrower has elected to treat as a Material Subsidiary, (ii) (a) whose total assets (on a consolidated basis with its subsidiaries) at the last day of the relevant fiscal year (individually or in the aggregate) were greater than 15.0% of the consolidated total assets of the Borrower and the Subsidiaries at such date or (b) whose operating income (calculated in a manner consistent with the public filings of the Borrower) for the most recently ended fiscal year for which financial statements have been delivered pursuant to Section 5.01(a) (individually or in the aggregate) are greater than 15.0% of the consolidated operating income of the Borrower and the Subsidiaries for such fiscal year or (iii) which is an Additional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no time shall the total consolidated assets or operating income of all Subsidiaries that are not Material Subsidiaries in reliance on clause (ii) above exceed, at such time, 15.0% of the consolidated total assets or 15.0% of the operating income, respectively, of the Borrower and its Subsidiaries and if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50" w:name="page151"/>
    <w:bookmarkEnd w:id="150"/>
    <w:p>
      <w:pPr>
        <w:ind w:left="4"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either such aggregate threshold is exceeded then the Borrower shall designate a sufficient number of Subsidiaries which would not constitute Material Subsidiaries under clause (ii) above as Material Subsidiaries such that neither such aggregate threshold is exceeded. For the avoidance of doubt, for purposes of determining whether any Subsidiary is a Material Subsidiary for purposes of clauses (f), (g), (h), (i), (j) or (k) of Article VII (any such determination that any Subsidiary does not constitute a Material Subsidiary for such purposes, a “</w:t>
      </w:r>
      <w:r>
        <w:rPr>
          <w:rFonts w:ascii="Arial" w:cs="Arial" w:eastAsia="Arial" w:hAnsi="Arial"/>
          <w:sz w:val="16"/>
          <w:szCs w:val="16"/>
          <w:u w:val="single" w:color="auto"/>
          <w:color w:val="auto"/>
        </w:rPr>
        <w:t>Specified Exception</w:t>
      </w:r>
      <w:r>
        <w:rPr>
          <w:rFonts w:ascii="Arial" w:cs="Arial" w:eastAsia="Arial" w:hAnsi="Arial"/>
          <w:sz w:val="16"/>
          <w:szCs w:val="16"/>
          <w:color w:val="auto"/>
        </w:rPr>
        <w:t>”), all Subsidiaries as to which the Borrower has previously relied on a Specified Exception shall be aggregated (based on the calculation of the amounts set forth in clause (ii) of the preceding sentence as of the time such Specified Exception was relied on with respect to each such Subsidiary) for purposes of determining whether a Subsidiary is a Material Subsidiary for purposes of such Specified Exception (</w:t>
      </w:r>
      <w:r>
        <w:rPr>
          <w:rFonts w:ascii="Arial" w:cs="Arial" w:eastAsia="Arial" w:hAnsi="Arial"/>
          <w:sz w:val="16"/>
          <w:szCs w:val="16"/>
          <w:u w:val="single" w:color="auto"/>
          <w:color w:val="auto"/>
        </w:rPr>
        <w:t>e.g</w:t>
      </w:r>
      <w:r>
        <w:rPr>
          <w:rFonts w:ascii="Arial" w:cs="Arial" w:eastAsia="Arial" w:hAnsi="Arial"/>
          <w:sz w:val="16"/>
          <w:szCs w:val="16"/>
          <w:color w:val="auto"/>
        </w:rPr>
        <w:t>., if on March 1, 2021, a Subsidiary which accounted for 6.0% of the Borrower’s consolidated assets as of December 31, 2020 and 6.0% of the Borrower’s operating income for the year ended December 31, 2020 becomes subject to a proceeding described in clause (h) of Article VII, then for purposes of determining whether a second Subsidiary is a “Material Subsidiary” for purposes of Article VII on March 1, 2021, if such second Subsidiary accounted for 9% of the Borrower’s consolidated assets as of December 31, 2021 and 9% of the Borrower’s operating income for the year ended December 31, 2021, such second Subsidiary would not be a “Material Subsidiary” for purposes of Article VII but if such second Subsidiary accounted for 9.5% of the Borrower’s consolidated assets as of December 31, 2021 and/or</w:t>
      </w:r>
    </w:p>
    <w:p>
      <w:pPr>
        <w:spacing w:after="0" w:line="3" w:lineRule="exact"/>
        <w:rPr>
          <w:sz w:val="20"/>
          <w:szCs w:val="20"/>
          <w:color w:val="auto"/>
        </w:rPr>
      </w:pPr>
    </w:p>
    <w:p>
      <w:pPr>
        <w:ind w:left="4" w:right="60"/>
        <w:spacing w:after="0" w:line="260" w:lineRule="auto"/>
        <w:rPr>
          <w:sz w:val="20"/>
          <w:szCs w:val="20"/>
          <w:color w:val="auto"/>
        </w:rPr>
      </w:pPr>
      <w:r>
        <w:rPr>
          <w:rFonts w:ascii="Arial" w:cs="Arial" w:eastAsia="Arial" w:hAnsi="Arial"/>
          <w:sz w:val="18"/>
          <w:szCs w:val="18"/>
          <w:color w:val="auto"/>
        </w:rPr>
        <w:t>9.5% of the Borrower’s operating income for the year ended December 31, 2021, then such second Subsidiary would constitute a “Material Subsidiary” for purposes of Article VII).</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December 22, 2025.</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set forth in Section 9.13.</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the Borrower or any ERISA Affiliate is making or accruing an obligation to make contributions, or has within any of the preceding six Plan years made or accrued an obligation to make contributions.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NIBOR</w:t>
      </w:r>
      <w:r>
        <w:rPr>
          <w:rFonts w:ascii="Arial" w:cs="Arial" w:eastAsia="Arial" w:hAnsi="Arial"/>
          <w:sz w:val="18"/>
          <w:szCs w:val="18"/>
          <w:color w:val="auto"/>
        </w:rPr>
        <w:t>” has the meaning specified in the definition of Eurocurrency Rate.</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Non-ABR Lender</w:t>
      </w:r>
      <w:r>
        <w:rPr>
          <w:rFonts w:ascii="Arial" w:cs="Arial" w:eastAsia="Arial" w:hAnsi="Arial"/>
          <w:sz w:val="18"/>
          <w:szCs w:val="18"/>
          <w:color w:val="auto"/>
        </w:rPr>
        <w:t>” means any Lender that does not extend credit based on a U.S. “prime rate” or Federal Funds Rate in the ordinary course of its business.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assigned to such term in Section 9.02(c).</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Nonrenewal Notice Date</w:t>
      </w:r>
      <w:r>
        <w:rPr>
          <w:rFonts w:ascii="Arial" w:cs="Arial" w:eastAsia="Arial" w:hAnsi="Arial"/>
          <w:sz w:val="18"/>
          <w:szCs w:val="18"/>
          <w:color w:val="auto"/>
        </w:rPr>
        <w:t>” has the meaning set forth in Section 2.05(a)(vii).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Norwegian Kroner</w:t>
      </w:r>
      <w:r>
        <w:rPr>
          <w:rFonts w:ascii="Arial" w:cs="Arial" w:eastAsia="Arial" w:hAnsi="Arial"/>
          <w:sz w:val="18"/>
          <w:szCs w:val="18"/>
          <w:color w:val="auto"/>
        </w:rPr>
        <w:t>” means the lawful currency of the Kingdom of Norway.</w:t>
      </w:r>
    </w:p>
    <w:p>
      <w:pPr>
        <w:spacing w:after="0" w:line="225"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 the due and punctual payment by the Borrower (and the Additional Borrowers, if any) of (i) the principal of and interest (including interest accruing during the pendency of any bankruptcy, insolvency, receivership or other similar proceeding, regardless of whether allowed or allowable in such proceeding) on the Loans under this Agreement paid equally and ratably, when and as due, whether at maturity, by acceleration, upon one or more dates set for prepayment or otherwise, in each case, free and clear and without deduction for any Indemnified Taxes or Other Taxes,</w:t>
      </w:r>
    </w:p>
    <w:p>
      <w:pPr>
        <w:spacing w:after="0" w:line="1" w:lineRule="exact"/>
        <w:rPr>
          <w:sz w:val="20"/>
          <w:szCs w:val="20"/>
          <w:color w:val="auto"/>
        </w:rPr>
      </w:pPr>
    </w:p>
    <w:p>
      <w:pPr>
        <w:ind w:left="5364" w:right="1860" w:hanging="5364"/>
        <w:spacing w:after="0" w:line="433" w:lineRule="auto"/>
        <w:tabs>
          <w:tab w:leader="none" w:pos="27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each payment required to be made by the Borrower (and the Additional Borrowers, if any) under this Agreement in respect -21-</w:t>
      </w:r>
    </w:p>
    <w:p>
      <w:pPr>
        <w:sectPr>
          <w:pgSz w:w="11900" w:h="16838" w:orient="portrait"/>
          <w:cols w:equalWidth="0" w:num="1">
            <w:col w:w="10984"/>
          </w:cols>
          <w:pgMar w:left="436" w:top="274" w:right="479" w:bottom="1440" w:gutter="0" w:footer="0" w:header="0"/>
        </w:sectPr>
      </w:pPr>
    </w:p>
    <w:bookmarkStart w:id="151" w:name="page152"/>
    <w:bookmarkEnd w:id="15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any Letter of Credit, when and as due, including payments in respect of reimbursement of disbursements, interest and fees thereon and obligations to provide cash collateral, and (iii) all other monetary obligations of the Borrower (and the Additional Borrowers, if any) to the Administrative Agent or any of the Lenders under this Agreement and each of the other Loan Documents, paid equally and ratably, including obligations to pay fees (including participation and commitment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and (b) the due and punctual performance of all other obligations of the Borrower (and the Additional Borrowers, if any) under or pursuant to this Agreement and each of the other Loan Documents.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with respect to any Person, the charter, articles or certificate of organization or incorporation and bylaws or other organizational or governing documents of such Person.</w:t>
      </w:r>
    </w:p>
    <w:p>
      <w:pPr>
        <w:spacing w:after="0" w:line="170" w:lineRule="exact"/>
        <w:rPr>
          <w:sz w:val="20"/>
          <w:szCs w:val="20"/>
          <w:color w:val="auto"/>
        </w:rPr>
      </w:pPr>
    </w:p>
    <w:p>
      <w:pPr>
        <w:ind w:right="1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means any and all present or future recording, stamp, documentary, excise, property or similar Taxes arising from any payment made under any Loan Document or from the execution, delivery or enforcement of, or otherwise with respect to, any Loan Document, excluding any such Tax imposed as a result of an assignment (other than an assignment made at the request of the Borrower pursuant to Section 2.17(b)) by a Lender (an “</w:t>
      </w:r>
      <w:r>
        <w:rPr>
          <w:rFonts w:ascii="Arial" w:cs="Arial" w:eastAsia="Arial" w:hAnsi="Arial"/>
          <w:sz w:val="16"/>
          <w:szCs w:val="16"/>
          <w:u w:val="single" w:color="auto"/>
          <w:color w:val="auto"/>
        </w:rPr>
        <w:t>Assignment Tax</w:t>
      </w:r>
      <w:r>
        <w:rPr>
          <w:rFonts w:ascii="Arial" w:cs="Arial" w:eastAsia="Arial" w:hAnsi="Arial"/>
          <w:sz w:val="16"/>
          <w:szCs w:val="16"/>
          <w:color w:val="auto"/>
        </w:rPr>
        <w:t>”), if such Assignment Tax is imposed as a result of the assignor or assignee being organized in or having its principal office or applicable lending office in the taxing jurisdiction, or as a result of any other present or former connection between the assignor or assignee and the taxing jurisdiction, other than any connection arising from having executed, delivered, become a party to, performed its obligations under, received payments under, received or perfected a security interest under, engaged in any other transaction pursuant to, or enforced, any Loan Document.</w:t>
      </w:r>
    </w:p>
    <w:p>
      <w:pPr>
        <w:spacing w:after="0" w:line="166"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(i) with respect to Loans on any date, the Dollar Equivalent of the aggregate outstanding principal amount thereof after giving effect to any borrowings and prepayments or repayments of such Loans occurring on such date; and (ii) with respect to any Letter of Credit or LC Disbursement on any date, the Dollar Equivalent of the aggregate outstanding amount of such Letter of Credit or LC Disbursement on such date after giving effect to any issuance or amendment of any Letter of Credit occurring on such date, any drawing under any Letter of Credit occurring on such date and any other changes in the aggregate amount of the LC Exposure as of such date, including as a result of any reimbursements by or on behalf of the Borrower of LC Disbursements.</w:t>
      </w:r>
    </w:p>
    <w:p>
      <w:pPr>
        <w:spacing w:after="0" w:line="192"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w:t>
      </w:r>
      <w:r>
        <w:rPr>
          <w:rFonts w:ascii="Arial" w:cs="Arial" w:eastAsia="Arial" w:hAnsi="Arial"/>
          <w:sz w:val="18"/>
          <w:szCs w:val="18"/>
          <w:color w:val="auto"/>
        </w:rPr>
        <w:t>” means, for any day, (a) with respect to any amount denominated in Dollars, the greater of (i) the Federal Funds Rate and (ii) an overnight rate determined by the Administrative Agent or an Issuing Bank,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specified in the definition of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9.04(c)(i).</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52" w:name="page153"/>
    <w:bookmarkEnd w:id="15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specified in Section 9.04(c)(i).</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Communities that adopts or has adopted the Euro as its lawful currency in accordance with legislation of the European Community relating to Economic and Monetary Union.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has the meaning assigned to such term in Section 9.14.</w:t>
      </w:r>
    </w:p>
    <w:p>
      <w:pPr>
        <w:spacing w:after="0" w:line="225"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referred to and defined in ERISA and any successor entity performing similar functions.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117" w:lineRule="exact"/>
        <w:rPr>
          <w:sz w:val="20"/>
          <w:szCs w:val="20"/>
          <w:color w:val="auto"/>
        </w:rPr>
      </w:pPr>
    </w:p>
    <w:p>
      <w:pPr>
        <w:ind w:left="440" w:right="200" w:firstLine="419"/>
        <w:spacing w:after="0" w:line="277" w:lineRule="auto"/>
        <w:tabs>
          <w:tab w:leader="none" w:pos="110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Liens imposed by law for taxes, assessments or other governmental charges that are not yet due or are being contested in good faith by appropriate proceedings;</w:t>
      </w:r>
    </w:p>
    <w:p>
      <w:pPr>
        <w:spacing w:after="0" w:line="62" w:lineRule="exact"/>
        <w:rPr>
          <w:rFonts w:ascii="Arial" w:cs="Arial" w:eastAsia="Arial" w:hAnsi="Arial"/>
          <w:sz w:val="18"/>
          <w:szCs w:val="18"/>
          <w:color w:val="auto"/>
        </w:rPr>
      </w:pPr>
    </w:p>
    <w:p>
      <w:pPr>
        <w:ind w:left="440" w:right="40" w:firstLine="419"/>
        <w:spacing w:after="0" w:line="263" w:lineRule="auto"/>
        <w:tabs>
          <w:tab w:leader="none" w:pos="111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landlords’ and other like Liens imposed by law, arising in the ordinary course of business and securing obligations that are not overdue by more than 60 days or are being contested in good faith by appropriate proceedings;</w:t>
      </w:r>
    </w:p>
    <w:p>
      <w:pPr>
        <w:spacing w:after="0" w:line="75" w:lineRule="exact"/>
        <w:rPr>
          <w:rFonts w:ascii="Arial" w:cs="Arial" w:eastAsia="Arial" w:hAnsi="Arial"/>
          <w:sz w:val="18"/>
          <w:szCs w:val="18"/>
          <w:color w:val="auto"/>
        </w:rPr>
      </w:pPr>
    </w:p>
    <w:p>
      <w:pPr>
        <w:ind w:left="440" w:firstLine="419"/>
        <w:spacing w:after="0" w:line="263" w:lineRule="auto"/>
        <w:tabs>
          <w:tab w:leader="none" w:pos="110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pension liabilities, unemployment insurance and other social security laws or regulations or other insurance-related obligations (including, without limitation, pledges or deposits securing liability to insurance carriers under insurance or self-insurance arrangements);</w:t>
      </w:r>
    </w:p>
    <w:p>
      <w:pPr>
        <w:spacing w:after="0" w:line="75" w:lineRule="exact"/>
        <w:rPr>
          <w:rFonts w:ascii="Arial" w:cs="Arial" w:eastAsia="Arial" w:hAnsi="Arial"/>
          <w:sz w:val="18"/>
          <w:szCs w:val="18"/>
          <w:color w:val="auto"/>
        </w:rPr>
      </w:pPr>
    </w:p>
    <w:p>
      <w:pPr>
        <w:ind w:left="440" w:right="20" w:firstLine="419"/>
        <w:spacing w:after="0" w:line="277" w:lineRule="auto"/>
        <w:tabs>
          <w:tab w:leader="none" w:pos="111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62" w:lineRule="exact"/>
        <w:rPr>
          <w:rFonts w:ascii="Arial" w:cs="Arial" w:eastAsia="Arial" w:hAnsi="Arial"/>
          <w:sz w:val="18"/>
          <w:szCs w:val="18"/>
          <w:color w:val="auto"/>
        </w:rPr>
      </w:pPr>
    </w:p>
    <w:p>
      <w:pPr>
        <w:ind w:left="1100" w:hanging="241"/>
        <w:spacing w:after="0"/>
        <w:tabs>
          <w:tab w:leader="none" w:pos="11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judgment liens in respect of judgments that do not constitute an Event of Default under clause (k) of Article VII;</w:t>
      </w:r>
    </w:p>
    <w:p>
      <w:pPr>
        <w:spacing w:after="0" w:line="117" w:lineRule="exact"/>
        <w:rPr>
          <w:rFonts w:ascii="Arial" w:cs="Arial" w:eastAsia="Arial" w:hAnsi="Arial"/>
          <w:sz w:val="18"/>
          <w:szCs w:val="18"/>
          <w:color w:val="auto"/>
        </w:rPr>
      </w:pPr>
    </w:p>
    <w:p>
      <w:pPr>
        <w:ind w:left="440" w:right="40" w:firstLine="419"/>
        <w:spacing w:after="0" w:line="263" w:lineRule="auto"/>
        <w:tabs>
          <w:tab w:leader="none" w:pos="108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Liens deemed to exist in connection with Permitted Investments in repurchase agreements;</w:t>
      </w:r>
    </w:p>
    <w:p>
      <w:pPr>
        <w:spacing w:after="0" w:line="117" w:lineRule="exact"/>
        <w:rPr>
          <w:rFonts w:ascii="Arial" w:cs="Arial" w:eastAsia="Arial" w:hAnsi="Arial"/>
          <w:sz w:val="18"/>
          <w:szCs w:val="18"/>
          <w:color w:val="auto"/>
        </w:rPr>
      </w:pPr>
    </w:p>
    <w:p>
      <w:pPr>
        <w:ind w:left="440" w:right="480" w:firstLine="419"/>
        <w:spacing w:after="0" w:line="311" w:lineRule="auto"/>
        <w:tabs>
          <w:tab w:leader="none" w:pos="111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Liens arising in connection with ordinary course non-speculative hedging arrangements and bankers’ Liens granted in the ordinary course of business relating to the operation of bank accounts maintained by the Borrower or its Subsidiaries or as part of letter of credit transactions and Liens granted in customary escrow arrangements on sales and acquisitions not prohibited by this Agreement;</w:t>
      </w:r>
    </w:p>
    <w:p>
      <w:pPr>
        <w:spacing w:after="0" w:line="40" w:lineRule="exact"/>
        <w:rPr>
          <w:rFonts w:ascii="Arial" w:cs="Arial" w:eastAsia="Arial" w:hAnsi="Arial"/>
          <w:sz w:val="16"/>
          <w:szCs w:val="16"/>
          <w:color w:val="auto"/>
        </w:rPr>
      </w:pPr>
    </w:p>
    <w:p>
      <w:pPr>
        <w:ind w:left="440" w:right="40" w:firstLine="419"/>
        <w:spacing w:after="0" w:line="342" w:lineRule="auto"/>
        <w:tabs>
          <w:tab w:leader="none" w:pos="107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netting or setoff arrangement entered into by the Borrower or any of its Subsidiaries in the ordinary course of its banking arrangements or in connection with the cash pooling activities of the Borrower and its Subsidiaries entered into in the ordinary course of business;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53" w:name="page154"/>
    <w:bookmarkEnd w:id="153"/>
    <w:p>
      <w:pPr>
        <w:ind w:left="1080" w:hanging="221"/>
        <w:spacing w:after="0"/>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customary Liens over goods, inventory or documents of title where the shipment or storage price is financed by a documentary credit;</w:t>
      </w:r>
    </w:p>
    <w:p>
      <w:pPr>
        <w:spacing w:after="0" w:line="140" w:lineRule="exact"/>
        <w:rPr>
          <w:rFonts w:ascii="Arial" w:cs="Arial" w:eastAsia="Arial" w:hAnsi="Arial"/>
          <w:sz w:val="16"/>
          <w:szCs w:val="16"/>
          <w:color w:val="auto"/>
        </w:rPr>
      </w:pPr>
    </w:p>
    <w:p>
      <w:pPr>
        <w:ind w:left="440" w:right="160" w:firstLine="419"/>
        <w:spacing w:after="0" w:line="277" w:lineRule="auto"/>
        <w:tabs>
          <w:tab w:leader="none" w:pos="111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62" w:lineRule="exact"/>
        <w:rPr>
          <w:rFonts w:ascii="Arial" w:cs="Arial" w:eastAsia="Arial" w:hAnsi="Arial"/>
          <w:sz w:val="18"/>
          <w:szCs w:val="18"/>
          <w:color w:val="auto"/>
        </w:rPr>
      </w:pPr>
    </w:p>
    <w:p>
      <w:pPr>
        <w:ind w:left="440" w:right="520" w:firstLine="419"/>
        <w:spacing w:after="0" w:line="277" w:lineRule="auto"/>
        <w:tabs>
          <w:tab w:leader="none" w:pos="107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Liens constituting contractual rights of setoff under agreements with customers, in each case, entered into in the ordinary course of business; and</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filing of UCC financing statements solely as a precautionary measure in connection with operating leases or consignment of goods;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“Permitted Encumbrances” shall not include any Lien securing Indebtedness for borrowed money.</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xml:space="preserve">” means investments that comply with the Borrower’s Investment Policy as disclosed to the Administrative Agent on the Closing Date, as such Investment Policy may be modified from time to time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Investment Policy shall not be modified in any manner that would or would reasonably be expected to materially and adversely affect the interests or remedies of the Administrative Agent or the Lenders without the prior written consent of the Administrative Agent.</w:t>
      </w:r>
    </w:p>
    <w:p>
      <w:pPr>
        <w:spacing w:after="0" w:line="187"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or entity, including any corporation, limited liability company, trust, joint venture, association, company, partnership or Governmental Authority or other entity.</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has the meaning set forth in Section 5.01.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Pre-Adjustment Dollar Successor Rate</w:t>
      </w:r>
      <w:r>
        <w:rPr>
          <w:rFonts w:ascii="Arial" w:cs="Arial" w:eastAsia="Arial" w:hAnsi="Arial"/>
          <w:sz w:val="18"/>
          <w:szCs w:val="18"/>
          <w:color w:val="auto"/>
        </w:rPr>
        <w:t>” has the meaning specified in Section 2.12(d).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Level</w:t>
      </w:r>
      <w:r>
        <w:rPr>
          <w:rFonts w:ascii="Arial" w:cs="Arial" w:eastAsia="Arial" w:hAnsi="Arial"/>
          <w:sz w:val="18"/>
          <w:szCs w:val="18"/>
          <w:color w:val="auto"/>
        </w:rPr>
        <w:t>” means the relevant level listed under the column “Pricing Level” in the grid in the definition of “Applicable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obligor</w:t>
      </w:r>
      <w:r>
        <w:rPr>
          <w:rFonts w:ascii="Arial" w:cs="Arial" w:eastAsia="Arial" w:hAnsi="Arial"/>
          <w:sz w:val="18"/>
          <w:szCs w:val="18"/>
          <w:color w:val="auto"/>
        </w:rPr>
        <w:t>” has the meaning specified in the definition of Guarantee.</w:t>
      </w:r>
    </w:p>
    <w:p>
      <w:pPr>
        <w:spacing w:after="0" w:line="225"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means, with respect to the calculation of the Leverage Ratio, that such calculation shall give pro forma effect to all dividends, distributions and redemptions of Equity Interests in the Borrower, creation or incurrence of Liens or Acquisitions, all issuances, incurrences or assumptions and all repayments of Indebtedness (with any such Indebtedness being deemed to be amortized over the applicable testing period in accordance with its terms) and all sales, transfers or other dispositions of any material assets outside the ordinary course of business that have occurred since the beginning of the four consecutive fiscal quarter period of the Borrower most-recently ended on or prior to such date for which financial statements have been or were required to be delivered pursuant to paragraph (a) or (b) of Section 5.01 as if they occurred on the first day of such four consecutive fiscal quarter period (including cost savings resulting from headcount reductions, facility closings or similar restructurings to the extent such cost savings (a) would be permitted to be reflected in pro forma financial information complying with the requirements of GAAP and Article XI of Regulation S-X under the Securities Act of 1933, as amended, as interpreted by the Staff of the SEC, and as certified by a Financial Officer or (b) have been realized or for which the steps necessary for realization have been taken, and as certified by a Financial Officer).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54" w:name="page155"/>
    <w:bookmarkEnd w:id="15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Projections</w:t>
      </w:r>
      <w:r>
        <w:rPr>
          <w:rFonts w:ascii="Arial" w:cs="Arial" w:eastAsia="Arial" w:hAnsi="Arial"/>
          <w:sz w:val="18"/>
          <w:szCs w:val="18"/>
          <w:color w:val="auto"/>
        </w:rPr>
        <w:t>” has the meaning specified in Section 3.11.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Change</w:t>
      </w:r>
      <w:r>
        <w:rPr>
          <w:rFonts w:ascii="Arial" w:cs="Arial" w:eastAsia="Arial" w:hAnsi="Arial"/>
          <w:sz w:val="18"/>
          <w:szCs w:val="18"/>
          <w:color w:val="auto"/>
        </w:rPr>
        <w:t>” has the meaning assigned to such term in Section 9.02(c).</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has the meaning set forth in Section 5.01.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of the Borrower other than Disqualified Equity Interests.</w:t>
      </w:r>
    </w:p>
    <w:p>
      <w:pPr>
        <w:spacing w:after="0" w:line="225"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 Determination Date</w:t>
      </w:r>
      <w:r>
        <w:rPr>
          <w:rFonts w:ascii="Arial" w:cs="Arial" w:eastAsia="Arial" w:hAnsi="Arial"/>
          <w:sz w:val="18"/>
          <w:szCs w:val="18"/>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market practice is not administratively feasible for the Administrative Agent, such other day as otherwise reasonably determined by the Administrative Agent).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w:t>
      </w:r>
      <w:r>
        <w:rPr>
          <w:rFonts w:ascii="Arial" w:cs="Arial" w:eastAsia="Arial" w:hAnsi="Arial"/>
          <w:sz w:val="18"/>
          <w:szCs w:val="18"/>
          <w:color w:val="auto"/>
        </w:rPr>
        <w:t>” has the meaning assigned to such term in Section 4.01(e).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9.04(b)(iv).</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Regulated Subsidiary</w:t>
      </w:r>
      <w:r>
        <w:rPr>
          <w:rFonts w:ascii="Arial" w:cs="Arial" w:eastAsia="Arial" w:hAnsi="Arial"/>
          <w:sz w:val="16"/>
          <w:szCs w:val="16"/>
          <w:color w:val="auto"/>
        </w:rPr>
        <w:t>” means (i) any Broker-Dealer Subsidiary, (ii) any Subsidiary regulated as an insurance company or clearinghouse, and</w:t>
      </w:r>
    </w:p>
    <w:p>
      <w:pPr>
        <w:spacing w:after="0" w:line="46" w:lineRule="exact"/>
        <w:rPr>
          <w:sz w:val="20"/>
          <w:szCs w:val="20"/>
          <w:color w:val="auto"/>
        </w:rPr>
      </w:pPr>
    </w:p>
    <w:p>
      <w:pPr>
        <w:ind w:left="4" w:right="240" w:hanging="4"/>
        <w:spacing w:after="0" w:line="255" w:lineRule="auto"/>
        <w:tabs>
          <w:tab w:leader="none" w:pos="31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Subsidiary whose dividends may be restricted, other activities undertaken by such Subsidiary may be limited or other regulatory actions with respect to such Subsidiary may be taken, in each case by applicable Governmental Authorities in the event that such Subsidiary does not maintain capital at the level required by applicable Governmental Authorities.</w:t>
      </w:r>
    </w:p>
    <w:p>
      <w:pPr>
        <w:spacing w:after="0" w:line="190"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Dollar Adjustment</w:t>
      </w:r>
      <w:r>
        <w:rPr>
          <w:rFonts w:ascii="Arial" w:cs="Arial" w:eastAsia="Arial" w:hAnsi="Arial"/>
          <w:sz w:val="18"/>
          <w:szCs w:val="18"/>
          <w:color w:val="auto"/>
        </w:rPr>
        <w:t>” means, in determining any Dollar LIBOR Successor Rate, the first relevant available alternative set forth in the order below that can be determined by the Administrative Agent applicable to such Dollar LIBOR Successor Rate:</w:t>
      </w:r>
    </w:p>
    <w:p>
      <w:pPr>
        <w:spacing w:after="0" w:line="62" w:lineRule="exact"/>
        <w:rPr>
          <w:sz w:val="20"/>
          <w:szCs w:val="20"/>
          <w:color w:val="auto"/>
        </w:rPr>
      </w:pPr>
    </w:p>
    <w:p>
      <w:pPr>
        <w:ind w:left="444" w:right="120" w:firstLine="419"/>
        <w:spacing w:after="0" w:line="255" w:lineRule="auto"/>
        <w:tabs>
          <w:tab w:leader="none" w:pos="108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that has been selected or recommended by the Relevant Governmental Body for the relevant Pre-Adjustment Dollar Successor Rate (taking into account the interest period, interest payment date or payment period for interest calculated and/or tenor thereto) and which adjustment or method (x) is published on an information service as selected by the Administrative Agent from time to time in its reasonable discretion or (y) solely with respect to Term SOFR, if not currently published, which was previously so recommended for Term SOFR and published on an information service reasonably acceptable to the Administrative Agent; or</w:t>
      </w:r>
    </w:p>
    <w:p>
      <w:pPr>
        <w:spacing w:after="0" w:line="84" w:lineRule="exact"/>
        <w:rPr>
          <w:rFonts w:ascii="Arial" w:cs="Arial" w:eastAsia="Arial" w:hAnsi="Arial"/>
          <w:sz w:val="18"/>
          <w:szCs w:val="18"/>
          <w:color w:val="auto"/>
        </w:rPr>
      </w:pPr>
    </w:p>
    <w:p>
      <w:pPr>
        <w:ind w:left="444" w:right="200" w:firstLine="419"/>
        <w:spacing w:after="0" w:line="342" w:lineRule="auto"/>
        <w:tabs>
          <w:tab w:leader="none" w:pos="113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spread adjustment that would apply (or has previously been applied) to the fallback rate for a derivative transaction referencing the ISDA Definitions (taking into account the interest period, interest payment date or payment period for interest calculated and/or tenor thereto).</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Indemnified Person</w:t>
      </w:r>
      <w:r>
        <w:rPr>
          <w:rFonts w:ascii="Arial" w:cs="Arial" w:eastAsia="Arial" w:hAnsi="Arial"/>
          <w:sz w:val="18"/>
          <w:szCs w:val="18"/>
          <w:color w:val="auto"/>
        </w:rPr>
        <w:t>” has the meaning assigned to such term in Section 9.03(b).</w:t>
      </w:r>
    </w:p>
    <w:p>
      <w:pPr>
        <w:spacing w:after="0" w:line="225"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trustees and advisors of such Person and such Person’s Affiliates.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155" w:name="page156"/>
    <w:bookmarkEnd w:id="155"/>
    <w:p>
      <w:pPr>
        <w:jc w:val="both"/>
        <w:ind w:left="4"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discharge, dispersal, leaching or migration into or through the environment (including ambient air, surface water, groundwater, land surface or subsurface strata) or within or upon any building, structure, facility or fixture.</w:t>
      </w:r>
    </w:p>
    <w:p>
      <w:pPr>
        <w:spacing w:after="0" w:line="184" w:lineRule="exact"/>
        <w:rPr>
          <w:sz w:val="20"/>
          <w:szCs w:val="20"/>
          <w:color w:val="auto"/>
        </w:rPr>
      </w:pPr>
    </w:p>
    <w:p>
      <w:pPr>
        <w:ind w:left="4"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Federal Reserve Board and/or the Federal Reserve Bank of New York, or a committee officially endorsed or convened by the Federal Reserve Board and/or the Federal Reserve Bank of New York.</w:t>
      </w:r>
    </w:p>
    <w:p>
      <w:pPr>
        <w:spacing w:after="0" w:line="170" w:lineRule="exact"/>
        <w:rPr>
          <w:sz w:val="20"/>
          <w:szCs w:val="20"/>
          <w:color w:val="auto"/>
        </w:rPr>
      </w:pPr>
    </w:p>
    <w:p>
      <w:pPr>
        <w:ind w:left="4"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having Revolving Exposures and, without duplication, unused Commitments, collectively, representing more than 50% of the aggregate Revolving Exposures and, without duplication, unused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unused Revolving Commitments and Revolving Exposure held or deemed held by, any Defaulting Lender shall be excluded for purposes of making a determination of Required Lenders.</w:t>
      </w:r>
    </w:p>
    <w:p>
      <w:pPr>
        <w:spacing w:after="0" w:line="187"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with respect to any Person, any statute, law, treaty, rule, regulation, order, decree, writ, official guidance, injunction or determination of any arbitrator or court or other Governmental Authority, in each case applicable to or binding upon such Person or any of its property or to which such Person or any of its property is subject.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(a) the chief executive officer, president, executive vice president, chief financial officer, treasurer or assistant treasurer or other similar officer or Person performing similar functions of the Borrower, (b) as to any document delivered on the Closing Date (or, in connection with the closing of any amendment, amendment and restatement, supplement or other modification pursuant to which a certificate of a secretary or assistant secretary is required to be delivered), any secretary or assistant secretary of the Borrower, (c) solely for purposes of notices given under Article II, any other officer or employee of the Borrower expressly designated as a “Responsible Officer” for purposes of the Loan Documents by any other Responsible Officer in a written notice to the Administrative Agent and (d) any other officer or employee of the Borrower designated as a “Responsible Officer” for purposes of the Loan Documents in or pursuant to a written agreement between the Borrower and the Administrative Agent in connection with the Loan Documents. Any document delivered hereunder that is signed by a Responsible Officer of the Borrower shall be conclusively presumed to have been authorized by all necessary corporate, partnership and/or other action on the part of the Borrower and such Responsible Officer shall be conclusively presumed to have acted on behalf of the Borrower.</w:t>
      </w:r>
    </w:p>
    <w:p>
      <w:pPr>
        <w:spacing w:after="0" w:line="185"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Revaluation Date</w:t>
      </w:r>
      <w:r>
        <w:rPr>
          <w:rFonts w:ascii="Arial" w:cs="Arial" w:eastAsia="Arial" w:hAnsi="Arial"/>
          <w:sz w:val="16"/>
          <w:szCs w:val="16"/>
          <w:color w:val="auto"/>
        </w:rPr>
        <w:t>” means (a) with respect to any Loan, each of the following: (i) each date of a Borrowing of a Eurocurrency Loan denominated in an Alternative Currency, (ii) each date of a continuation of a Eurocurrency Loan denominated in an Alternative Currency pursuant to Section 2.03 and</w:t>
      </w:r>
    </w:p>
    <w:p>
      <w:pPr>
        <w:ind w:left="4" w:right="60" w:hanging="4"/>
        <w:spacing w:after="0" w:line="271" w:lineRule="auto"/>
        <w:tabs>
          <w:tab w:leader="none" w:pos="319" w:val="left"/>
        </w:tabs>
        <w:numPr>
          <w:ilvl w:val="0"/>
          <w:numId w:val="138"/>
        </w:numPr>
        <w:rPr>
          <w:rFonts w:ascii="Arial" w:cs="Arial" w:eastAsia="Arial" w:hAnsi="Arial"/>
          <w:sz w:val="17"/>
          <w:szCs w:val="17"/>
          <w:color w:val="auto"/>
        </w:rPr>
      </w:pPr>
      <w:r>
        <w:rPr>
          <w:rFonts w:ascii="Arial" w:cs="Arial" w:eastAsia="Arial" w:hAnsi="Arial"/>
          <w:sz w:val="17"/>
          <w:szCs w:val="17"/>
          <w:color w:val="auto"/>
        </w:rPr>
        <w:t>such additional dates as the Administrative Agent shall reasonably determine or the Required Lenders shall reasonably require; and (b) with respect to any Letter of Credit, each of the following: (i) each date of issuance of a Letter of Credit denominated in an Alternative Currency, (ii) each date of an amendment of any such Letter of Credit having the effect of increasing the amount thereof (solely with respect to the increased amount), (iii) each date of any payment by an Issuing Bank under any Letter of Credit denominated in an Alternative Currency and (iv) such additional dates as the Administrative Agent or an Issuing Bank shall reasonably determine or the Required Lenders shall reasonably require.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156" w:name="page157"/>
    <w:bookmarkEnd w:id="156"/>
    <w:p>
      <w:pPr>
        <w:ind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Revolving A Commitment</w:t>
      </w:r>
      <w:r>
        <w:rPr>
          <w:rFonts w:ascii="Arial" w:cs="Arial" w:eastAsia="Arial" w:hAnsi="Arial"/>
          <w:sz w:val="16"/>
          <w:szCs w:val="16"/>
          <w:color w:val="auto"/>
        </w:rPr>
        <w:t xml:space="preserve">” means, with respect to each Revolving A Lender, the commitment, if any, of such Revolving A Lender to make Revolving A Loans and to acquire participations in Tranche A Letters of Credit hereunder, expressed as an amount representing the maximum possible aggregate amount of such Revolving A Lender’s Revolving A Exposure hereunder, as such commitment may be (a) reduced from time to time pursuant to Section 2.06 and (b) reduced or increased from time to time pursuant to assignments by or to such Revolving A Lender pursuant to Section 9.04 or pursuant to any Incremental Facility Amendment. The initial amount of each Revolving A Lender’s Revolving A Commitment is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w:t>
      </w:r>
      <w:r>
        <w:rPr>
          <w:rFonts w:ascii="Arial" w:cs="Arial" w:eastAsia="Arial" w:hAnsi="Arial"/>
          <w:sz w:val="16"/>
          <w:szCs w:val="16"/>
          <w:color w:val="auto"/>
        </w:rPr>
        <w:t xml:space="preserve"> to this Agreement, or in the Assignment and Assumption pursuant to which such Revolving A Lender shall have assumed its Revolving A Commitment, as the case may be. The initial aggregate amount of the Revolving A Lenders’ Revolving A Commitments is $905,000,000.</w:t>
      </w:r>
    </w:p>
    <w:p>
      <w:pPr>
        <w:spacing w:after="0" w:line="166"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 Exposure</w:t>
      </w:r>
      <w:r>
        <w:rPr>
          <w:rFonts w:ascii="Arial" w:cs="Arial" w:eastAsia="Arial" w:hAnsi="Arial"/>
          <w:sz w:val="18"/>
          <w:szCs w:val="18"/>
          <w:color w:val="auto"/>
        </w:rPr>
        <w:t>” means, with respect to any Revolving A Lender at any time, the sum of the Outstanding Amount of such Revolving A Lender’s Revolving A Loans and its Tranche A LC Exposure at such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A Facility</w:t>
      </w:r>
      <w:r>
        <w:rPr>
          <w:rFonts w:ascii="Arial" w:cs="Arial" w:eastAsia="Arial" w:hAnsi="Arial"/>
          <w:sz w:val="17"/>
          <w:szCs w:val="17"/>
          <w:color w:val="auto"/>
        </w:rPr>
        <w:t>” means the Revolving A Commitments and the extension of credit made hereunder by the Revolving A Lenders.</w:t>
      </w:r>
    </w:p>
    <w:p>
      <w:pPr>
        <w:spacing w:after="0" w:line="237"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 Lender</w:t>
      </w:r>
      <w:r>
        <w:rPr>
          <w:rFonts w:ascii="Arial" w:cs="Arial" w:eastAsia="Arial" w:hAnsi="Arial"/>
          <w:sz w:val="18"/>
          <w:szCs w:val="18"/>
          <w:color w:val="auto"/>
        </w:rPr>
        <w:t>” means a Lender with a Revolving A Commitment or, if the Revolving A Commitments have terminated or expired, a Lender with Revolving A Exposure.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 Loan</w:t>
      </w:r>
      <w:r>
        <w:rPr>
          <w:rFonts w:ascii="Arial" w:cs="Arial" w:eastAsia="Arial" w:hAnsi="Arial"/>
          <w:sz w:val="18"/>
          <w:szCs w:val="18"/>
          <w:color w:val="auto"/>
        </w:rPr>
        <w:t>” means a Loan made pursuant to Section 2.01(i).</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Availability Period</w:t>
      </w:r>
      <w:r>
        <w:rPr>
          <w:rFonts w:ascii="Arial" w:cs="Arial" w:eastAsia="Arial" w:hAnsi="Arial"/>
          <w:sz w:val="18"/>
          <w:szCs w:val="18"/>
          <w:color w:val="auto"/>
        </w:rPr>
        <w:t>” means the period from and including the Closing Date to but excluding the earlier of the Maturity Date and the date of termination of the Revolving Commitments.</w:t>
      </w:r>
    </w:p>
    <w:p>
      <w:pPr>
        <w:spacing w:after="0" w:line="170"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B Commitment</w:t>
      </w:r>
      <w:r>
        <w:rPr>
          <w:rFonts w:ascii="Arial" w:cs="Arial" w:eastAsia="Arial" w:hAnsi="Arial"/>
          <w:sz w:val="16"/>
          <w:szCs w:val="16"/>
          <w:color w:val="auto"/>
        </w:rPr>
        <w:t xml:space="preserve">” means, with respect to each Revolving B Lender, the commitment, if any, of such Revolving B Lender to make Revolving B Loans and to acquire participations in Tranche B Letters of Credit hereunder, expressed as an amount representing the maximum possible aggregate amount of such Revolving B Lender’s Revolving B Exposure hereunder, as such commitment may be (a) reduced from time to time pursuant to Section 2.06 and (b) reduced or increased from time to time pursuant to assignments by or to such Revolving B Lender pursuant to Section 9.04 or pursuant to any Incremental Facility Amendment. The initial amount of each Revolving B Lender’s Revolving B Commitment is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w:t>
      </w:r>
      <w:r>
        <w:rPr>
          <w:rFonts w:ascii="Arial" w:cs="Arial" w:eastAsia="Arial" w:hAnsi="Arial"/>
          <w:sz w:val="16"/>
          <w:szCs w:val="16"/>
          <w:color w:val="auto"/>
        </w:rPr>
        <w:t xml:space="preserve"> to this Agreement, or in the Assignment and Assumption pursuant to which such Revolving B Lender shall have assumed its Revolving B Commitment, as the case may be. The initial aggregate amount of the Revolving B Lenders’ Revolving B Commitments is $345,000,000.</w:t>
      </w:r>
    </w:p>
    <w:p>
      <w:pPr>
        <w:spacing w:after="0" w:line="166"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B Exposure</w:t>
      </w:r>
      <w:r>
        <w:rPr>
          <w:rFonts w:ascii="Arial" w:cs="Arial" w:eastAsia="Arial" w:hAnsi="Arial"/>
          <w:sz w:val="18"/>
          <w:szCs w:val="18"/>
          <w:color w:val="auto"/>
        </w:rPr>
        <w:t>” means, with respect to any Revolving B Lender at any time, the sum of the Outstanding Amount of such Revolving B Lender’s Revolving B Loans and its Tranche B LC Exposure at such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B Facility</w:t>
      </w:r>
      <w:r>
        <w:rPr>
          <w:rFonts w:ascii="Arial" w:cs="Arial" w:eastAsia="Arial" w:hAnsi="Arial"/>
          <w:sz w:val="17"/>
          <w:szCs w:val="17"/>
          <w:color w:val="auto"/>
        </w:rPr>
        <w:t>” means the Revolving B Commitments and the extension of credit made hereunder by the Revolving B Lenders.</w:t>
      </w:r>
    </w:p>
    <w:p>
      <w:pPr>
        <w:spacing w:after="0" w:line="237"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B Lender</w:t>
      </w:r>
      <w:r>
        <w:rPr>
          <w:rFonts w:ascii="Arial" w:cs="Arial" w:eastAsia="Arial" w:hAnsi="Arial"/>
          <w:sz w:val="18"/>
          <w:szCs w:val="18"/>
          <w:color w:val="auto"/>
        </w:rPr>
        <w:t>” means a Lender with a Revolving B Commitment or, if the Revolving B Commitments have terminated or expired, a Lender with Revolving B Exposure.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B Loan</w:t>
      </w:r>
      <w:r>
        <w:rPr>
          <w:rFonts w:ascii="Arial" w:cs="Arial" w:eastAsia="Arial" w:hAnsi="Arial"/>
          <w:sz w:val="18"/>
          <w:szCs w:val="18"/>
          <w:color w:val="auto"/>
        </w:rPr>
        <w:t>” means a Loan made pursuant to Section 2.01(ii).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means a Revolving A Commitment and/or a Revolving B Commitment, as the context requires.</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40" w:top="274" w:right="539" w:bottom="1440" w:gutter="0" w:footer="0" w:header="0"/>
        </w:sectPr>
      </w:pPr>
    </w:p>
    <w:bookmarkStart w:id="157" w:name="page158"/>
    <w:bookmarkEnd w:id="15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Revolving Exposure</w:t>
      </w:r>
      <w:r>
        <w:rPr>
          <w:rFonts w:ascii="Arial" w:cs="Arial" w:eastAsia="Arial" w:hAnsi="Arial"/>
          <w:sz w:val="18"/>
          <w:szCs w:val="18"/>
          <w:color w:val="auto"/>
        </w:rPr>
        <w:t>” means the Revolving A Exposure and/or the Revolving B Exposure, as the context requires.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 Revolving A Lender and/or a Revolving B Lender, as the context requires.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Revolving A Loan and/or a Revolving B Loan, as the context requires.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S&amp;P Global Inc., and any successor thereto.</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Same Day Funds</w:t>
      </w:r>
      <w:r>
        <w:rPr>
          <w:rFonts w:ascii="Arial" w:cs="Arial" w:eastAsia="Arial" w:hAnsi="Arial"/>
          <w:sz w:val="18"/>
          <w:szCs w:val="18"/>
          <w:color w:val="auto"/>
        </w:rPr>
        <w:t>” means (a) with respect to disbursements and payments in Dollars, immediately available funds, and (b) with respect to disbursements and payments in an Alternative Currency, same day or other funds as may be determined by the Administrative Agent or the applicable Issuing Bank, as the case may be, to be customary in the place of disbursement or payment for the settlement of international banking transactions in the relevant Alternative Currency.</w:t>
      </w:r>
    </w:p>
    <w:p>
      <w:pPr>
        <w:spacing w:after="0" w:line="187"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sanction administered or enforced by the United States federal government (including without limitation, OFAC), the United Nations Security Council, the European Union, Her Majesty’s Treasury (“</w:t>
      </w:r>
      <w:r>
        <w:rPr>
          <w:rFonts w:ascii="Arial" w:cs="Arial" w:eastAsia="Arial" w:hAnsi="Arial"/>
          <w:sz w:val="18"/>
          <w:szCs w:val="18"/>
          <w:u w:val="single" w:color="auto"/>
          <w:color w:val="auto"/>
        </w:rPr>
        <w:t>HMT</w:t>
      </w:r>
      <w:r>
        <w:rPr>
          <w:rFonts w:ascii="Arial" w:cs="Arial" w:eastAsia="Arial" w:hAnsi="Arial"/>
          <w:sz w:val="18"/>
          <w:szCs w:val="18"/>
          <w:color w:val="auto"/>
        </w:rPr>
        <w:t>”) and, solely with respect to the definition of “Designated Jurisdiction,” the government of Canada (including Canadian Economic Sanctions and Export Control Laws), the Swedish Financial Supervisory Authority and European Economic Area.</w:t>
      </w:r>
    </w:p>
    <w:p>
      <w:pPr>
        <w:spacing w:after="0" w:line="187" w:lineRule="exact"/>
        <w:rPr>
          <w:sz w:val="20"/>
          <w:szCs w:val="20"/>
          <w:color w:val="auto"/>
        </w:rPr>
      </w:pPr>
    </w:p>
    <w:p>
      <w:pPr>
        <w:jc w:val="both"/>
        <w:ind w:right="3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Screen Rate</w:t>
      </w:r>
      <w:r>
        <w:rPr>
          <w:rFonts w:ascii="Arial" w:cs="Arial" w:eastAsia="Arial" w:hAnsi="Arial"/>
          <w:sz w:val="17"/>
          <w:szCs w:val="17"/>
          <w:color w:val="auto"/>
        </w:rPr>
        <w:t>” means the Applicable Reference Rate quote for an Applicable Currency on the applicable screen page the Administrative Agent designates to determine such Applicable Reference Rate for such Applicable Currency (or such other commercially available source providing such quotations for such Applicable Currency as may be designated by the Administrative Agent from time to time).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3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Notes Indenture</w:t>
      </w:r>
      <w:r>
        <w:rPr>
          <w:rFonts w:ascii="Arial" w:cs="Arial" w:eastAsia="Arial" w:hAnsi="Arial"/>
          <w:sz w:val="16"/>
          <w:szCs w:val="16"/>
          <w:color w:val="auto"/>
        </w:rPr>
        <w:t>” means the (i) Indenture, dated as of January 15, 2010, between the Borrower and the trustee party thereto, as supplemented by the First Supplemental Indenture, dated as of January 15, 2010 and the Second Supplemental Indenture, dated as of December 21, 2010 and (ii) the Indenture, dated as of June 7, 2013, between the Borrower and the trustee party thereto, as supplemented by the First Supplemental</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Indenture, dated as of June 7, 2013, the Second Supplemental Indenture, dated as of May 29, 2014, the Third Supplemental Indenture, dated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20, 2016, the Fourth Supplemental Indenture, dated as of June 7, 2016, the Fifth Supplemental Indenture, dated as of September 22, 2017, the Sixth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Supplemental Indenture, dated as of April 1, 2019, the Seventh Supplemental Indenture, dated as of February 13, 2020, the Eighth Supplemental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Indenture, dated as of April 28, 2020, the Ninth Supplemental Indenture, dated as of December 21, 2020, the Tenth Supplemental Indenture, dated as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21, 2020, and the Eleventh Supplemental Indenture, dated as of December 21, 2020, in each case, as may be amended, amended and restated,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supplemented or otherwise modified from time to time.</w:t>
      </w:r>
    </w:p>
    <w:p>
      <w:pPr>
        <w:spacing w:after="0" w:line="21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with respect to any Business Day means the secured overnight financing rate published for such day by the Federal Reserve Bank of New York, as the administrator of the benchmark (or a successor administrator) on the Federal Reserve Bank of New York’s website (or any successor source) at approximately 8:00 a.m. (New York City time) on the immediately succeeding Business Day and, in each case, that has been selected or recommended by the Relevant Governmental Body.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58" w:name="page159"/>
    <w:bookmarkEnd w:id="15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Solvency Certificate</w:t>
      </w:r>
      <w:r>
        <w:rPr>
          <w:rFonts w:ascii="Arial" w:cs="Arial" w:eastAsia="Arial" w:hAnsi="Arial"/>
          <w:sz w:val="18"/>
          <w:szCs w:val="18"/>
          <w:color w:val="auto"/>
        </w:rPr>
        <w:t>” means a certificate substantially in the form of Exhibit E, dated as of the Verafin Acquisition Closing Date.</w:t>
      </w:r>
    </w:p>
    <w:p>
      <w:pPr>
        <w:spacing w:after="0" w:line="22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Acquisition Agreement Representations</w:t>
      </w:r>
      <w:r>
        <w:rPr>
          <w:rFonts w:ascii="Arial" w:cs="Arial" w:eastAsia="Arial" w:hAnsi="Arial"/>
          <w:sz w:val="18"/>
          <w:szCs w:val="18"/>
          <w:color w:val="auto"/>
        </w:rPr>
        <w:t>” means such of the representations and warranties made by Verafin in the Verafin Acquisition Agreement as are material to the interests of the Lenders, but only to the extent that the Borrower has the right (taking into account any applicable cure provisions) to terminate its obligations under the Verafin Acquisition Agreement or decline to consummate the Verafin Acquisition as a result of a breach of such representations in the Verafin Acquisition Agreement.</w:t>
      </w:r>
    </w:p>
    <w:p>
      <w:pPr>
        <w:spacing w:after="0" w:line="187"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Borrowing</w:t>
      </w:r>
      <w:r>
        <w:rPr>
          <w:rFonts w:ascii="Arial" w:cs="Arial" w:eastAsia="Arial" w:hAnsi="Arial"/>
          <w:sz w:val="18"/>
          <w:szCs w:val="18"/>
          <w:color w:val="auto"/>
        </w:rPr>
        <w:t>” means any Borrowing of Revolving Loans in Dollars by the Borrower on the Verafin Acquisition Closing Date, the proceeds of which will be used for purposes of financing any portion of the Specified Transactions.</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Debt</w:t>
      </w:r>
      <w:r>
        <w:rPr>
          <w:rFonts w:ascii="Arial" w:cs="Arial" w:eastAsia="Arial" w:hAnsi="Arial"/>
          <w:sz w:val="18"/>
          <w:szCs w:val="18"/>
          <w:color w:val="auto"/>
        </w:rPr>
        <w:t>” means debt instruments evidencing debt for borrowed money of the Borrower in excess of $500 million in principal amount outstanding or committed, in the aggregate, as of the Verafin Acquisition Closing Date (excluding (i) any term loan facility entered into by the Borrower in connection with the Specified Transactions and (ii)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Exception</w:t>
      </w:r>
      <w:r>
        <w:rPr>
          <w:rFonts w:ascii="Arial" w:cs="Arial" w:eastAsia="Arial" w:hAnsi="Arial"/>
          <w:sz w:val="18"/>
          <w:szCs w:val="18"/>
          <w:color w:val="auto"/>
        </w:rPr>
        <w:t>” has the meaning specified in the definition of Material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Lender</w:t>
      </w:r>
      <w:r>
        <w:rPr>
          <w:rFonts w:ascii="Arial" w:cs="Arial" w:eastAsia="Arial" w:hAnsi="Arial"/>
          <w:sz w:val="18"/>
          <w:szCs w:val="18"/>
          <w:color w:val="auto"/>
        </w:rPr>
        <w:t>” has the meaning specified in Section 2.04(a).</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Outside Date</w:t>
      </w:r>
      <w:r>
        <w:rPr>
          <w:rFonts w:ascii="Arial" w:cs="Arial" w:eastAsia="Arial" w:hAnsi="Arial"/>
          <w:sz w:val="18"/>
          <w:szCs w:val="18"/>
          <w:color w:val="auto"/>
        </w:rPr>
        <w:t>” means the “Outside Date” (as defined in the Verafin Acquisition Agreement as in effect as of the date hereof, as it may be extended in accordance with the terms of the Verafin Acquisition Agreement as in effect as of the date hereof).</w:t>
      </w:r>
    </w:p>
    <w:p>
      <w:pPr>
        <w:spacing w:after="0" w:line="170"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Representations</w:t>
      </w:r>
      <w:r>
        <w:rPr>
          <w:rFonts w:ascii="Arial" w:cs="Arial" w:eastAsia="Arial" w:hAnsi="Arial"/>
          <w:sz w:val="16"/>
          <w:szCs w:val="16"/>
          <w:color w:val="auto"/>
        </w:rPr>
        <w:t xml:space="preserve">” means (a) the representations and warranties of the Borrower (to the extent relating to the Borrower) set forth in the following sections of this Agreement: </w:t>
      </w:r>
      <w:r>
        <w:rPr>
          <w:rFonts w:ascii="Arial" w:cs="Arial" w:eastAsia="Arial" w:hAnsi="Arial"/>
          <w:sz w:val="16"/>
          <w:szCs w:val="16"/>
          <w:u w:val="single" w:color="auto"/>
          <w:color w:val="auto"/>
        </w:rPr>
        <w:t>Section 3.01(a)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3.02(a)</w:t>
      </w:r>
      <w:r>
        <w:rPr>
          <w:rFonts w:ascii="Arial" w:cs="Arial" w:eastAsia="Arial" w:hAnsi="Arial"/>
          <w:sz w:val="16"/>
          <w:szCs w:val="16"/>
          <w:color w:val="auto"/>
        </w:rPr>
        <w:t xml:space="preserve"> (limited to the execution and delivery of this Agreement and each other Loan Document);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3.03(b)</w:t>
      </w:r>
      <w:r>
        <w:rPr>
          <w:rFonts w:ascii="Arial" w:cs="Arial" w:eastAsia="Arial" w:hAnsi="Arial"/>
          <w:sz w:val="16"/>
          <w:szCs w:val="16"/>
          <w:color w:val="auto"/>
        </w:rPr>
        <w:t xml:space="preserve"> (limited to no conflict as a result of the execution and delivery of this Agreement); Section 3.03(d) (limited to no conflict with Specified Debt on the Verafin Acquisition Closing Date after giving effect to the Specified Transactions, as a result of the execution and delivery of this Agreement); </w:t>
      </w:r>
      <w:r>
        <w:rPr>
          <w:rFonts w:ascii="Arial" w:cs="Arial" w:eastAsia="Arial" w:hAnsi="Arial"/>
          <w:sz w:val="16"/>
          <w:szCs w:val="16"/>
          <w:u w:val="single" w:color="auto"/>
          <w:color w:val="auto"/>
        </w:rPr>
        <w:t>Section 3.08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and (b) the following representations: (i) the use of proceeds of the Specified Borrowing by the Borrower does not conflict with OFAC, United States Foreign Corrupt Practices Act of 1977 or the Patriot Act .</w:t>
      </w:r>
    </w:p>
    <w:p>
      <w:pPr>
        <w:spacing w:after="0" w:line="164"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Transactions</w:t>
      </w:r>
      <w:r>
        <w:rPr>
          <w:rFonts w:ascii="Arial" w:cs="Arial" w:eastAsia="Arial" w:hAnsi="Arial"/>
          <w:sz w:val="17"/>
          <w:szCs w:val="17"/>
          <w:color w:val="auto"/>
        </w:rPr>
        <w:t>” means, collectively, the Verafin Acquisition, the incurrence by the Borrower and its Subsidiaries of Indebtedness related thereto or in connection therewith (including for the avoidance of doubt, pursuant to this Agreement), the Verafin Refinancing and the transactions contemplated by or related to, and the payment of the fees, costs and expenses in connection with, the foregoing.</w:t>
      </w:r>
    </w:p>
    <w:p>
      <w:pPr>
        <w:spacing w:after="0" w:line="165"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Spot Rate</w:t>
      </w:r>
      <w:r>
        <w:rPr>
          <w:rFonts w:ascii="Arial" w:cs="Arial" w:eastAsia="Arial" w:hAnsi="Arial"/>
          <w:sz w:val="17"/>
          <w:szCs w:val="17"/>
          <w:color w:val="auto"/>
        </w:rPr>
        <w:t xml:space="preserve">” for a currency means the rate determined by the Administrative Agent or an Issuing Bank,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or an Issuing Bank may obtain such spot rate from another financial institution designated by the Administrative Agent or such Issuing Bank if the Person acting in such capacity does not have as of the date of determination a spot buying rate for any such currency;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 Issuing Bank may use such spot rate quoted on the date as of which the foreign exchange computation is made in the case of any Letter of Credit denominated in an Alternative Currency.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159" w:name="page160"/>
    <w:bookmarkEnd w:id="15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Kingdom.</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STIBOR</w:t>
      </w:r>
      <w:r>
        <w:rPr>
          <w:rFonts w:ascii="Arial" w:cs="Arial" w:eastAsia="Arial" w:hAnsi="Arial"/>
          <w:sz w:val="18"/>
          <w:szCs w:val="18"/>
          <w:color w:val="auto"/>
        </w:rPr>
        <w:t>” has the meaning specified in the definition of Eurocurrency Rate.</w:t>
      </w:r>
    </w:p>
    <w:p>
      <w:pPr>
        <w:spacing w:after="0" w:line="225" w:lineRule="exact"/>
        <w:rPr>
          <w:sz w:val="20"/>
          <w:szCs w:val="20"/>
          <w:color w:val="auto"/>
        </w:rPr>
      </w:pPr>
    </w:p>
    <w:p>
      <w:pPr>
        <w:ind w:left="4" w:right="1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u w:val="single" w:color="auto"/>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w:t>
      </w:r>
    </w:p>
    <w:p>
      <w:pPr>
        <w:spacing w:after="0" w:line="2" w:lineRule="exact"/>
        <w:rPr>
          <w:sz w:val="20"/>
          <w:szCs w:val="20"/>
          <w:color w:val="auto"/>
        </w:rPr>
      </w:pPr>
    </w:p>
    <w:p>
      <w:pPr>
        <w:ind w:left="4" w:right="180" w:hanging="4"/>
        <w:spacing w:after="0" w:line="302" w:lineRule="auto"/>
        <w:tabs>
          <w:tab w:leader="none" w:pos="24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5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Borrower.</w:t>
      </w:r>
    </w:p>
    <w:p>
      <w:pPr>
        <w:spacing w:after="0" w:line="225" w:lineRule="exact"/>
        <w:rPr>
          <w:sz w:val="20"/>
          <w:szCs w:val="20"/>
          <w:color w:val="auto"/>
        </w:rPr>
      </w:pPr>
    </w:p>
    <w:p>
      <w:pPr>
        <w:jc w:val="both"/>
        <w:ind w:left="4"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Agreement</w:t>
      </w:r>
      <w:r>
        <w:rPr>
          <w:rFonts w:ascii="Arial" w:cs="Arial" w:eastAsia="Arial" w:hAnsi="Arial"/>
          <w:sz w:val="16"/>
          <w:szCs w:val="16"/>
          <w:color w:val="auto"/>
        </w:rPr>
        <w:t xml:space="preserve">” means any agreement with respect to any swap, forward, future, spot currency purchase, hedging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Swedish Kronor</w:t>
      </w:r>
      <w:r>
        <w:rPr>
          <w:rFonts w:ascii="Arial" w:cs="Arial" w:eastAsia="Arial" w:hAnsi="Arial"/>
          <w:sz w:val="18"/>
          <w:szCs w:val="18"/>
          <w:color w:val="auto"/>
        </w:rPr>
        <w:t>” means the lawful currency of the Kingdom of Sweden.</w:t>
      </w:r>
    </w:p>
    <w:p>
      <w:pPr>
        <w:spacing w:after="0" w:line="225"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Agents</w:t>
      </w:r>
      <w:r>
        <w:rPr>
          <w:rFonts w:ascii="Arial" w:cs="Arial" w:eastAsia="Arial" w:hAnsi="Arial"/>
          <w:sz w:val="18"/>
          <w:szCs w:val="18"/>
          <w:color w:val="auto"/>
        </w:rPr>
        <w:t>” means BofA Securities, Inc., JPMorgan Chase Bank, N.A., Goldman Sachs Bank USA, Morgan Stanley Senior Funding, Inc., Mizuho Bank, LTD., Nordea Bank ABP, New York Branch, Skandinaviska Enskilda Banken AB (publ) and Wells Fargo Securities LLC, each in its capacity as a syndication agent for the Facilities.</w:t>
      </w:r>
    </w:p>
    <w:p>
      <w:pPr>
        <w:spacing w:after="0" w:line="184"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84" w:lineRule="exact"/>
        <w:rPr>
          <w:sz w:val="20"/>
          <w:szCs w:val="20"/>
          <w:color w:val="auto"/>
        </w:rPr>
      </w:pPr>
    </w:p>
    <w:p>
      <w:pPr>
        <w:ind w:left="4"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any and all present or future taxes, levies, imposts, duties, withholdings or similar charges or deductions now or hereafter imposed, levied, collected or withheld by any Governmental Authority, and any interest, penalties or additions to tax related thereto.</w:t>
      </w:r>
    </w:p>
    <w:p>
      <w:pPr>
        <w:spacing w:after="0" w:line="146"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the forward-looking term rate for any period that is approximately (as reasonably determined by the Administrative Agent) as long as any of the Interest Period options set forth in the definition of “Interest Period” and that is based on SOFR and that has been selected or recommended by the Relevant Governmental Body, in each case as published on an information service as selected by the Administrative Agent from time to time in its reasonable discretion.</w:t>
      </w:r>
    </w:p>
    <w:p>
      <w:pPr>
        <w:spacing w:after="0" w:line="187" w:lineRule="exact"/>
        <w:rPr>
          <w:sz w:val="20"/>
          <w:szCs w:val="20"/>
          <w:color w:val="auto"/>
        </w:rPr>
      </w:pPr>
    </w:p>
    <w:p>
      <w:pPr>
        <w:ind w:left="4" w:right="1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Indebtedness</w:t>
      </w:r>
      <w:r>
        <w:rPr>
          <w:rFonts w:ascii="Arial" w:cs="Arial" w:eastAsia="Arial" w:hAnsi="Arial"/>
          <w:sz w:val="17"/>
          <w:szCs w:val="17"/>
          <w:color w:val="auto"/>
        </w:rPr>
        <w:t xml:space="preserve">” means, without duplication, as of any date, the aggregate principal amount of Indebtedness of the Borrower and the Subsidiaries included as a liability on the balance sheet of the Borrower and its Subsidiaries, determined on a consolidated basis, plus any guarantee of indebtedness of any third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“Indebtedness” shall not include any of the following or any guarantees thereof: (i) contingent obligations of the Borrower or any Subsidiary as an account party or applicant in respect of any letter of credit or letter of guaranty unless such letter of credit or letter of guaranty supports an obligation that constitutes Indebtedness, (ii) any unfunded commitment or (iii) any Indebtedness or Guarantees permitted by Section 6.01(viii), (ix) or (xii) and outstanding in reliance of any such Section.</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160" w:name="page161"/>
    <w:bookmarkEnd w:id="160"/>
    <w:p>
      <w:pPr>
        <w:ind w:right="8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Tranche A LC Exposure</w:t>
      </w:r>
      <w:r>
        <w:rPr>
          <w:rFonts w:ascii="Arial" w:cs="Arial" w:eastAsia="Arial" w:hAnsi="Arial"/>
          <w:sz w:val="16"/>
          <w:szCs w:val="16"/>
          <w:color w:val="auto"/>
        </w:rPr>
        <w:t xml:space="preserve">” means, as at any date of determination, the aggregate amount available to be drawn under all outstanding Tranche A Letters of Credit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of all Unreimbursed Amounts in respect of Tranche A Letters of Credit, including all LC Borrowings in respect of Tranche A Letters of Credit. For purposes of computing the amount available to be drawn under any Tranche A Letter of Credit, the amount of such Tranche A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For all purposes of this Agreement, if on any date of determination a Tranche A Letter of Credit has expired by its terms but any amount may still be drawn thereunder by reason of the operation of Rule 3.14 of the ISP, such Tranche A Letter of Credit shall be deemed to be “outstanding” in the amount so remaining available to be drawn. The Tranche A LC exposure of any Revolving A Lender at any time shall be its Applicable Percentage of the aggregate Tranche A LC Exposure at such time.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A Letter of Credit</w:t>
      </w:r>
      <w:r>
        <w:rPr>
          <w:rFonts w:ascii="Arial" w:cs="Arial" w:eastAsia="Arial" w:hAnsi="Arial"/>
          <w:sz w:val="18"/>
          <w:szCs w:val="18"/>
          <w:color w:val="auto"/>
        </w:rPr>
        <w:t>” means any Letter of Credit issued under the Revolving A Facility.</w:t>
      </w:r>
    </w:p>
    <w:p>
      <w:pPr>
        <w:spacing w:after="0" w:line="225"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Tranche B LC Exposure</w:t>
      </w:r>
      <w:r>
        <w:rPr>
          <w:rFonts w:ascii="Arial" w:cs="Arial" w:eastAsia="Arial" w:hAnsi="Arial"/>
          <w:sz w:val="16"/>
          <w:szCs w:val="16"/>
          <w:color w:val="auto"/>
        </w:rPr>
        <w:t xml:space="preserve">” means, as at any date of determination, the aggregate amount available to be drawn under all outstanding Tranche B Letters of Credit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of all Unreimbursed Amounts in respect of Tranche B Letters of Credit, including all LC Borrowings in respect of Tranche B Letters of Credit. For purposes of computing the amount available to be drawn under any Tranche B Letter of Credit, the amount of such Tranche B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For all purposes of this Agreement, if on any date of determination a Tranche B Letter of Credit has expired by its terms but any amount may still be drawn thereunder by reason of the operation of Rule 3.14 of the ISP, such Tranche B Letter of Credit shall be deemed to be “outstanding” in the amount so remaining available to be drawn. The Tranche B LC exposure of any Revolving B Lender at any time shall be its Applicable Percentage of the aggregate Tranche B LC Exposure at such time.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Letter of Credit</w:t>
      </w:r>
      <w:r>
        <w:rPr>
          <w:rFonts w:ascii="Arial" w:cs="Arial" w:eastAsia="Arial" w:hAnsi="Arial"/>
          <w:sz w:val="18"/>
          <w:szCs w:val="18"/>
          <w:color w:val="auto"/>
        </w:rPr>
        <w:t>” means any Letter of Credit issued under the Revolving B Facility.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Conversion</w:t>
      </w:r>
      <w:r>
        <w:rPr>
          <w:rFonts w:ascii="Arial" w:cs="Arial" w:eastAsia="Arial" w:hAnsi="Arial"/>
          <w:sz w:val="18"/>
          <w:szCs w:val="18"/>
          <w:color w:val="auto"/>
        </w:rPr>
        <w:t>” has the meaning specified in Section 2.04(a).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Costs</w:t>
      </w:r>
      <w:r>
        <w:rPr>
          <w:rFonts w:ascii="Arial" w:cs="Arial" w:eastAsia="Arial" w:hAnsi="Arial"/>
          <w:sz w:val="16"/>
          <w:szCs w:val="16"/>
          <w:color w:val="auto"/>
        </w:rPr>
        <w:t>” means all fees, costs and expense incurred or payable by the Borrower or any Subsidiary in connection with the Transactions.</w:t>
      </w:r>
    </w:p>
    <w:p>
      <w:pPr>
        <w:spacing w:after="0" w:line="248"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(a) the execution, delivery and performance by the Borrower of the Loan Documents to which it is to be a party, (b) the consummation of the Verafin Acquisition, (c) the Refinancing and (d) the payment of the Transaction Costs.</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Eurocurrency Rate or the Base Rate.</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ESOP Program</w:t>
      </w:r>
      <w:r>
        <w:rPr>
          <w:rFonts w:ascii="Arial" w:cs="Arial" w:eastAsia="Arial" w:hAnsi="Arial"/>
          <w:sz w:val="18"/>
          <w:szCs w:val="18"/>
          <w:color w:val="auto"/>
        </w:rPr>
        <w:t>” means any program in which any Subsidiary acts as an intermediary in the UK for customers’ exercise of employee stock option programs and/or equivalent incentive schemes that the customers have for its employees.</w:t>
      </w:r>
    </w:p>
    <w:p>
      <w:pPr>
        <w:spacing w:after="0" w:line="170"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4" w:right="499" w:bottom="1440" w:gutter="0" w:footer="0" w:header="0"/>
        </w:sectPr>
      </w:pPr>
    </w:p>
    <w:bookmarkStart w:id="161" w:name="page162"/>
    <w:bookmarkEnd w:id="16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Tax Compliance Certificate</w:t>
      </w:r>
      <w:r>
        <w:rPr>
          <w:rFonts w:ascii="Arial" w:cs="Arial" w:eastAsia="Arial" w:hAnsi="Arial"/>
          <w:sz w:val="18"/>
          <w:szCs w:val="18"/>
          <w:color w:val="auto"/>
        </w:rPr>
        <w:t>” has the meaning specified in Section 2.15(e)(ii)(C).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has the meaning specified in Section 2.05(a)(ix).</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Verafin</w:t>
      </w:r>
      <w:r>
        <w:rPr>
          <w:rFonts w:ascii="Arial" w:cs="Arial" w:eastAsia="Arial" w:hAnsi="Arial"/>
          <w:sz w:val="18"/>
          <w:szCs w:val="18"/>
          <w:color w:val="auto"/>
        </w:rPr>
        <w:t>” means Verafin Holdings Inc.</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Verafin Acquisition</w:t>
      </w:r>
      <w:r>
        <w:rPr>
          <w:rFonts w:ascii="Arial" w:cs="Arial" w:eastAsia="Arial" w:hAnsi="Arial"/>
          <w:sz w:val="18"/>
          <w:szCs w:val="18"/>
          <w:color w:val="auto"/>
        </w:rPr>
        <w:t>” means the acquisition, directly or indirectly, by the Borrower of all of the issued and outstanding common shares of Verafin pursuant to the Verafin Acquisition Agreement.</w:t>
      </w:r>
    </w:p>
    <w:p>
      <w:pPr>
        <w:spacing w:after="0" w:line="170"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Verafin Acquisition Agreement</w:t>
      </w:r>
      <w:r>
        <w:rPr>
          <w:rFonts w:ascii="Arial" w:cs="Arial" w:eastAsia="Arial" w:hAnsi="Arial"/>
          <w:sz w:val="18"/>
          <w:szCs w:val="18"/>
          <w:color w:val="auto"/>
        </w:rPr>
        <w:t>” means that certain Share Purchase Agreement, dated as of the Verafin Acquisition Signing Date, by and among the Borrower, Verafin, a corporation incorporated under the Canada Business Corporation Act, the Sellers party thereto (together, the “</w:t>
      </w:r>
      <w:r>
        <w:rPr>
          <w:rFonts w:ascii="Arial" w:cs="Arial" w:eastAsia="Arial" w:hAnsi="Arial"/>
          <w:sz w:val="18"/>
          <w:szCs w:val="18"/>
          <w:u w:val="single" w:color="auto"/>
          <w:color w:val="auto"/>
        </w:rPr>
        <w:t>Sellers</w:t>
      </w:r>
      <w:r>
        <w:rPr>
          <w:rFonts w:ascii="Arial" w:cs="Arial" w:eastAsia="Arial" w:hAnsi="Arial"/>
          <w:sz w:val="18"/>
          <w:szCs w:val="18"/>
          <w:color w:val="auto"/>
        </w:rPr>
        <w:t xml:space="preserve">”) and Shareholder Representative Services LLC, a Colorado limited liability company, as representative of the Sellers, as amended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reference herein to the Verafin Acquisition Agreement as in effect on a specified date shall mean the Verafin Acquisition Agreement, as amended through such date.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Verafin Acquisition Closing Date</w:t>
      </w:r>
      <w:r>
        <w:rPr>
          <w:rFonts w:ascii="Arial" w:cs="Arial" w:eastAsia="Arial" w:hAnsi="Arial"/>
          <w:sz w:val="18"/>
          <w:szCs w:val="18"/>
          <w:color w:val="auto"/>
        </w:rPr>
        <w:t>” means the date on which the Verafin Acquisition is consummated.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Verafin Acquisition Signing Date</w:t>
      </w:r>
      <w:r>
        <w:rPr>
          <w:rFonts w:ascii="Arial" w:cs="Arial" w:eastAsia="Arial" w:hAnsi="Arial"/>
          <w:sz w:val="18"/>
          <w:szCs w:val="18"/>
          <w:color w:val="auto"/>
        </w:rPr>
        <w:t>” means November 18, 2020.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Verafin Refinancing</w:t>
      </w:r>
      <w:r>
        <w:rPr>
          <w:rFonts w:ascii="Arial" w:cs="Arial" w:eastAsia="Arial" w:hAnsi="Arial"/>
          <w:sz w:val="18"/>
          <w:szCs w:val="18"/>
          <w:color w:val="auto"/>
        </w:rPr>
        <w:t>” has the meaning set forth in Section 4.03(h).</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means, with respect to any Person at any date, a subsidiary of such Person of which securities or other ownership interests representing 100% of the Equity Interests (other than (a) directors’ qualifying shares and (b) shares issued to foreign nationals to the extent required by applicable law) are, as of such date, owned, controlled or held by such Person or one or more Wholly-Owned Subsidiaries of such Person or by such Person and one or more Wholly-Owned Subsidiaries of such Person.</w:t>
      </w:r>
    </w:p>
    <w:p>
      <w:pPr>
        <w:spacing w:after="0" w:line="18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with (a)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162" w:name="page163"/>
    <w:bookmarkEnd w:id="162"/>
    <w:p>
      <w:pPr>
        <w:ind w:right="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“Revolving Loan”) or by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Loan”)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Revolving Loan”). Borrowings also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“Revolving Borrowing”) or by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Borrowing”)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Revolving Borrowing”).</w:t>
      </w:r>
    </w:p>
    <w:p>
      <w:pPr>
        <w:spacing w:after="0" w:line="187" w:lineRule="exact"/>
        <w:rPr>
          <w:sz w:val="20"/>
          <w:szCs w:val="20"/>
          <w:color w:val="auto"/>
        </w:rPr>
      </w:pPr>
    </w:p>
    <w:p>
      <w:pPr>
        <w:ind w:right="20" w:firstLine="440"/>
        <w:spacing w:after="0" w:line="267"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Terms Generally; Times of Day</w:t>
      </w:r>
      <w:r>
        <w:rPr>
          <w:rFonts w:ascii="Arial" w:cs="Arial" w:eastAsia="Arial" w:hAnsi="Arial"/>
          <w:sz w:val="17"/>
          <w:szCs w:val="17"/>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otherwise indicated or the context requires otherwise, (a) any definition of or reference to any agreement,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In the computation of periods of time from a specified date to a later specified date, the word “from” means “from and including”; the words “to” and “until” each mean “to but excluding”; and the word “through” means “to and including.” Unless otherwise specified, all references herein to times of day shall be references to Eastern time (daylight or standard, as applicable). For all purposes under this Agreement,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9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Accounting Terms; GAAP</w:t>
      </w:r>
      <w:r>
        <w:rPr>
          <w:rFonts w:ascii="Arial" w:cs="Arial" w:eastAsia="Arial" w:hAnsi="Arial"/>
          <w:sz w:val="18"/>
          <w:szCs w:val="18"/>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notifies the Administrative Agent that the Borrower requests an amendment to any provision (including any definition) hereof to eliminate the effect of any change occurring after the date hereof in GAAP (including any election by the Borrower to operate under IFRS)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or election shall have become effective until such notice shall have been withdrawn or such provision amended in accordance herewith.</w:t>
      </w:r>
    </w:p>
    <w:p>
      <w:pPr>
        <w:spacing w:after="0" w:line="192"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Pro Forma Calculations</w:t>
      </w:r>
      <w:r>
        <w:rPr>
          <w:rFonts w:ascii="Arial" w:cs="Arial" w:eastAsia="Arial" w:hAnsi="Arial"/>
          <w:sz w:val="18"/>
          <w:szCs w:val="18"/>
          <w:color w:val="auto"/>
        </w:rPr>
        <w:t>. For purposes of any determination of the Leverage Ratio pursuant to Section 2.18 or any covenant set forth in Article VI: for any period during which any Acquisition or any sale, transfer or other disposition of any material assets outside the ordinary course of business occurs (or has occurred since the last day of such period), the calculation of the Leverage Ratio with respect to such period for such purpose shall be made on a Pro Forma Basis.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163" w:name="page164"/>
    <w:bookmarkEnd w:id="163"/>
    <w:p>
      <w:pPr>
        <w:jc w:val="both"/>
        <w:ind w:right="14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1.06 </w:t>
      </w:r>
      <w:r>
        <w:rPr>
          <w:rFonts w:ascii="Arial" w:cs="Arial" w:eastAsia="Arial" w:hAnsi="Arial"/>
          <w:sz w:val="16"/>
          <w:szCs w:val="16"/>
          <w:u w:val="single" w:color="auto"/>
          <w:color w:val="auto"/>
        </w:rPr>
        <w:t>Letter of Credit Amounts</w:t>
      </w:r>
      <w:r>
        <w:rPr>
          <w:rFonts w:ascii="Arial" w:cs="Arial" w:eastAsia="Arial" w:hAnsi="Arial"/>
          <w:sz w:val="16"/>
          <w:szCs w:val="16"/>
          <w:color w:val="auto"/>
        </w:rPr>
        <w:t xml:space="preserve">. Unless otherwise specified herein, the amount of a Letter of Credit at any time shall be deemed to be the stated amount, or the Dollar Equivalent of such Letter of Credit in effect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any Letter of Credit that, by its terms or the terms of any Issuer Document related thereto, provides for one or more automatic increases in the stated amount, or the Dollar Equivalent thereof, the amount of such Letter of Credit shall be deemed to be the maximum stated amount, or the Dollar Equivalent of such Letter of Credit after giving effect to all such increases, whether or not such maximum stated amount, or the Dollar Equivalent is in effect at such times.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Exchange Rates; Currency Equivalents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5" w:lineRule="auto"/>
        <w:tabs>
          <w:tab w:leader="none" w:pos="68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Administrative Agent or the applicable Issuing Bank, as applicable, shall determine the Spot Rates as of each Revaluation Date to be used for calculating Dollar Equivalent amounts of Revolving Exposure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the Borrower hereunder or calculating financial ratios hereunder or except as otherwise provided herein, the applicable amount of any currency (other than Dollars) for purposes of the Loan Documents shall be such Dollar Equivalent amount as so determined by the Administrative Agent or such Issuing Bank, as applicable; provided that for purposes of determining compliance with any Dollar-denominated restriction on (x) the incurrence of Indebtedness, the Dollar-equivalent principal amount of Indebtedness denominated in a currency other than Dollars shall be calculated based on the relevant currency exchange rate in effect on the date such Indebtedness is incurred, in the case of term debt, or first committed, in the case of revolving credit date; provided that, if indebtedness is incurred to extend, replace, refund, refinance, renew or defease other Indebtedness denominated in a currency other than Dollars, and such extension, replacement, refunding, refinancing, renewal or defeasance would cause the applicable Dollar-denominated restriction to be exceeded if calculated at the relevant currency exchange rate in effect on the date of such extension, replacement, refunding, refinancing, renewal or defeasance, such Dollar-denominated restriction shall be deemed not to have been exceeded so long as the principal amount of such refinancing Indebtedness does not exceed the principal amount of such Indebtedness being extended, replaced, refunded, refinanced, renewed or defeased; and (y) the making of any investment, the Dollar-equivalent amount of any investment denominated in a currency other than Dollars shall be calculated based on the relevant currency exchange rate in effect on the date such investment was made.</w:t>
      </w:r>
    </w:p>
    <w:p>
      <w:pPr>
        <w:spacing w:after="0" w:line="68" w:lineRule="exact"/>
        <w:rPr>
          <w:rFonts w:ascii="Arial" w:cs="Arial" w:eastAsia="Arial" w:hAnsi="Arial"/>
          <w:sz w:val="16"/>
          <w:szCs w:val="16"/>
          <w:color w:val="auto"/>
        </w:rPr>
      </w:pPr>
    </w:p>
    <w:p>
      <w:pPr>
        <w:ind w:firstLine="436"/>
        <w:spacing w:after="0" w:line="257" w:lineRule="auto"/>
        <w:tabs>
          <w:tab w:leader="none" w:pos="69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Wherever in this Agreement in connection with a Borrowing, conversion, continuation or prepayment of a Eurocurrency Loan or the issuance, amendment or extension of a Letter of Credit, an amount, such as a required minimum or multiple amount, is expressed in Dollars, but such Borrowing, Eurocurrency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Issuing Bank, as the case may be.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Additional Alternative Currencies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96" w:lineRule="auto"/>
        <w:tabs>
          <w:tab w:leader="none" w:pos="68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The Borrower may from time to time request that Revolving Loans be made and/or Letters of Credit be issued in a currency other than those specifically listed in the definition of “Alternative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requested currency is a lawful currency (other than Dollars) that is readily available and freely transferable and convertible into Dollars. In the case of any such request with respect to the making of Eurocurrency Loans, such request shall be subject to the approval of the Administrative Agent and the Revolving Lenders; and in the case of any such request with respect to the issuance of Letters of Credit, such request shall be subject to the approval of the Administrative Agent and the applicable Issuing Bank.</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440" w:top="274" w:right="519" w:bottom="1440" w:gutter="0" w:footer="0" w:header="0"/>
        </w:sectPr>
      </w:pPr>
    </w:p>
    <w:bookmarkStart w:id="164" w:name="page165"/>
    <w:bookmarkEnd w:id="164"/>
    <w:p>
      <w:pPr>
        <w:ind w:right="80" w:firstLine="436"/>
        <w:spacing w:after="0" w:line="271" w:lineRule="auto"/>
        <w:tabs>
          <w:tab w:leader="none" w:pos="695" w:val="left"/>
        </w:tabs>
        <w:numPr>
          <w:ilvl w:val="0"/>
          <w:numId w:val="1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such request shall be made to the Administrative Agent not later than 11:00 a.m., 15 Business Days prior to the date of the desired credit extension (or such other time or date as may be agreed by the Administrative Agent and, in the case of any such request pertaining to Letters of Credit, the applicable Issuing Bank, in its or their sole discretion). In the case of any such request pertaining to Eurocurrency Loans, the Administrative Agent shall promptly notify each Revolving Lender thereof; and in the case of any such request pertaining to Letters of Credit, the Administrative Agent shall promptly notify the applicable Issuing Bank thereof. Each Revolving Lender (in the case of any such request pertaining to Eurocurrency Loans) or such Issuing Bank (in the case of a request pertaining to Letters of Credit) shall notify the Administrative Agent, not later than 11:00 a.m., seven Business Days after receipt of such request whether it consents, in its sole discretion, to the making of Eurocurrency Rate Revolving Loans or the issuance of Letters of Credit, as the case may be, in such requested currency.</w:t>
      </w:r>
    </w:p>
    <w:p>
      <w:pPr>
        <w:spacing w:after="0" w:line="70" w:lineRule="exact"/>
        <w:rPr>
          <w:rFonts w:ascii="Arial" w:cs="Arial" w:eastAsia="Arial" w:hAnsi="Arial"/>
          <w:sz w:val="17"/>
          <w:szCs w:val="17"/>
          <w:color w:val="auto"/>
        </w:rPr>
      </w:pPr>
    </w:p>
    <w:p>
      <w:pPr>
        <w:ind w:firstLine="436"/>
        <w:spacing w:after="0" w:line="270" w:lineRule="auto"/>
        <w:tabs>
          <w:tab w:leader="none" w:pos="68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Any failure by a Revolving Lender or Issuing Bank, as the case may be, to respond to such request within the time period specified in the preceding sentence shall be deemed to be a refusal by such Lender or Issuing Bank, as the case may be, to permit Eurocurrency Rate Revolving Loans to be made or Letters of Credit to be issued in such requested currency. If the Administrative Agent and all the Revolving Lenders consent to making Eurocurrency Loans in such requested currency, the Administrative Agent shall so notify the Borrower and such currency shall thereupon be deemed for all purposes to be an Alternative Currency hereunder for purposes of any Borrowings of Eurocurrency Rate Revolving Loans; and if the Administrative Agent and the applicable Issuing Bank consent to the issuance of Letters of Credit in such requested currency, the Administrative Agent shall so notify the Borrower and such currency shall thereupon be deemed for all purposes to be an Alternative Currency hereunder for purposes of any Letter of Credit issuances. If the Administrative Agent shall fail to obtain consent to any request for an additional currency under this Section 1.08, the Administrative Agent shall promptly so notify the Borrower.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Change of Currency</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2" w:lineRule="auto"/>
        <w:tabs>
          <w:tab w:leader="none" w:pos="68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Each obligation of the Borrower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69" w:lineRule="exact"/>
        <w:rPr>
          <w:rFonts w:ascii="Arial" w:cs="Arial" w:eastAsia="Arial" w:hAnsi="Arial"/>
          <w:sz w:val="17"/>
          <w:szCs w:val="17"/>
          <w:color w:val="auto"/>
        </w:rPr>
      </w:pPr>
    </w:p>
    <w:p>
      <w:pPr>
        <w:ind w:firstLine="436"/>
        <w:spacing w:after="0" w:line="263" w:lineRule="auto"/>
        <w:tabs>
          <w:tab w:leader="none" w:pos="69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applicable, each provision of this Agreement shall be subject to such reasonable changes of construction as the Administrative Agent (after consultation with the Borrower) may from time to time specify to be appropriate to reflect the adoption of the Euro by any member state of the European Union and any relevant market conventions or practices relating to the Euro.</w:t>
      </w:r>
    </w:p>
    <w:p>
      <w:pPr>
        <w:spacing w:after="0" w:line="75" w:lineRule="exact"/>
        <w:rPr>
          <w:rFonts w:ascii="Arial" w:cs="Arial" w:eastAsia="Arial" w:hAnsi="Arial"/>
          <w:sz w:val="18"/>
          <w:szCs w:val="18"/>
          <w:color w:val="auto"/>
        </w:rPr>
      </w:pPr>
    </w:p>
    <w:p>
      <w:pPr>
        <w:ind w:right="40" w:firstLine="436"/>
        <w:spacing w:after="0" w:line="263" w:lineRule="auto"/>
        <w:tabs>
          <w:tab w:leader="none" w:pos="68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Each provision of this Agreement also shall be subject to such reasonable changes of construction as the Administrative Agent may (after consultation with the Borrower) from time to time specify to be appropriate to reflect a change in currency of any other country and any relevant market conventions or practices relating to the change in currency.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165" w:name="page166"/>
    <w:bookmarkEnd w:id="16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1.10 </w:t>
      </w:r>
      <w:r>
        <w:rPr>
          <w:rFonts w:ascii="Arial" w:cs="Arial" w:eastAsia="Arial" w:hAnsi="Arial"/>
          <w:sz w:val="18"/>
          <w:szCs w:val="18"/>
          <w:u w:val="single" w:color="auto"/>
          <w:color w:val="auto"/>
        </w:rPr>
        <w:t>Additional Borrowers</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Notwithstanding anything in Section 9.02 to the contrary, following the Closing Date, the Borrower may request that one or more of its Foreign Subsidiaries that is a Wholly-Owned Subsidiary be added as an additional borrower (the “</w:t>
      </w:r>
      <w:r>
        <w:rPr>
          <w:rFonts w:ascii="Arial" w:cs="Arial" w:eastAsia="Arial" w:hAnsi="Arial"/>
          <w:sz w:val="16"/>
          <w:szCs w:val="16"/>
          <w:u w:val="single" w:color="auto"/>
          <w:color w:val="auto"/>
        </w:rPr>
        <w:t>Additional Borrower</w:t>
      </w:r>
      <w:r>
        <w:rPr>
          <w:rFonts w:ascii="Arial" w:cs="Arial" w:eastAsia="Arial" w:hAnsi="Arial"/>
          <w:sz w:val="16"/>
          <w:szCs w:val="16"/>
          <w:color w:val="auto"/>
        </w:rPr>
        <w:t xml:space="preserve">”) under the Facilities by delivering to the Administrative Agent an Additional Borrower Agreement executed by such Foreign Subsidiary and the Borrower and specifying the proposed effective date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jurisdiction of organization of such Foreign Subsidiary shall be reasonably satisfactory to each Lender. Such Foreign Subsidiary shall for all purposes of this Agreement be a borrower hereunder no earlier than the latest of (i) twenty (20) days (or such shorter period as the Administrative Agent may in its discretion agree) after delivery of such Additional Borrower Agreement; (ii) five (5) Business Days after receipt by the Lenders and the Administrative Agent of such documentation and other information reasonably requested by the Lenders or the Administrative Agent for purposes of complying with all necessary “know your customer” or other similar checks under all applicable laws and regulations provided that there has been no written objection submitted by any of the Lenders or the Administrative Agent within five (5) Business Days of the date of receipt of such documentation and other information; (iii) the receipt by the Administrative Agent and the Lenders of opinions of counsel relating to such Additional Borrower Agreement (and the guarantee referred to below) in form and substance reasonably satisfactory to the Administrative Agent and covering such customary matters in connection therewith as may be requested by the Administrative Agent; and (iv) if the applicable Additional Borrower is organized or incorporated in or under the laws of, or for applicable Tax purposes is resident of or treated as engaged in a trade or business in, any jurisdiction other than a jurisdiction in or under the laws of which at least one then-existing Borrower is organized or incorporated as of the date the Additional Borrower Agreement is delivered to the Administrative Agent, the date of the effectiveness of an amendment of this Agreement, which amendment must be as mutually agreed by the Administrative Agent, the Borrower, such Additional Borrower and each Lender (including, without limitation, Section 2.15 and the definition of “Excluded Taxes” and whether a carve out for any “day one” Taxes is appropriate);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unconditionally guarantee the Obligations of any such Additional Borrowers on a senior unsecured basis pursuant to a guarantee agreement in form reasonably satisfactory to the Administrative Agent. Any obligations in respect of borrowings by any Additional Borrower under this Agreement will constitute “Obligations” for all purposes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Additional Borrower have any liability with respect to the Obligations of the Borrower or any other Additional Borrower. Promptly following receipt of any Additional Borrower Agreement the Administrative Agent shall send a copy thereof to each Lender.</w:t>
      </w:r>
    </w:p>
    <w:p>
      <w:pPr>
        <w:spacing w:after="0" w:line="3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THE CREDITS</w:t>
      </w:r>
    </w:p>
    <w:p>
      <w:pPr>
        <w:spacing w:after="0" w:line="225" w:lineRule="exact"/>
        <w:rPr>
          <w:sz w:val="20"/>
          <w:szCs w:val="20"/>
          <w:color w:val="auto"/>
        </w:rPr>
      </w:pPr>
    </w:p>
    <w:p>
      <w:pPr>
        <w:ind w:left="4" w:right="200" w:firstLine="440"/>
        <w:spacing w:after="0" w:line="285"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Commitments</w:t>
      </w:r>
      <w:r>
        <w:rPr>
          <w:rFonts w:ascii="Arial" w:cs="Arial" w:eastAsia="Arial" w:hAnsi="Arial"/>
          <w:sz w:val="16"/>
          <w:szCs w:val="16"/>
          <w:color w:val="auto"/>
        </w:rPr>
        <w:t>. Subject to the terms and conditions set forth herein, (i) each Revolving A Lender severally agrees to make Revolving A Loans denominated in Dollars or an Alternative Currency to the Borrower or, if applicable, any Additional Borrower as elected by the Borrower pursuant to Section 2.03 from time to time, on any Business Day during the Revolving Availability Period, in an aggregate Outstanding Amount that will not result in such Revolving A Lender’s Revolving A Exposure exceeding such Revolving A Lender’s Revolving A Commitment or the aggregate Outstanding Amount of Revolving Loans denominated in Alternative Currencies exceeding the Alternative Currency Sublimit and</w:t>
      </w:r>
    </w:p>
    <w:p>
      <w:pPr>
        <w:spacing w:after="0" w:line="2" w:lineRule="exact"/>
        <w:rPr>
          <w:sz w:val="20"/>
          <w:szCs w:val="20"/>
          <w:color w:val="auto"/>
        </w:rPr>
      </w:pPr>
    </w:p>
    <w:p>
      <w:pPr>
        <w:ind w:left="4" w:right="160" w:hanging="4"/>
        <w:spacing w:after="0" w:line="253" w:lineRule="auto"/>
        <w:tabs>
          <w:tab w:leader="none" w:pos="26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Revolving B Lender severally agrees to make Revolving B Loans denominated in Dollars or an Alternative Currency to the Borrower or, if applicable, an Additional Borrower, as elected by the Borrower pursuant to Section 2.03 from time to time, on any Business Day during the Revolving Availability Period, in an aggregate Outstanding Amount that will not result in such Revolving B Lender’s Revolving B Exposure exceeding such Revolving B Lender’s Revolving B Commitment or the aggregate Outstanding Amount of Revolving Loans denominated in Alternative Currencies exceeding the</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166" w:name="page167"/>
    <w:bookmarkEnd w:id="166"/>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Alternative Currency Sublimit. Within the limits of each Revolving Lender’s Revolving Commitment, and subject to the other terms and conditions hereof, the Borrower may borrow, prepay, and reborrow Revolving Loans. Revolving Loans denominated in Dollars may be ABR Loans or Eurocurrency Loans, as further provided herein, and Revolving Loans denominated in Alternative Currencies must be Eurocurrency Loans, as further provided herein.</w:t>
      </w:r>
    </w:p>
    <w:p>
      <w:pPr>
        <w:spacing w:after="0" w:line="18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Funding of Loans</w:t>
      </w:r>
      <w:r>
        <w:rPr>
          <w:rFonts w:ascii="Arial" w:cs="Arial" w:eastAsia="Arial" w:hAnsi="Arial"/>
          <w:sz w:val="17"/>
          <w:szCs w:val="17"/>
          <w:color w:val="auto"/>
        </w:rPr>
        <w:t xml:space="preserve">. Each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Commitments of the Lenders are several and no Lender shall be responsible for any other Lender’s failure to make Loans as required. Each Lender at its option may make any Eurocurrency Loan by causing any domestic or foreign branch or Affiliate of such Lender to make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exercise of such option shall not affect the obligation of the Borrower to repay such Loan in accordance with the terms of this Agreement.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Borrowings</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84" w:lineRule="auto"/>
        <w:tabs>
          <w:tab w:leader="none" w:pos="68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Each Borrowing, each conversion of Loans from one Type to the other, and each continuation of Eurocurrency Loans shall be made upon the Borrower’s irrevocable notice to the Administrative Agent, which may be given by telephone;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notice of the Specified Borrowing may be subject to and conditioned upon the occurrence of the Verafin Acquisition Closing Date. Each such notice must be received by the Administrative Agent not later than (i) 12:00 noon, New York City time, three (3) Business Days (or, in the case of the Specified Borrowing, 4:00 p.m., New York City time, three (3) Business Days) prior to the requested date of any Borrowing or continuation of Eurocurrency Loans denominated in Dollars or any conversion of ABR Loans to Eurocurrency Loans, (ii) 12:00 noon, New York City time, four (4) Business Days prior to the requested date of any Borrowing or continuation of Eurocurrency Loans denominated in an Alternative Currency, (iii) 11:00 a.m., New York City time, on the requested date of any Borrowing of ABR Loans under the Revolving A Facility, (iv) 3:00 p.m., New York City time, on the requested date of any Borrowing of ABR Loans under the Revolving B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notice provided after 3:00 p.m., New York City time, on any day will be deemed to have been provided at 8:00 a.m., New York City time on the next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Borrower wishes to request Eurocurrency Loans (other than Eurocurrency Loans, if any, made on the Closing Date) having an Interest Period other than one, two, three or six months in duration as provided in the definition of “Interest Period,” the applicable notice must be received by the Administrative Agent not later than 11:00 a.m. four Business Days prior to the requested date of such Borrowing, conversion or continuation, whereupon the Administrative Agent shall give prompt notice to the Lenders of such request and determine whether the requested Interest Period is acceptable to all of them. Not later than 11:00 a.m., three Business Days before the requested date of such Borrowing, conversion or continuation, the Administrative Agent shall notify the Borrower (which notice may be by telephone) whether or not the requested Interest Period has been consented to by all the Lenders. Each telephonic notice by the Borrower pursuant to this Section 2.03(a) must be confirmed promptly by delivery to the Administrative Agent of a written Borrowing Request, appropriately completed and signed by a Responsible Officer of the Borrower. Each Borrowing of, conversion to or continuation of Eurocurrency Loans shall be in an amount of $5,000,000 or a whole multiple of $1,000,000 in excess thereof. Except as provided in Section 2.05, each Borrowing of or conversion to ABR Loans shall be in a principal amount of $500,000 or a whole multiple of $100,000 in excess thereof. Each Borrowing Request (whether telephonic or written) shall specify (i) whether the Borrower is requesting a Borrowing of Revolving Loans, a conversion of Revolving Loans from one Type to the other, or a continuation of Eurocurrency Loans, (ii) the requested date of the Borrowing, conversion or continuation, as the case may be (which shall be a Business Day), (iii) the principal amount of Loans to be borrowed, converted or continued, (iv)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167" w:name="page168"/>
    <w:bookmarkEnd w:id="167"/>
    <w:p>
      <w:pPr>
        <w:ind w:left="4"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currency in which the Loans to be borrowed are to be denominated, (v) the Type of Loans to be borrowed or to which existing Revolving Loans are to be converted and (vi) if applicable, the duration of the Interest Period with respect thereto, (vii) under which Facility the Borrowing is to be made (or whether the aggregate amount of the Loans requested should be divided between the Facilities on a pro rata basis). If the Borrower fails to specify a Type of Loan in a Borrowing Request or fails to give a timely notice requesting a conversion or continuation, then the applicable Revolving Loans shall be made as, or converted to, ABR Loans (unless the Loan being made or continued is denominated in an Alternative Currency, in which case it shall be made or continued as a Eurocurrency Loan with an Interest Period of one month). Any such automatic conversion to ABR Loans shall be effective as of the last day of the Interest Period then in effect with respect to the applicable Eurocurrency Loans. If the Borrower requests a Borrowing of, conversion to, or continuation of Eurocurrency Loans in any such Borrowing Request, but fails to specify an Interest Period (or fails to give a timely notice requesting a continuation of Eurocurrency Loans denominated in an Alternative Currency), it will be deemed to have specified an Interest Period of one</w:t>
      </w:r>
    </w:p>
    <w:p>
      <w:pPr>
        <w:spacing w:after="0" w:line="6" w:lineRule="exact"/>
        <w:rPr>
          <w:sz w:val="20"/>
          <w:szCs w:val="20"/>
          <w:color w:val="auto"/>
        </w:rPr>
      </w:pPr>
    </w:p>
    <w:p>
      <w:pPr>
        <w:ind w:left="264" w:hanging="264"/>
        <w:spacing w:after="0"/>
        <w:tabs>
          <w:tab w:leader="none" w:pos="26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month. If no currency is specified in a Borrowing Request, the requested Borrowing shall be in Dollars.</w:t>
      </w:r>
    </w:p>
    <w:p>
      <w:pPr>
        <w:spacing w:after="0" w:line="102" w:lineRule="exact"/>
        <w:rPr>
          <w:rFonts w:ascii="Arial" w:cs="Arial" w:eastAsia="Arial" w:hAnsi="Arial"/>
          <w:sz w:val="18"/>
          <w:szCs w:val="18"/>
          <w:color w:val="auto"/>
        </w:rPr>
      </w:pPr>
    </w:p>
    <w:p>
      <w:pPr>
        <w:ind w:left="4" w:firstLine="436"/>
        <w:spacing w:after="0" w:line="267" w:lineRule="auto"/>
        <w:tabs>
          <w:tab w:leader="none" w:pos="699" w:val="left"/>
        </w:tabs>
        <w:numPr>
          <w:ilvl w:val="1"/>
          <w:numId w:val="146"/>
        </w:numPr>
        <w:rPr>
          <w:rFonts w:ascii="Arial" w:cs="Arial" w:eastAsia="Arial" w:hAnsi="Arial"/>
          <w:sz w:val="17"/>
          <w:szCs w:val="17"/>
          <w:color w:val="auto"/>
        </w:rPr>
      </w:pPr>
      <w:r>
        <w:rPr>
          <w:rFonts w:ascii="Arial" w:cs="Arial" w:eastAsia="Arial" w:hAnsi="Arial"/>
          <w:sz w:val="17"/>
          <w:szCs w:val="17"/>
          <w:color w:val="auto"/>
        </w:rPr>
        <w:t xml:space="preserve">Following receipt of a Borrowing Request, the Administrative Agent shall promptly notify each applicable Lender of the amount (and currency) of its pro rata share of the applicable Class of Loans, and if no timely notice of a conversion or continuation is provided by the Borrower, the Administrative Agent shall notify each applicable Lender of the details of any automatic conversion to ABR Loans or continuation of Loans denominated in an Alternative Currency described in Section 2.03(a). In the case of each Borrowing, each applicable Lender shall make the amount of its Loan available to the Administrative Agent in Same Day Funds at the Administrative Agent’s Office for Dollars or the applicable Alternative Currency, as the case may be, not later than 1:00 p.m., New York City time, on the Business Day specified in the applicable Borrowing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in the case of a Borrowing of ABR Loans under the Revolving B Facility, each applicable Lender shall make the amount of its Loan available to the Administrative Agent in Same Day Funds at the Administrative Agent’s Office for Dollars within 90 minutes after receipt of notice from the Administrative Agent (or, if later, by 9:30, a.m., New York City time, on the required date of funding). Upon satisfaction of the conditions set forth in Section 4.02 (and, with respect to Loans, if any, made on the Closing Date, the conditions set forth in Section 4.01), the Administrative Agent shall make all funds so received available to the Borrower in like funds as received by the Administrative Agent either by (i) crediting the account of the Borrower on the books of the Administrative Agent with such amount in immediately available funds or (ii) wire transfer of such funds, in each case in accordance with instructions provided to (and reasonably acceptable to) the Administrative Agent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on the date a Borrowing Request with respect to a Borrowing of Revolving Loans is given by the Borrower, there are LC Borrowings outstanding, then the proceeds of such Borrowing shall be applied, first, to the payment in full of any such LC Borrowings, and second, to the Borrower as provided above. Notwithstanding the foregoing, in the case of the Specified Borrowing, each applicable Lender shall make the amount of its Loan available to the Administrative Agent in Same Day Funds at the Administrative Agent’s Office for Dollars, not later than 9:30 a.m., New York City time, on the Business Day specified in the applicable Borrowing Request. Upon satisfaction of the conditions set forth in Section 4.03, the Administrative Agent shall make all funds so received in respect of the Specified Borrowing available to the Borrower in like funds as received by the Administrative Agent either by (at the Borrower’s option) (i) crediting the account of the Borrower on the books of the Administrative Agent with such amount in immediately available funds or (ii) wire transfer of such funds, in each case in accordance with instructions provided to (and reasonably acceptable to) the Administrative Agent by the Borrower.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4"/>
          </w:cols>
          <w:pgMar w:left="436" w:top="274" w:right="439" w:bottom="1440" w:gutter="0" w:footer="0" w:header="0"/>
        </w:sectPr>
      </w:pPr>
    </w:p>
    <w:bookmarkStart w:id="168" w:name="page169"/>
    <w:bookmarkEnd w:id="168"/>
    <w:p>
      <w:pPr>
        <w:ind w:right="160" w:firstLine="436"/>
        <w:spacing w:after="0" w:line="263" w:lineRule="auto"/>
        <w:tabs>
          <w:tab w:leader="none" w:pos="685"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Except as otherwise provided herein, a Eurocurrency Loan may be continued or converted only on the last day of an Interest Period for such Eurocurrency Loan. During the existence of an Event of Default, the Required Lenders may require that no Loans may be converted to or continued as Eurocurrency Loans.</w:t>
      </w:r>
    </w:p>
    <w:p>
      <w:pPr>
        <w:spacing w:after="0" w:line="75" w:lineRule="exact"/>
        <w:rPr>
          <w:rFonts w:ascii="Arial" w:cs="Arial" w:eastAsia="Arial" w:hAnsi="Arial"/>
          <w:sz w:val="18"/>
          <w:szCs w:val="18"/>
          <w:color w:val="auto"/>
        </w:rPr>
      </w:pPr>
    </w:p>
    <w:p>
      <w:pPr>
        <w:ind w:right="280" w:firstLine="436"/>
        <w:spacing w:after="0" w:line="257" w:lineRule="auto"/>
        <w:tabs>
          <w:tab w:leader="none" w:pos="69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Lenders of the interest rate applicable to any Interest Period for Eurocurrency Loans upon determination of such interest rate. The determination of the Eurocurrency Rate by the Administrative Agent shall be conclusive in the absence of manifest error. At any time that ABR Loans are outstanding, the Administrative Agent shall notify the Borrower and the applicable Lenders of any change in the Administrative Agent’s base rate used in determining the Base Rate promptly following the public announcement of such change.</w:t>
      </w:r>
    </w:p>
    <w:p>
      <w:pPr>
        <w:spacing w:after="0" w:line="79" w:lineRule="exact"/>
        <w:rPr>
          <w:rFonts w:ascii="Arial" w:cs="Arial" w:eastAsia="Arial" w:hAnsi="Arial"/>
          <w:sz w:val="18"/>
          <w:szCs w:val="18"/>
          <w:color w:val="auto"/>
        </w:rPr>
      </w:pPr>
    </w:p>
    <w:p>
      <w:pPr>
        <w:ind w:right="100" w:firstLine="436"/>
        <w:spacing w:after="0" w:line="342" w:lineRule="auto"/>
        <w:tabs>
          <w:tab w:leader="none" w:pos="68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After giving effect to all Borrowings, all conversions of Loans from one Type to the other, and all continuations of Loans as the same Type, there shall not be more than ten (10) Interest Periods in effect at one time unless otherwise agreed between the Borrower and the Administrative Agent.</w:t>
      </w:r>
    </w:p>
    <w:p>
      <w:pPr>
        <w:spacing w:after="0" w:line="15" w:lineRule="exact"/>
        <w:rPr>
          <w:rFonts w:ascii="Arial" w:cs="Arial" w:eastAsia="Arial" w:hAnsi="Arial"/>
          <w:sz w:val="16"/>
          <w:szCs w:val="16"/>
          <w:color w:val="auto"/>
        </w:rPr>
      </w:pPr>
    </w:p>
    <w:p>
      <w:pPr>
        <w:ind w:firstLine="436"/>
        <w:spacing w:after="0" w:line="268" w:lineRule="auto"/>
        <w:tabs>
          <w:tab w:leader="none" w:pos="66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a Lender prior to the time of any Borrowing that such Lender will not make available to the Administrative Agent such Lender’s portion of such Borrowing, the Administrative Agent may assume that such Lender has made such portion available to the Administrative Agent on the date of such Borrowing in accordance with paragraph (b) above,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agrees to repay to the Administrative Agent forthwith on demand such corresponding amount together with interest thereon, for each day from the date such amount is made available to the Borrower until the date such amount is repaid to the Administrative Agent at (i) in the case of the Borrower, the interest rate applicable at the time to the Loans comprising such Borrowing and (ii) in the case of such Lender, the Overnight Rate plus any administrative, processing, or similar fees customarily charged by the Administrative Agent in accordance with the foregoing. A certificate of the Administrative Agent submitted to any Lender with respect to any amounts owing under this Section 2.03(f) shall be conclusive in the absence of manifest error.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and the Administrative Agent shall promptly remit to Borrower any amounts previously paid by Borrower in respect of such Borrowing under this Section 2.03. Any payment by the Borrower shall be without prejudice to any claim the Borrower may have against a Lender that shall have failed to make such payment to the Administrative Agent.</w:t>
      </w:r>
    </w:p>
    <w:p>
      <w:pPr>
        <w:spacing w:after="0" w:line="71" w:lineRule="exact"/>
        <w:rPr>
          <w:rFonts w:ascii="Arial" w:cs="Arial" w:eastAsia="Arial" w:hAnsi="Arial"/>
          <w:sz w:val="17"/>
          <w:szCs w:val="17"/>
          <w:color w:val="auto"/>
        </w:rPr>
      </w:pPr>
    </w:p>
    <w:p>
      <w:pPr>
        <w:ind w:right="380" w:firstLine="436"/>
        <w:spacing w:after="0" w:line="277" w:lineRule="auto"/>
        <w:tabs>
          <w:tab w:leader="none" w:pos="69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Lender that is a lender under the Existing Credit Agreement hereby waives the right to any payments pursuant to Section 2.14 of the Existing Credit Agreement in connection with the Refinancing.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Tranche Conversions</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Borrower may request that any Lender (any such Lender, a “</w:t>
      </w:r>
      <w:r>
        <w:rPr>
          <w:rFonts w:ascii="Arial" w:cs="Arial" w:eastAsia="Arial" w:hAnsi="Arial"/>
          <w:sz w:val="17"/>
          <w:szCs w:val="17"/>
          <w:u w:val="single" w:color="auto"/>
          <w:color w:val="auto"/>
        </w:rPr>
        <w:t>Specified Lender</w:t>
      </w:r>
      <w:r>
        <w:rPr>
          <w:rFonts w:ascii="Arial" w:cs="Arial" w:eastAsia="Arial" w:hAnsi="Arial"/>
          <w:sz w:val="17"/>
          <w:szCs w:val="17"/>
          <w:color w:val="auto"/>
        </w:rPr>
        <w:t>”) convert all or a part of such Lender’s Revolving</w:t>
      </w:r>
    </w:p>
    <w:p>
      <w:pPr>
        <w:spacing w:after="0" w:line="34" w:lineRule="exact"/>
        <w:rPr>
          <w:rFonts w:ascii="Arial" w:cs="Arial" w:eastAsia="Arial" w:hAnsi="Arial"/>
          <w:sz w:val="17"/>
          <w:szCs w:val="17"/>
          <w:color w:val="auto"/>
        </w:rPr>
      </w:pPr>
    </w:p>
    <w:p>
      <w:pPr>
        <w:spacing w:after="0" w:line="295" w:lineRule="auto"/>
        <w:rPr>
          <w:rFonts w:ascii="Arial" w:cs="Arial" w:eastAsia="Arial" w:hAnsi="Arial"/>
          <w:sz w:val="17"/>
          <w:szCs w:val="17"/>
          <w:color w:val="auto"/>
        </w:rPr>
      </w:pPr>
      <w:r>
        <w:rPr>
          <w:rFonts w:ascii="Arial" w:cs="Arial" w:eastAsia="Arial" w:hAnsi="Arial"/>
          <w:sz w:val="16"/>
          <w:szCs w:val="16"/>
          <w:color w:val="auto"/>
        </w:rPr>
        <w:t>Commitment into a Revolving Commitment of another Class. Each Specified Lender shall notify the Borrower within five (5) Business Days of receipt of the Borrower’s request, in writing, if and by what amount such Specified Lender is willing, in its sole discretion, to so convert its Commitment to a Commitment of another Class. Notwithstanding the foregoing, anything else provided herein or otherwise, if any Specified Lender shall fail to notify the Borrower within such five Business Day period, such Specified Lender shall be deemed to have declined such requested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169" w:name="page170"/>
    <w:bookmarkEnd w:id="16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conversion. Any such conversion of Commitments occurring pursuant to this Section 2.04 shall be pursuant to a written agreement signed by the Borrower, the converting Lender and the Administrative Agent and shall be referred to herein as a “</w:t>
      </w:r>
      <w:r>
        <w:rPr>
          <w:rFonts w:ascii="Arial" w:cs="Arial" w:eastAsia="Arial" w:hAnsi="Arial"/>
          <w:sz w:val="18"/>
          <w:szCs w:val="18"/>
          <w:u w:val="single" w:color="auto"/>
          <w:color w:val="auto"/>
        </w:rPr>
        <w:t>Tranche Conversion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Tranche Conversion shall be permitted unless, after giving effect thereto and to any prepayment of Loans in connection therewith, the Revolving Exposure under each Facility would not exceed the Revolving Commitments under such Facility.</w:t>
      </w:r>
    </w:p>
    <w:p>
      <w:pPr>
        <w:spacing w:after="0" w:line="79" w:lineRule="exact"/>
        <w:rPr>
          <w:sz w:val="20"/>
          <w:szCs w:val="20"/>
          <w:color w:val="auto"/>
        </w:rPr>
      </w:pPr>
    </w:p>
    <w:p>
      <w:pPr>
        <w:ind w:right="160" w:firstLine="436"/>
        <w:spacing w:after="0" w:line="296" w:lineRule="auto"/>
        <w:tabs>
          <w:tab w:leader="none" w:pos="69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the event of any Tranche Conversion concerning a Lender who was a Revolving B Lender prior to such conversion: (x) such Revolving B Lender’s Revolving B Commitment shall automatically be converted into a Revolving A Commitment in the same amount and (y) such Lender shall thereafter be considered a “Revolving A Lender” for purposes hereof. In the event of any Tranche Conversion concerning a Lender who was a Revolving A Lender prior to such conversion: (x) such Revolving A Lender’s Revolving A Commitment shall automatically be converted into a Revolving B Commitment in the same amount and (y) such Lender shall thereafter be considered a “Revolving B Lender” for purposes hereof.</w:t>
      </w:r>
    </w:p>
    <w:p>
      <w:pPr>
        <w:spacing w:after="0" w:line="53" w:lineRule="exact"/>
        <w:rPr>
          <w:rFonts w:ascii="Arial" w:cs="Arial" w:eastAsia="Arial" w:hAnsi="Arial"/>
          <w:sz w:val="16"/>
          <w:szCs w:val="16"/>
          <w:color w:val="auto"/>
        </w:rPr>
      </w:pPr>
    </w:p>
    <w:p>
      <w:pPr>
        <w:ind w:right="20" w:firstLine="436"/>
        <w:spacing w:after="0" w:line="291" w:lineRule="auto"/>
        <w:tabs>
          <w:tab w:leader="none" w:pos="68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the event there are any Loans or LC Advances outstanding as of the date of any Tranche Conversion, (i) the Borrower shall prepay (which prepayment shall not be on a pro rata basis with the other Loans and LC Advances owing to other Lenders under such Facility) all Loans and LC Advances under any Facility owing to the Lender whose Revolving Commitment under such Facility is being converted and (ii) the Lender whose Revolving Commitment under a Facility is being converted to a Revolving Commitment under the other Facility shall purchase at par from each of the other Lenders under the Facility to which such Lender’s Revolving Commitment is being converted such principal amount of the outstanding Revolving Loans and LC Advances of each such Lender as may be specified by the Administrative Agent so that, after giving effect to all such purchases, each Borrowing and LC Advance under such Facility is held on a pro rata basis by the Lenders thereunder in accordance with their Applicable Percentages.</w:t>
      </w:r>
    </w:p>
    <w:p>
      <w:pPr>
        <w:spacing w:after="0" w:line="58" w:lineRule="exact"/>
        <w:rPr>
          <w:rFonts w:ascii="Arial" w:cs="Arial" w:eastAsia="Arial" w:hAnsi="Arial"/>
          <w:sz w:val="16"/>
          <w:szCs w:val="16"/>
          <w:color w:val="auto"/>
        </w:rPr>
      </w:pPr>
    </w:p>
    <w:p>
      <w:pPr>
        <w:ind w:right="220" w:firstLine="436"/>
        <w:spacing w:after="0" w:line="259" w:lineRule="auto"/>
        <w:tabs>
          <w:tab w:leader="none" w:pos="69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connection with any Tranche Conversion pursuant to this Section 2.04, the Alternative Currency Sublimit for each Facility shall be automatically adjusted at the time of such Tranche Conversion so that the percentage obtained by dividing the Alternative Currency Sublimit for such Facility by the total Revolving Commitments under such Facility immediately following such Tranche Conversion is equal to such percentage immediately after such Tranche Conversion.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Discretionary Letters of Credit</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89" w:lineRule="auto"/>
        <w:tabs>
          <w:tab w:leader="none" w:pos="65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(A) any Issuing Bank may, in its sole discretion, in reliance upon the agreements of the other Revolving Lenders set forth in this Section 2.05, (x) from time to time on any Business Day during the period from the Closing Date until the fifth Business Day prior to the Maturity Date, issue Letters of Credit for the account of the Borrower under any Revolving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may be for the benefit of any Subsidiary of the Borrower) and to amend or renew Letters of Credit previously issued by it, in accordance with this Section 2.05, and (y) to honor drawings under the Letters of Credit and (B) the Revolving Lenders under each Revolving Facility severally agree to participate in Letters of Credit issued under such Revolving Credit Facility pursuant to this Section 2.05;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Issuing Bank shall make LC Credit Extensions with respect to Letters of Credit, and Revolving Lenders shall not be obligated to participate in Letters of Credit if, after giving effect to such LC Credit Extension, (i) the Revolving Exposures would exceed the Revolving Commitments, (ii) in the case of a Tranche A Letter of Credit, the aggregate principal amount of the total Revolving A Exposures would exceed the total Revolving A Commitments or (iii) in the case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170" w:name="page171"/>
    <w:bookmarkEnd w:id="170"/>
    <w:p>
      <w:pPr>
        <w:ind w:left="4"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a Tranche B Letter of Credit, the aggregate principal amount of the total Revolving B Exposures would exceed the total Revolving B Commitments, as applicable. Each request by the Borrower for an LC Credit Extension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and subject to the consent of the applicable Issuing Bank, obtain Letters of Credit to replace Letters of Credit that have expired or that have been drawn upon and reimbursed.</w:t>
      </w:r>
    </w:p>
    <w:p>
      <w:pPr>
        <w:spacing w:after="0" w:line="84" w:lineRule="exact"/>
        <w:rPr>
          <w:sz w:val="20"/>
          <w:szCs w:val="20"/>
          <w:color w:val="auto"/>
        </w:rPr>
      </w:pPr>
    </w:p>
    <w:p>
      <w:pPr>
        <w:ind w:left="704" w:hanging="264"/>
        <w:spacing w:after="0"/>
        <w:tabs>
          <w:tab w:leader="none" w:pos="70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No Issuing Bank shall issue or amend any Letters of Credit if:</w:t>
      </w:r>
    </w:p>
    <w:p>
      <w:pPr>
        <w:spacing w:after="0" w:line="117" w:lineRule="exact"/>
        <w:rPr>
          <w:rFonts w:ascii="Arial" w:cs="Arial" w:eastAsia="Arial" w:hAnsi="Arial"/>
          <w:sz w:val="18"/>
          <w:szCs w:val="18"/>
          <w:color w:val="auto"/>
        </w:rPr>
      </w:pPr>
    </w:p>
    <w:p>
      <w:pPr>
        <w:ind w:left="444" w:right="80" w:firstLine="419"/>
        <w:spacing w:after="0" w:line="277" w:lineRule="auto"/>
        <w:tabs>
          <w:tab w:leader="none" w:pos="1122" w:val="left"/>
        </w:tabs>
        <w:numPr>
          <w:ilvl w:val="2"/>
          <w:numId w:val="152"/>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2.05(a)(viii)</w:t>
      </w:r>
      <w:r>
        <w:rPr>
          <w:rFonts w:ascii="Arial" w:cs="Arial" w:eastAsia="Arial" w:hAnsi="Arial"/>
          <w:sz w:val="18"/>
          <w:szCs w:val="18"/>
          <w:color w:val="auto"/>
        </w:rPr>
        <w:t>, the expiry date of such requested Letter of Credit would occur more than twelve months after the date of issuance or last renewal, unless otherwise agreed by such Issuing Bank and the Administrative Agent;</w:t>
      </w:r>
    </w:p>
    <w:p>
      <w:pPr>
        <w:spacing w:after="0" w:line="62" w:lineRule="exact"/>
        <w:rPr>
          <w:rFonts w:ascii="Arial" w:cs="Arial" w:eastAsia="Arial" w:hAnsi="Arial"/>
          <w:sz w:val="18"/>
          <w:szCs w:val="18"/>
          <w:color w:val="auto"/>
        </w:rPr>
      </w:pPr>
    </w:p>
    <w:p>
      <w:pPr>
        <w:ind w:left="444" w:right="160" w:firstLine="419"/>
        <w:spacing w:after="0" w:line="277" w:lineRule="auto"/>
        <w:tabs>
          <w:tab w:leader="none" w:pos="1122" w:val="left"/>
        </w:tabs>
        <w:numPr>
          <w:ilvl w:val="2"/>
          <w:numId w:val="152"/>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applicable fifth Business Day prior to the Maturity Date, unless each Revolving Lender shall have approved such expiry date;</w:t>
      </w:r>
    </w:p>
    <w:p>
      <w:pPr>
        <w:spacing w:after="0" w:line="62" w:lineRule="exact"/>
        <w:rPr>
          <w:rFonts w:ascii="Arial" w:cs="Arial" w:eastAsia="Arial" w:hAnsi="Arial"/>
          <w:sz w:val="18"/>
          <w:szCs w:val="18"/>
          <w:color w:val="auto"/>
        </w:rPr>
      </w:pPr>
    </w:p>
    <w:p>
      <w:pPr>
        <w:ind w:left="1124" w:hanging="261"/>
        <w:spacing w:after="0"/>
        <w:tabs>
          <w:tab w:leader="none" w:pos="1124" w:val="left"/>
        </w:tabs>
        <w:numPr>
          <w:ilvl w:val="2"/>
          <w:numId w:val="152"/>
        </w:numPr>
        <w:rPr>
          <w:rFonts w:ascii="Arial" w:cs="Arial" w:eastAsia="Arial" w:hAnsi="Arial"/>
          <w:sz w:val="17"/>
          <w:szCs w:val="17"/>
          <w:color w:val="auto"/>
        </w:rPr>
      </w:pPr>
      <w:r>
        <w:rPr>
          <w:rFonts w:ascii="Arial" w:cs="Arial" w:eastAsia="Arial" w:hAnsi="Arial"/>
          <w:sz w:val="17"/>
          <w:szCs w:val="17"/>
          <w:color w:val="auto"/>
        </w:rPr>
        <w:t>in the case of any Issuing Bank other than Bank of America, such Letter of Credit is denominated in currency other than Dollars; or</w:t>
      </w:r>
    </w:p>
    <w:p>
      <w:pPr>
        <w:spacing w:after="0" w:line="128" w:lineRule="exact"/>
        <w:rPr>
          <w:rFonts w:ascii="Arial" w:cs="Arial" w:eastAsia="Arial" w:hAnsi="Arial"/>
          <w:sz w:val="17"/>
          <w:szCs w:val="17"/>
          <w:color w:val="auto"/>
        </w:rPr>
      </w:pPr>
    </w:p>
    <w:p>
      <w:pPr>
        <w:ind w:left="444" w:right="540" w:firstLine="419"/>
        <w:spacing w:after="0" w:line="277" w:lineRule="auto"/>
        <w:tabs>
          <w:tab w:leader="none" w:pos="1122" w:val="left"/>
        </w:tabs>
        <w:numPr>
          <w:ilvl w:val="2"/>
          <w:numId w:val="152"/>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the applicable Issuing Bank, the Letter of Credit is in an initial stated amount less than $500,000 or is not in an integral multiple of $100,000 in excess thereof.</w:t>
      </w:r>
    </w:p>
    <w:p>
      <w:pPr>
        <w:spacing w:after="0" w:line="62" w:lineRule="exact"/>
        <w:rPr>
          <w:rFonts w:ascii="Arial" w:cs="Arial" w:eastAsia="Arial" w:hAnsi="Arial"/>
          <w:sz w:val="18"/>
          <w:szCs w:val="18"/>
          <w:color w:val="auto"/>
        </w:rPr>
      </w:pPr>
    </w:p>
    <w:p>
      <w:pPr>
        <w:ind w:left="764" w:hanging="324"/>
        <w:spacing w:after="0"/>
        <w:tabs>
          <w:tab w:leader="none" w:pos="76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firstLine="436"/>
        <w:spacing w:after="0" w:line="275" w:lineRule="auto"/>
        <w:tabs>
          <w:tab w:leader="none" w:pos="749" w:val="left"/>
        </w:tabs>
        <w:numPr>
          <w:ilvl w:val="1"/>
          <w:numId w:val="152"/>
        </w:numPr>
        <w:rPr>
          <w:rFonts w:ascii="Arial" w:cs="Arial" w:eastAsia="Arial" w:hAnsi="Arial"/>
          <w:sz w:val="17"/>
          <w:szCs w:val="17"/>
          <w:color w:val="auto"/>
        </w:rPr>
      </w:pPr>
      <w:r>
        <w:rPr>
          <w:rFonts w:ascii="Arial" w:cs="Arial" w:eastAsia="Arial" w:hAnsi="Arial"/>
          <w:sz w:val="17"/>
          <w:szCs w:val="17"/>
          <w:color w:val="auto"/>
        </w:rPr>
        <w:t>Each Issuing Bank shall act on behalf of the applicable Revolving Lenders with respect to any Letters of Credit issued by it and the documents associated therewith, and each Issuing Bank shall have all of the benefits and immunities (A) provided to the Administrative Agent in Article VIII with respect to any acts taken or omissions suffered by such Issuing Bank in connection with Letters of Credit issued by it or proposed to be issued by it and Issuer Documents pertaining to such Letters of Credit as fully as if the term “Administrative Agent” as used in Article VIII included each Issuing Bank with respect to such acts or omissions, and (B) as additionally provided herein with respect to the Issuing Banks.</w:t>
      </w:r>
    </w:p>
    <w:p>
      <w:pPr>
        <w:spacing w:after="0" w:line="68" w:lineRule="exact"/>
        <w:rPr>
          <w:rFonts w:ascii="Arial" w:cs="Arial" w:eastAsia="Arial" w:hAnsi="Arial"/>
          <w:sz w:val="17"/>
          <w:szCs w:val="17"/>
          <w:color w:val="auto"/>
        </w:rPr>
      </w:pPr>
    </w:p>
    <w:p>
      <w:pPr>
        <w:ind w:left="4" w:right="20" w:firstLine="436"/>
        <w:spacing w:after="0" w:line="283" w:lineRule="auto"/>
        <w:tabs>
          <w:tab w:leader="none" w:pos="699"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with the consent of the applicable Issuing Bank and upon the request of the Borrower delivered to such Issuing Bank (with a copy to the Administrative Agent) in the form of a Letter of Credit Application, appropriately completed and signed by a Responsible Officer of the Borrower. Such Letter of Credit Application must be received by such Issuing Bank and the Administrative Agent not later than 12:00 noon at least two (2) Business Days prior to the proposed issuance date or date of amendment, as the case may be; or, in each case, such later date and time as the applicable Issuing Bank may agree in a particular instance in its sole discretion. In the case of a request for an initial issuance of a Letter of Credit, such Letter of Credit Application shall specify in form and detail reasonably satisfactory to the applicable Issuing Bank: (a) the proposed issuance date of the requested Letter of Credit (which shall be a Business Day) and whether such Letter of Credit shall be a Tranche A Letter of Credit or a Tranche B Letter of Credit;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currency in which the request Letter of Credit will be denominated; and</w:t>
      </w:r>
    </w:p>
    <w:p>
      <w:pPr>
        <w:spacing w:after="0" w:line="4" w:lineRule="exact"/>
        <w:rPr>
          <w:rFonts w:ascii="Arial" w:cs="Arial" w:eastAsia="Arial" w:hAnsi="Arial"/>
          <w:sz w:val="16"/>
          <w:szCs w:val="16"/>
          <w:color w:val="auto"/>
        </w:rPr>
      </w:pPr>
    </w:p>
    <w:p>
      <w:pPr>
        <w:ind w:left="264" w:hanging="264"/>
        <w:spacing w:after="0"/>
        <w:tabs>
          <w:tab w:leader="none" w:pos="26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such other information as shall be necessary to prepare such Letter</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4"/>
          </w:cols>
          <w:pgMar w:left="436" w:top="274" w:right="459" w:bottom="1440" w:gutter="0" w:footer="0" w:header="0"/>
        </w:sectPr>
      </w:pPr>
    </w:p>
    <w:bookmarkStart w:id="171" w:name="page172"/>
    <w:bookmarkEnd w:id="171"/>
    <w:p>
      <w:pPr>
        <w:ind w:left="4"/>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Credit. In the case of a request for an amendment of any outstanding Letter of Credit, such Letter of Credit Application shall specify in form and detail reasonably satisfactory to the applicable Issuing Bank (1) the Letter of Credit to be amended; (2) the proposed date of amendment thereof (which shall be a Business Day); (3) the nature of the proposed amendment; and (4) such other information as shall be necessary to amend such Letter of Credit.</w:t>
      </w:r>
    </w:p>
    <w:p>
      <w:pPr>
        <w:spacing w:after="0" w:line="41" w:lineRule="exact"/>
        <w:rPr>
          <w:sz w:val="20"/>
          <w:szCs w:val="20"/>
          <w:color w:val="auto"/>
        </w:rPr>
      </w:pPr>
    </w:p>
    <w:p>
      <w:pPr>
        <w:ind w:left="4" w:right="20" w:firstLine="436"/>
        <w:spacing w:after="0" w:line="288" w:lineRule="auto"/>
        <w:tabs>
          <w:tab w:leader="none" w:pos="749" w:val="left"/>
        </w:tabs>
        <w:numPr>
          <w:ilvl w:val="1"/>
          <w:numId w:val="154"/>
        </w:numPr>
        <w:rPr>
          <w:rFonts w:ascii="Arial" w:cs="Arial" w:eastAsia="Arial" w:hAnsi="Arial"/>
          <w:sz w:val="16"/>
          <w:szCs w:val="16"/>
          <w:color w:val="auto"/>
        </w:rPr>
      </w:pPr>
      <w:r>
        <w:rPr>
          <w:rFonts w:ascii="Arial" w:cs="Arial" w:eastAsia="Arial" w:hAnsi="Arial"/>
          <w:sz w:val="16"/>
          <w:szCs w:val="16"/>
          <w:color w:val="auto"/>
        </w:rPr>
        <w:t>Promptly after receipt of any Letter of Credit Application, the applicable Issuing Bank will confirm with the Administrative Agent (by telephone or in writing) that the Administrative Agent has received a copy of such Letter of Credit Application from the Borrower and, if not, such Issuing Bank will provide the Administrative Agent with a copy thereof. Unless such Issuing Bank has received written notice from the Required Lenders, the Administrative Agent or the Borrower, at least one Business Day prior to the requested date of issuance or amendment of the applicable Letter of Credit, that one or more conditions contained in Section 4.02 (and, with respect to Letters of Credit, if any, issued on the Closing Date, the conditions set forth in Section 4.01) shall not then be satisfied, then, subject to the terms and conditions hereof, such Issuing Bank may (but shall not be required to), on the requested date, issue a Letter of Credit for the account of the Borrower (or the applicable Subsidiary) or enter into the applicable amendment, as the case may be. Immediately upon the issuance of each Letter of Credit, each Revolving Lender under the applicable Revolving Facility shall be deemed to, and hereby irrevocably and unconditionally agrees to, acquire from such Issuing Bank a risk participation in such Letter of Credit in an amount equal to such Revolving Lender’s Applicable Percentage under the applicable Revolving Facility times the amount of such Letter of Credit.</w:t>
      </w:r>
    </w:p>
    <w:p>
      <w:pPr>
        <w:spacing w:after="0" w:line="60" w:lineRule="exact"/>
        <w:rPr>
          <w:rFonts w:ascii="Arial" w:cs="Arial" w:eastAsia="Arial" w:hAnsi="Arial"/>
          <w:sz w:val="16"/>
          <w:szCs w:val="16"/>
          <w:color w:val="auto"/>
        </w:rPr>
      </w:pPr>
    </w:p>
    <w:p>
      <w:pPr>
        <w:ind w:left="4" w:firstLine="436"/>
        <w:spacing w:after="0" w:line="284" w:lineRule="auto"/>
        <w:tabs>
          <w:tab w:leader="none" w:pos="799" w:val="left"/>
        </w:tabs>
        <w:numPr>
          <w:ilvl w:val="1"/>
          <w:numId w:val="154"/>
        </w:numPr>
        <w:rPr>
          <w:rFonts w:ascii="Arial" w:cs="Arial" w:eastAsia="Arial" w:hAnsi="Arial"/>
          <w:sz w:val="16"/>
          <w:szCs w:val="16"/>
          <w:color w:val="auto"/>
        </w:rPr>
      </w:pPr>
      <w:r>
        <w:rPr>
          <w:rFonts w:ascii="Arial" w:cs="Arial" w:eastAsia="Arial" w:hAnsi="Arial"/>
          <w:sz w:val="16"/>
          <w:szCs w:val="16"/>
          <w:color w:val="auto"/>
        </w:rPr>
        <w:t>If the Borrower so requests in any applicable Letter of Credit Application, the applicable Issuing Bank may, in its sole discretion, agree to issue a Letter of Credit that has automatic renewal provisions (each, an “</w:t>
      </w:r>
      <w:r>
        <w:rPr>
          <w:rFonts w:ascii="Arial" w:cs="Arial" w:eastAsia="Arial" w:hAnsi="Arial"/>
          <w:sz w:val="16"/>
          <w:szCs w:val="16"/>
          <w:u w:val="single" w:color="auto"/>
          <w:color w:val="auto"/>
        </w:rPr>
        <w:t>Auto-Renewal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Auto-Renewal Letter of Credit must permit such Issuing Bank to prevent any such renewal at least once 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Nonrenewal Notice Date</w:t>
      </w:r>
      <w:r>
        <w:rPr>
          <w:rFonts w:ascii="Arial" w:cs="Arial" w:eastAsia="Arial" w:hAnsi="Arial"/>
          <w:sz w:val="16"/>
          <w:szCs w:val="16"/>
          <w:color w:val="auto"/>
        </w:rPr>
        <w:t xml:space="preserve">”) in each such twelve-month period to be agreed upon at the time such Letter of Credit is issued. Unless otherwise directed by the applicable Issuing Bank, the Borrower shall not be required to make a specific request to such Issuing Bank for any such renewal. Once an Auto-Renewal Letter of Credit has been issued, the Revolving Lenders shall be deemed to have authorized (but may not require) the applicable Issuing Bank to permit the renewal of such Letter of Credit at any time to an expiry date not later than the fifth Business Day prior to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Issuing Bank shall not permit any such renewal if</w:t>
      </w:r>
    </w:p>
    <w:p>
      <w:pPr>
        <w:ind w:left="4" w:right="100" w:hanging="4"/>
        <w:spacing w:after="0" w:line="253" w:lineRule="auto"/>
        <w:tabs>
          <w:tab w:leader="none" w:pos="29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such Issuing Bank has determined that it would not be permitted to issue such Letter of Credit in its renewed form under the terms thereof, or (B) it has received notice (which may be by telephone or in writing) on or before the day that is five (5) Business Days before the Nonrenewal Notice Date from the Administrative Agent or the Required Lenders, as applicable, or the Borrower that one or more of the conditions specified in Section 4.02 is not then satisfied.</w:t>
      </w:r>
    </w:p>
    <w:p>
      <w:pPr>
        <w:spacing w:after="0" w:line="84" w:lineRule="exact"/>
        <w:rPr>
          <w:rFonts w:ascii="Arial" w:cs="Arial" w:eastAsia="Arial" w:hAnsi="Arial"/>
          <w:sz w:val="18"/>
          <w:szCs w:val="18"/>
          <w:color w:val="auto"/>
        </w:rPr>
      </w:pPr>
    </w:p>
    <w:p>
      <w:pPr>
        <w:ind w:left="4" w:right="100" w:firstLine="436"/>
        <w:spacing w:after="0" w:line="263" w:lineRule="auto"/>
        <w:tabs>
          <w:tab w:leader="none" w:pos="849" w:val="left"/>
        </w:tabs>
        <w:numPr>
          <w:ilvl w:val="1"/>
          <w:numId w:val="155"/>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w:t>
      </w:r>
    </w:p>
    <w:p>
      <w:pPr>
        <w:spacing w:after="0" w:line="75" w:lineRule="exact"/>
        <w:rPr>
          <w:rFonts w:ascii="Arial" w:cs="Arial" w:eastAsia="Arial" w:hAnsi="Arial"/>
          <w:sz w:val="18"/>
          <w:szCs w:val="18"/>
          <w:color w:val="auto"/>
        </w:rPr>
      </w:pPr>
    </w:p>
    <w:p>
      <w:pPr>
        <w:ind w:left="4" w:firstLine="436"/>
        <w:spacing w:after="0" w:line="257" w:lineRule="auto"/>
        <w:tabs>
          <w:tab w:leader="none" w:pos="749" w:val="left"/>
        </w:tabs>
        <w:numPr>
          <w:ilvl w:val="1"/>
          <w:numId w:val="155"/>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a drawing under such Letter of Credit, the applicable Issuing Bank shall notify promptly the Borrower and the Administrative Agent thereof. In the case of an LC Disbursement with respect to any Letter of Credit denominated in an Alternative Currency, the Borrower shall reimburse the applicable Issuing Bank in such Alternative Currency, unless (A) such Issuing Bank (at its option) shall have specified in such notice that it will require reimbursement in Dollars, or (B) in the absence of any such requirement for reimbursement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4"/>
          </w:cols>
          <w:pgMar w:left="436" w:top="274" w:right="459" w:bottom="1440" w:gutter="0" w:footer="0" w:header="0"/>
        </w:sectPr>
      </w:pPr>
    </w:p>
    <w:bookmarkStart w:id="172" w:name="page173"/>
    <w:bookmarkEnd w:id="17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Dollars, the Borrower shall have notified such Issuing Bank promptly following receipt of the notice of drawing that the Borrower will reimburse such Issuing Bank in Dollars. In the case of any such reimbursement in Dollars of an LC Disbursement under a Letter of Credit denominated in an Alternative Currency, the applicable Issuing Bank shall notify the Borrower of the Dollar Equivalent of the amount of the LC Disbursement promptly following the determination thereof. Not later than 11:00 a.m. on the first Business Day following the date on which the Borrower receives notice of any LC Disbursement (each such date, an “</w:t>
      </w:r>
      <w:r>
        <w:rPr>
          <w:rFonts w:ascii="Arial" w:cs="Arial" w:eastAsia="Arial" w:hAnsi="Arial"/>
          <w:sz w:val="17"/>
          <w:szCs w:val="17"/>
          <w:u w:val="single" w:color="auto"/>
          <w:color w:val="auto"/>
        </w:rPr>
        <w:t>Honor Date</w:t>
      </w:r>
      <w:r>
        <w:rPr>
          <w:rFonts w:ascii="Arial" w:cs="Arial" w:eastAsia="Arial" w:hAnsi="Arial"/>
          <w:sz w:val="17"/>
          <w:szCs w:val="17"/>
          <w:color w:val="auto"/>
        </w:rPr>
        <w:t>”), the Borrower shall reimburse the applicable Issuing Bank in an amount equal to the amount of such LC Disbursement and in the applicable currency. If the Borrower fails to so reimburse such Issuing Bank by such time, the Administrative Agent shall promptly notify each Revolving Lender under the applicable Revolving Facility of the Honor Date, the amount of the unreimbursed LC Disbursement (the “</w:t>
      </w:r>
      <w:r>
        <w:rPr>
          <w:rFonts w:ascii="Arial" w:cs="Arial" w:eastAsia="Arial" w:hAnsi="Arial"/>
          <w:sz w:val="17"/>
          <w:szCs w:val="17"/>
          <w:u w:val="single" w:color="auto"/>
          <w:color w:val="auto"/>
        </w:rPr>
        <w:t>Unreimbursed Amount</w:t>
      </w:r>
      <w:r>
        <w:rPr>
          <w:rFonts w:ascii="Arial" w:cs="Arial" w:eastAsia="Arial" w:hAnsi="Arial"/>
          <w:sz w:val="17"/>
          <w:szCs w:val="17"/>
          <w:color w:val="auto"/>
        </w:rPr>
        <w:t xml:space="preserve">”) (expressed in Dollars based on the Dollar Equivalent amount thereof in the case of an Alternative Currency), and the amount of such Revolving Lender’s Applicable Percentage thereof. In such event, the Borrower shall be deemed to have requested an ABR Revolving Loan under the Revolving Facility under which such Letter of Credit was issued to be disbursed on the Honor Date in an amount equal to the Outstanding Amount of such LC Disbursement, without regard to the minimum and multiples specified in Section 2.03 for the principal amount of ABR Loans, but subject to the amount of the unutilized portion of the Revolving Commitments under the applicable Revolving Facility, and subject to the conditions set forth in Section 4.02 (other than the delivery of a Borrowing Request). Any notice given by an Issuing Bank or the Administrative Agent pursuant to this Section 2.05(a)(ix) may be given by telephone if immediately confirmed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lack of such an immediate confirmation shall not affect the conclusiveness or binding effect of such notice.</w:t>
      </w:r>
    </w:p>
    <w:p>
      <w:pPr>
        <w:spacing w:after="0" w:line="74" w:lineRule="exact"/>
        <w:rPr>
          <w:sz w:val="20"/>
          <w:szCs w:val="20"/>
          <w:color w:val="auto"/>
        </w:rPr>
      </w:pPr>
    </w:p>
    <w:p>
      <w:pPr>
        <w:ind w:right="80" w:firstLine="436"/>
        <w:spacing w:after="0" w:line="254" w:lineRule="auto"/>
        <w:tabs>
          <w:tab w:leader="none" w:pos="69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Each Revolving Lender (including any such Lender acting as an Issuing Bank) under the applicable Revolving Facility shall upon receipt of any notice made pursuant to Section 2.05(a)(ix) make funds available to the Administrative Agent for the account of the applicable Issuing Bank at the Administrative Agent’s Office for payments in an amount equal to its Applicable Percentage of any LC Disbursement that has not been reimbursed by the Borrower at or prior to 1:00 p.m. on the Business Day specified in such notice by the Administrative Agent, whereupon, subject to the provisions of Section 2.05(a)(xii), each Revolving Lender that so makes funds available shall be deemed to have made an ABR Revolving Loan to the Borrower in such amount. The Administrative Agent shall remit the funds so received to the applicable Issuing Bank and such funds shall be applied to repay the applicable LC Disbursement.</w:t>
      </w:r>
    </w:p>
    <w:p>
      <w:pPr>
        <w:spacing w:after="0" w:line="86" w:lineRule="exact"/>
        <w:rPr>
          <w:rFonts w:ascii="Arial" w:cs="Arial" w:eastAsia="Arial" w:hAnsi="Arial"/>
          <w:sz w:val="18"/>
          <w:szCs w:val="18"/>
          <w:color w:val="auto"/>
        </w:rPr>
      </w:pPr>
    </w:p>
    <w:p>
      <w:pPr>
        <w:ind w:firstLine="436"/>
        <w:spacing w:after="0" w:line="291" w:lineRule="auto"/>
        <w:tabs>
          <w:tab w:leader="none" w:pos="74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With respect to any LC Disbursement that is not fully reimbursed by the Borrower and has not been refinanced by an ABR Revolving Loan because the applicable conditions set forth in Article IV cannot be satisfied or for any other reason, the Borrower shall be deemed to have incurred from the applicable Issuing Bank an LC Borrowing under the Revolving Facility under which such Letter of Credit was issued in the Outstanding Amount of the LC Disbursement that is not so reimbursed or refinanced, which LC Borrowing shall be due and payable on demand (together with interest) and shall bear interest at the rate specified in Section 2.11(c). In such event, each applicable Revolving Lender’s payment to the Administrative Agent for the account of the applicable Issuing Bank pursuant to Section 2.05(a)(x) shall be deemed payment in respect of its participation in such LC Borrowing and shall constitute an LC Advance from such Lender in satisfaction of its participation obligation under this Section 2.05.</w:t>
      </w:r>
    </w:p>
    <w:p>
      <w:pPr>
        <w:spacing w:after="0" w:line="58" w:lineRule="exact"/>
        <w:rPr>
          <w:rFonts w:ascii="Arial" w:cs="Arial" w:eastAsia="Arial" w:hAnsi="Arial"/>
          <w:sz w:val="16"/>
          <w:szCs w:val="16"/>
          <w:color w:val="auto"/>
        </w:rPr>
      </w:pPr>
    </w:p>
    <w:p>
      <w:pPr>
        <w:ind w:right="60" w:firstLine="436"/>
        <w:spacing w:after="0" w:line="263" w:lineRule="auto"/>
        <w:tabs>
          <w:tab w:leader="none" w:pos="79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Until a Revolving Lender funds its Revolving Loan or LC Advance pursuant to this Section 2.05(a) to reimburse the applicable Issuing Bank for any LC Disbursement, interest in respect of such Revolving Lender’s Applicable Percentage of such amount shall be solely for the account of the applicable Issuing Bank.</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173" w:name="page174"/>
    <w:bookmarkEnd w:id="173"/>
    <w:p>
      <w:pPr>
        <w:ind w:left="840" w:hanging="404"/>
        <w:spacing w:after="0"/>
        <w:tabs>
          <w:tab w:leader="none" w:pos="8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Revolving Lender’s obligation to make Revolving Loans or LC Advances to reimburse the applicable Issuing Bank for LC</w:t>
      </w:r>
    </w:p>
    <w:p>
      <w:pPr>
        <w:spacing w:after="0" w:line="23" w:lineRule="exact"/>
        <w:rPr>
          <w:rFonts w:ascii="Arial" w:cs="Arial" w:eastAsia="Arial" w:hAnsi="Arial"/>
          <w:sz w:val="18"/>
          <w:szCs w:val="18"/>
          <w:color w:val="auto"/>
        </w:rPr>
      </w:pPr>
    </w:p>
    <w:p>
      <w:pPr>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Disbursements in respect of Letters of Credit issued under the applicable Revolving Facility that are not reimbursed by the Borrower as set forth herein, as contemplated by this Section 2.05(a), shall be absolute and unconditional and shall not be affected by any circumstance, including (A) any setoff, counterclaim, recoupment, defense or other right which such Lender may have against any Issuing Bank, the Borrower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Revolving Lender’s obligation to make Revolving Loans pursuant to this Section 2.05(a) is subject to the conditions set forth in Section 4.02 (other than delivery by the Borrower of a Borrowing Request). No such making of an LC Advance shall relieve or otherwise impair the obligation of the Borrower to reimburse the applicable Issuing Bank for the amount of any payment made by such Issuing Bank under any Letter of Credit, together with interest as provided herein.</w:t>
      </w:r>
    </w:p>
    <w:p>
      <w:pPr>
        <w:spacing w:after="0" w:line="75" w:lineRule="exact"/>
        <w:rPr>
          <w:rFonts w:ascii="Arial" w:cs="Arial" w:eastAsia="Arial" w:hAnsi="Arial"/>
          <w:sz w:val="18"/>
          <w:szCs w:val="18"/>
          <w:color w:val="auto"/>
        </w:rPr>
      </w:pPr>
    </w:p>
    <w:p>
      <w:pPr>
        <w:ind w:right="140" w:firstLine="436"/>
        <w:spacing w:after="0" w:line="272" w:lineRule="auto"/>
        <w:tabs>
          <w:tab w:leader="none" w:pos="83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If any Revolving Lender fails to make available to the Administrative Agent for the account of an Issuing Bank any amount required to be paid by such Lender pursuant to the foregoing provisions of this Section 2.05(a) by the time specified in Section 2.05(a)(x),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per annum equal to the applicable Overnight Rate from time to time in effect plus any administrative, processing or similar fees customarily charged by such Issuing Bank in connection with the foregoing. A certificate of an Issuing Bank submitted to any Revolving Lender (through the Administrative Agent) with respect to any amounts owing under this Section 2.05(a)(xiv) shall be conclusive absent manifest error.</w:t>
      </w:r>
    </w:p>
    <w:p>
      <w:pPr>
        <w:spacing w:after="0" w:line="69" w:lineRule="exact"/>
        <w:rPr>
          <w:rFonts w:ascii="Arial" w:cs="Arial" w:eastAsia="Arial" w:hAnsi="Arial"/>
          <w:sz w:val="17"/>
          <w:szCs w:val="17"/>
          <w:color w:val="auto"/>
        </w:rPr>
      </w:pPr>
    </w:p>
    <w:p>
      <w:pPr>
        <w:ind w:right="20" w:firstLine="436"/>
        <w:spacing w:after="0" w:line="255" w:lineRule="auto"/>
        <w:tabs>
          <w:tab w:leader="none" w:pos="78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If any Revolving Lender becomes a Defaulting Lender following the issuance of any Letter of Credit, then subject to the provisions of Section 2.19, the Borrower will promptly deposit Cash Collateral with the Administrative Agent in an amount equal to the Fronting Exposure to such Defaulting Lender which Cash Collateral shall be held by the Administrative Agent to secure such Defaulting Lender’s obligations to participate in such Letter of Credit (and, if any Cash Collateral remains following the return or expiration of such Letter of Credit or such Lender ceasing to constitute a Defaulting Lender (including as a result of an assignment pursuant to Section 9.06), shall be returned to the Borrower promptly following such return or expiration).</w:t>
      </w:r>
    </w:p>
    <w:p>
      <w:pPr>
        <w:spacing w:after="0" w:line="84" w:lineRule="exact"/>
        <w:rPr>
          <w:sz w:val="20"/>
          <w:szCs w:val="20"/>
          <w:color w:val="auto"/>
        </w:rPr>
      </w:pPr>
    </w:p>
    <w:p>
      <w:pPr>
        <w:ind w:left="700" w:hanging="264"/>
        <w:spacing w:after="0"/>
        <w:tabs>
          <w:tab w:leader="none" w:pos="70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73" w:lineRule="auto"/>
        <w:tabs>
          <w:tab w:leader="none" w:pos="655"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If, at any time after an Issuing Bank has made a payment under any Letter of Credit and has received from any Revolving Lender such Lender’s LC Advance in respect of such payment in accordance with Section 2.05(a), the Administrative Agent receives for the account of such Issuing Bank any payment in respect of the related LC Disbursement or interest thereon (whether directly from the Borrower or otherwise, including proceeds of Cash Collateral applied thereto by the Administrative Agent), the Administrative Agent will distribute to such Revolving Lender its Applicable Percentage thereof (appropriately adjusted, in the case of interest payments, to reflect the period of time during which such Lender’s LC Advance was outstanding) in the same funds as those received by the Administrative Agent.</w:t>
      </w:r>
    </w:p>
    <w:p>
      <w:pPr>
        <w:spacing w:after="0" w:line="69" w:lineRule="exact"/>
        <w:rPr>
          <w:rFonts w:ascii="Arial" w:cs="Arial" w:eastAsia="Arial" w:hAnsi="Arial"/>
          <w:sz w:val="17"/>
          <w:szCs w:val="17"/>
          <w:color w:val="auto"/>
        </w:rPr>
      </w:pPr>
    </w:p>
    <w:p>
      <w:pPr>
        <w:ind w:right="260" w:firstLine="436"/>
        <w:spacing w:after="0" w:line="273" w:lineRule="auto"/>
        <w:tabs>
          <w:tab w:leader="none" w:pos="705"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If any payment received by the Administrative Agent for the account of an Issuing Bank pursuant to Section 2.05(a)(x) is required to be returned under any of the circumstances described in Section 9.03 (including pursuant to any settlement entered into by such Issuing Bank in its discretion), each Revolving Lender shall pay to the Administrative Agent for the account of such Issuing Bank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Revolving Lenders under this clause (b)(ii) shall survive the payment in full of the Obligations and the termination of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174" w:name="page175"/>
    <w:bookmarkEnd w:id="174"/>
    <w:p>
      <w:pPr>
        <w:jc w:val="both"/>
        <w:ind w:right="80" w:firstLine="436"/>
        <w:spacing w:after="0" w:line="263" w:lineRule="auto"/>
        <w:tabs>
          <w:tab w:leader="none" w:pos="685"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obligation of the Borrower to reimburse the applicable Issuing Bank for each LC Disbursement and to repay each LC Borrowing shall be absolute, unconditional and irrevocable, and shall be paid strictly in accordance with the terms of this Agreement under all circumstances, including the following:</w:t>
      </w:r>
    </w:p>
    <w:p>
      <w:pPr>
        <w:spacing w:after="0" w:line="75" w:lineRule="exact"/>
        <w:rPr>
          <w:rFonts w:ascii="Arial" w:cs="Arial" w:eastAsia="Arial" w:hAnsi="Arial"/>
          <w:sz w:val="18"/>
          <w:szCs w:val="18"/>
          <w:color w:val="auto"/>
        </w:rPr>
      </w:pPr>
    </w:p>
    <w:p>
      <w:pPr>
        <w:ind w:left="1160" w:hanging="301"/>
        <w:spacing w:after="0"/>
        <w:tabs>
          <w:tab w:leader="none" w:pos="11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117" w:lineRule="exact"/>
        <w:rPr>
          <w:rFonts w:ascii="Arial" w:cs="Arial" w:eastAsia="Arial" w:hAnsi="Arial"/>
          <w:sz w:val="18"/>
          <w:szCs w:val="18"/>
          <w:color w:val="auto"/>
        </w:rPr>
      </w:pPr>
    </w:p>
    <w:p>
      <w:pPr>
        <w:jc w:val="both"/>
        <w:ind w:left="440" w:firstLine="419"/>
        <w:spacing w:after="0" w:line="259" w:lineRule="auto"/>
        <w:tabs>
          <w:tab w:leader="none" w:pos="114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any Issuing Bank or any other Person, whether in connection with this Agreement, the transactions contemplated hereby or by such Letter of Credit or any agreement or instrument relating thereto, or any unrelated transaction;</w:t>
      </w:r>
    </w:p>
    <w:p>
      <w:pPr>
        <w:spacing w:after="0" w:line="78" w:lineRule="exact"/>
        <w:rPr>
          <w:rFonts w:ascii="Arial" w:cs="Arial" w:eastAsia="Arial" w:hAnsi="Arial"/>
          <w:sz w:val="18"/>
          <w:szCs w:val="18"/>
          <w:color w:val="auto"/>
        </w:rPr>
      </w:pPr>
    </w:p>
    <w:p>
      <w:pPr>
        <w:ind w:left="440" w:right="100" w:firstLine="419"/>
        <w:spacing w:after="0" w:line="263" w:lineRule="auto"/>
        <w:tabs>
          <w:tab w:leader="none" w:pos="114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75" w:lineRule="exact"/>
        <w:rPr>
          <w:rFonts w:ascii="Arial" w:cs="Arial" w:eastAsia="Arial" w:hAnsi="Arial"/>
          <w:sz w:val="18"/>
          <w:szCs w:val="18"/>
          <w:color w:val="auto"/>
        </w:rPr>
      </w:pPr>
    </w:p>
    <w:p>
      <w:pPr>
        <w:ind w:left="440" w:firstLine="419"/>
        <w:spacing w:after="0" w:line="257" w:lineRule="auto"/>
        <w:tabs>
          <w:tab w:leader="none" w:pos="115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payment by an Issuing Bank under such Letter of Credit against presentation of a draft or certificate that does not strictly comply with the terms of such Letter of Credit; or any payment made by an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bankruptcy or insolvency proceeding;</w:t>
      </w:r>
    </w:p>
    <w:p>
      <w:pPr>
        <w:spacing w:after="0" w:line="79" w:lineRule="exact"/>
        <w:rPr>
          <w:rFonts w:ascii="Arial" w:cs="Arial" w:eastAsia="Arial" w:hAnsi="Arial"/>
          <w:sz w:val="18"/>
          <w:szCs w:val="18"/>
          <w:color w:val="auto"/>
        </w:rPr>
      </w:pPr>
    </w:p>
    <w:p>
      <w:pPr>
        <w:ind w:left="440" w:right="440" w:firstLine="419"/>
        <w:spacing w:after="0" w:line="277" w:lineRule="auto"/>
        <w:tabs>
          <w:tab w:leader="none" w:pos="113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the relevant Alternative Currency to the Borrower or any Subsidiary or in the relevant currency markets generally; or</w:t>
      </w:r>
    </w:p>
    <w:p>
      <w:pPr>
        <w:spacing w:after="0" w:line="62" w:lineRule="exact"/>
        <w:rPr>
          <w:rFonts w:ascii="Arial" w:cs="Arial" w:eastAsia="Arial" w:hAnsi="Arial"/>
          <w:sz w:val="18"/>
          <w:szCs w:val="18"/>
          <w:color w:val="auto"/>
        </w:rPr>
      </w:pPr>
    </w:p>
    <w:p>
      <w:pPr>
        <w:ind w:left="440" w:right="180" w:firstLine="419"/>
        <w:spacing w:after="0" w:line="277" w:lineRule="auto"/>
        <w:tabs>
          <w:tab w:leader="none" w:pos="112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excuse any Issuing Bank from liability to the Borrower to the extent of any direct damages (as opposed to consequential damages, claims in respect of which are waived by the Borrower to the extent permitted by any Requirement of Law) suffered by the Borrower that are caused by such Issuing Bank’s failure to exercise care when determining whether drafts and other documents presented under a Letter of Credit comply with the terms thereof, or acts or omissions by such Issuing Bank constituting gross negligence or willful misconduct by, such Issuing Bank.</w:t>
      </w:r>
    </w:p>
    <w:p>
      <w:pPr>
        <w:spacing w:after="0" w:line="80" w:lineRule="exact"/>
        <w:rPr>
          <w:sz w:val="20"/>
          <w:szCs w:val="20"/>
          <w:color w:val="auto"/>
        </w:rPr>
      </w:pPr>
    </w:p>
    <w:p>
      <w:pPr>
        <w:ind w:right="100" w:firstLine="436"/>
        <w:spacing w:after="0" w:line="273" w:lineRule="auto"/>
        <w:tabs>
          <w:tab w:leader="none" w:pos="69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be construed to excuse any Issuing Bank from liability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175" w:name="page176"/>
    <w:bookmarkEnd w:id="175"/>
    <w:p>
      <w:pPr>
        <w:ind w:left="4"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Borrower to the extent of any direct damages (as opposed to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73" w:lineRule="exact"/>
        <w:rPr>
          <w:sz w:val="20"/>
          <w:szCs w:val="20"/>
          <w:color w:val="auto"/>
        </w:rPr>
      </w:pPr>
    </w:p>
    <w:p>
      <w:pPr>
        <w:ind w:left="684" w:hanging="244"/>
        <w:spacing w:after="0"/>
        <w:tabs>
          <w:tab w:leader="none" w:pos="684" w:val="left"/>
        </w:tabs>
        <w:numPr>
          <w:ilvl w:val="1"/>
          <w:numId w:val="162"/>
        </w:numPr>
        <w:rPr>
          <w:rFonts w:ascii="Arial" w:cs="Arial" w:eastAsia="Arial" w:hAnsi="Arial"/>
          <w:sz w:val="16"/>
          <w:szCs w:val="16"/>
          <w:color w:val="auto"/>
        </w:rPr>
      </w:pPr>
      <w:r>
        <w:rPr>
          <w:rFonts w:ascii="Arial" w:cs="Arial" w:eastAsia="Arial" w:hAnsi="Arial"/>
          <w:sz w:val="16"/>
          <w:szCs w:val="16"/>
          <w:color w:val="auto"/>
        </w:rPr>
        <w:t>If (i) any Event of Default occurs and is continuing and the Required Lenders require the Borrower to Cash Collateralize the LC Exposure or</w:t>
      </w:r>
    </w:p>
    <w:p>
      <w:pPr>
        <w:spacing w:after="0" w:line="46" w:lineRule="exact"/>
        <w:rPr>
          <w:rFonts w:ascii="Arial" w:cs="Arial" w:eastAsia="Arial" w:hAnsi="Arial"/>
          <w:sz w:val="16"/>
          <w:szCs w:val="16"/>
          <w:color w:val="auto"/>
        </w:rPr>
      </w:pPr>
    </w:p>
    <w:p>
      <w:pPr>
        <w:ind w:left="4" w:hanging="4"/>
        <w:spacing w:after="0" w:line="283" w:lineRule="auto"/>
        <w:tabs>
          <w:tab w:leader="none" w:pos="26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an Event of Default pursuant to clause (h) or (i) of Article VII occurs and is continuing, then the Borrower shall Cash Collateralize the LC Exposure (in an amount equal to the Outstanding Amount thereof determined as of the date of such Event of Default), and shall do so not later than 2:00 p.m., New York City time, on (x) in the case of the immediately preceding clause (i), (1) the Business Day that the Borrower receives notice thereof, if such notice is received on such day prior to 12:00 Noon, New York City time, or (2) if clause (1) above does not apply, the Business Day immediately following the day that the Borrower receives such notice and (y) in the case of the immediately preceding clause (ii), the Business Day on which an Event of Default set forth under clause (h) or (i) occurs or, if such day is not a Business Day, the Business Day immediately succeeding such day. For purposes hereof, “</w:t>
      </w:r>
      <w:r>
        <w:rPr>
          <w:rFonts w:ascii="Arial" w:cs="Arial" w:eastAsia="Arial" w:hAnsi="Arial"/>
          <w:sz w:val="16"/>
          <w:szCs w:val="16"/>
          <w:u w:val="single" w:color="auto"/>
          <w:color w:val="auto"/>
        </w:rPr>
        <w:t>Cash Collateralize</w:t>
      </w:r>
      <w:r>
        <w:rPr>
          <w:rFonts w:ascii="Arial" w:cs="Arial" w:eastAsia="Arial" w:hAnsi="Arial"/>
          <w:sz w:val="16"/>
          <w:szCs w:val="16"/>
          <w:color w:val="auto"/>
        </w:rPr>
        <w:t>” means to pledge and deposit with or deliver to the Administrative Agent, for the benefit of the applicable Issuing Bank and the applicable Revolving Lenders, as collateral for the LC Exposure, cash or deposit account balances (“</w:t>
      </w:r>
      <w:r>
        <w:rPr>
          <w:rFonts w:ascii="Arial" w:cs="Arial" w:eastAsia="Arial" w:hAnsi="Arial"/>
          <w:sz w:val="16"/>
          <w:szCs w:val="16"/>
          <w:u w:val="single" w:color="auto"/>
          <w:color w:val="auto"/>
        </w:rPr>
        <w:t>Cash Collateral</w:t>
      </w:r>
      <w:r>
        <w:rPr>
          <w:rFonts w:ascii="Arial" w:cs="Arial" w:eastAsia="Arial" w:hAnsi="Arial"/>
          <w:sz w:val="16"/>
          <w:szCs w:val="16"/>
          <w:color w:val="auto"/>
        </w:rPr>
        <w:t>”) pursuant to documentation in form and substance reasonably satisfactory to the Administrative Agent and the applicable Issuing Bank (which documents are hereby consented to by the applicable Revolving Lenders). Derivatives of such term have corresponding meanings. The Borrower hereby grants to the Administrative Agent, for the benefit of the Issuing Banks and the Revolving Lenders, a security interest in all such cash, deposit accounts and all balances therein and all proceeds of the foregoing. Cash Collateral shall be maintained in blocked accounts at the Administrative Agent and may be invested in readily available Cash Equivalents selected by the Administrative Agent in its sole discretion. The Administrative Agent may, at any time and from time to time after the initial deposit of Cash Collateral, request that additional Cash Collateral be provided in order to protect against the results of exchange rate fluctuations. Upon the drawing of any Letter of Credit for which funds are on deposit as Cash Collateral, such funds shall be applied, to the extent permitted under applicable law, to reimburse the applicable Issuing Bank. To the extent the amount of any Cash Collateral exceeds the then Outstanding Amount of such LC Exposure (or, in the case of Cash Collateral deposited in respect of Fronting Exposure, such Fronting Exposure) and so long as no Event of Default has occurred and is continuing, the excess shall be refunded to the Borrower within three days of the date that such excess accrues together with all interest, if any, that has accrued on such amount. If such Event of Default is cured or waived and no other Event of Default is then occurring and continuing, the amount of any Cash Collateral shall be refunded to the Borrower within three days of the occurrence of such cure or waiver together with all interest, if any, that has accrued on such amount.</w:t>
      </w:r>
    </w:p>
    <w:p>
      <w:pPr>
        <w:spacing w:after="0" w:line="73" w:lineRule="exact"/>
        <w:rPr>
          <w:rFonts w:ascii="Arial" w:cs="Arial" w:eastAsia="Arial" w:hAnsi="Arial"/>
          <w:sz w:val="16"/>
          <w:szCs w:val="16"/>
          <w:color w:val="auto"/>
        </w:rPr>
      </w:pPr>
    </w:p>
    <w:p>
      <w:pPr>
        <w:ind w:left="4" w:right="220" w:firstLine="436"/>
        <w:spacing w:after="0" w:line="277" w:lineRule="auto"/>
        <w:tabs>
          <w:tab w:leader="none" w:pos="669"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Applicability of ISP</w:t>
      </w:r>
      <w:r>
        <w:rPr>
          <w:rFonts w:ascii="Arial" w:cs="Arial" w:eastAsia="Arial" w:hAnsi="Arial"/>
          <w:sz w:val="18"/>
          <w:szCs w:val="18"/>
          <w:color w:val="auto"/>
        </w:rPr>
        <w:t>. Unless otherwise expressly agreed by the relevant Issuing Bank and the Borrower when a Letter of Credit is issued, the rules of the ISP shall apply to each Letter of Credit.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4"/>
          </w:cols>
          <w:pgMar w:left="436" w:top="274" w:right="459" w:bottom="1440" w:gutter="0" w:footer="0" w:header="0"/>
        </w:sectPr>
      </w:pPr>
    </w:p>
    <w:bookmarkStart w:id="176" w:name="page177"/>
    <w:bookmarkEnd w:id="176"/>
    <w:p>
      <w:pPr>
        <w:ind w:left="-80" w:right="160" w:firstLine="436"/>
        <w:spacing w:after="0" w:line="277" w:lineRule="auto"/>
        <w:tabs>
          <w:tab w:leader="none" w:pos="615"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Conflict with Letter of Credit Application</w:t>
      </w:r>
      <w:r>
        <w:rPr>
          <w:rFonts w:ascii="Arial" w:cs="Arial" w:eastAsia="Arial" w:hAnsi="Arial"/>
          <w:sz w:val="18"/>
          <w:szCs w:val="18"/>
          <w:color w:val="auto"/>
        </w:rPr>
        <w:t>. Notwithstanding anything else to the contrary in any Letter of Credit Application, in the event of any conflict between the terms hereof and the terms of any Letter of Credit Application, the terms hereof shall control.</w:t>
      </w:r>
    </w:p>
    <w:p>
      <w:pPr>
        <w:spacing w:after="0" w:line="62" w:lineRule="exact"/>
        <w:rPr>
          <w:rFonts w:ascii="Arial" w:cs="Arial" w:eastAsia="Arial" w:hAnsi="Arial"/>
          <w:sz w:val="18"/>
          <w:szCs w:val="18"/>
          <w:color w:val="auto"/>
        </w:rPr>
      </w:pPr>
    </w:p>
    <w:p>
      <w:pPr>
        <w:ind w:left="-80" w:firstLine="436"/>
        <w:spacing w:after="0" w:line="301" w:lineRule="auto"/>
        <w:tabs>
          <w:tab w:leader="none" w:pos="615"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Letters of Credit Issued for Subsidiaries</w:t>
      </w:r>
      <w:r>
        <w:rPr>
          <w:rFonts w:ascii="Arial" w:cs="Arial" w:eastAsia="Arial" w:hAnsi="Arial"/>
          <w:sz w:val="16"/>
          <w:szCs w:val="16"/>
          <w:color w:val="auto"/>
        </w:rPr>
        <w:t>. Notwithstanding that a Letter of Credit issued or outstanding hereunder is in support of any obligations of, or is for the account of, a Subsidiary, the Borrower shall be obligated to reimburse the applicable Issuing Bank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49" w:lineRule="exact"/>
        <w:rPr>
          <w:rFonts w:ascii="Arial" w:cs="Arial" w:eastAsia="Arial" w:hAnsi="Arial"/>
          <w:sz w:val="16"/>
          <w:szCs w:val="16"/>
          <w:color w:val="auto"/>
        </w:rPr>
      </w:pPr>
    </w:p>
    <w:p>
      <w:pPr>
        <w:ind w:left="-80" w:firstLine="436"/>
        <w:spacing w:after="0" w:line="263" w:lineRule="auto"/>
        <w:tabs>
          <w:tab w:leader="none" w:pos="575"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Addition of an Issuing Bank</w:t>
      </w:r>
      <w:r>
        <w:rPr>
          <w:rFonts w:ascii="Arial" w:cs="Arial" w:eastAsia="Arial" w:hAnsi="Arial"/>
          <w:sz w:val="18"/>
          <w:szCs w:val="18"/>
          <w:color w:val="auto"/>
        </w:rPr>
        <w:t>. A Revolving Lender may become an additional Issuing Bank hereunder pursuant to a written agreement between the Borrower and such Revolving Lender and with the consent of the Administrative Agent (not to be unreasonably withheld or delayed). The Administrative Agent shall notify the Revolving Lenders of any such additional Issuing Bank.</w:t>
      </w:r>
    </w:p>
    <w:p>
      <w:pPr>
        <w:spacing w:after="0" w:line="75" w:lineRule="exact"/>
        <w:rPr>
          <w:rFonts w:ascii="Arial" w:cs="Arial" w:eastAsia="Arial" w:hAnsi="Arial"/>
          <w:sz w:val="18"/>
          <w:szCs w:val="18"/>
          <w:color w:val="auto"/>
        </w:rPr>
      </w:pPr>
    </w:p>
    <w:p>
      <w:pPr>
        <w:jc w:val="both"/>
        <w:ind w:left="-80" w:right="100" w:firstLine="436"/>
        <w:spacing w:after="0" w:line="263" w:lineRule="auto"/>
        <w:tabs>
          <w:tab w:leader="none" w:pos="575"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Rollover of Existing Letters of Credit</w:t>
      </w:r>
      <w:r>
        <w:rPr>
          <w:rFonts w:ascii="Arial" w:cs="Arial" w:eastAsia="Arial" w:hAnsi="Arial"/>
          <w:sz w:val="18"/>
          <w:szCs w:val="18"/>
          <w:color w:val="auto"/>
        </w:rPr>
        <w:t>. Each of the Existing Letters of Credit outstanding under the Existing Credit Agreement on the Closing Date immediately prior to the effectiveness of this Agreement shall be deemed to be issued by the Issuing Bank thereof as Tranche A Letters of Credit under this Agreement on the Closing Date.</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Termination and Reduction of Commitments</w:t>
      </w:r>
      <w:r>
        <w:rPr>
          <w:rFonts w:ascii="Arial" w:cs="Arial" w:eastAsia="Arial" w:hAnsi="Arial"/>
          <w:sz w:val="18"/>
          <w:szCs w:val="18"/>
          <w:color w:val="auto"/>
        </w:rPr>
        <w:t>.</w:t>
      </w:r>
    </w:p>
    <w:p>
      <w:pPr>
        <w:spacing w:after="0" w:line="117" w:lineRule="exact"/>
        <w:rPr>
          <w:sz w:val="20"/>
          <w:szCs w:val="20"/>
          <w:color w:val="auto"/>
        </w:rPr>
      </w:pPr>
    </w:p>
    <w:p>
      <w:pPr>
        <w:ind w:left="600" w:hanging="244"/>
        <w:spacing w:after="0"/>
        <w:tabs>
          <w:tab w:leader="none" w:pos="6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Unless previously terminated, the Revolving Commitments shall terminate on the Maturity Date.</w:t>
      </w:r>
    </w:p>
    <w:p>
      <w:pPr>
        <w:spacing w:after="0" w:line="117" w:lineRule="exact"/>
        <w:rPr>
          <w:rFonts w:ascii="Arial" w:cs="Arial" w:eastAsia="Arial" w:hAnsi="Arial"/>
          <w:sz w:val="18"/>
          <w:szCs w:val="18"/>
          <w:color w:val="auto"/>
        </w:rPr>
      </w:pPr>
    </w:p>
    <w:p>
      <w:pPr>
        <w:ind w:left="-80" w:right="20" w:firstLine="436"/>
        <w:spacing w:after="0" w:line="268" w:lineRule="auto"/>
        <w:tabs>
          <w:tab w:leader="none" w:pos="61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The Borrower may at any time terminate, or from time to time reduce, the Commitments of any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each reduction of the Commitments of any Class shall be in an amount that is an integral multiple of $1,000,000 and not less than $5,000,000 or if less, the entire remaining amount, (ii) the Borrower shall not terminate or reduce either Class of the Revolving Commitments if, after giving effect to any concurrent prepayment of the Revolving Loans of such Class in accordance with Section 2.09, the aggregate Revolving Exposures of such Class (excluding, in the case of any termination of the Revolving A Commitments or the Revolving B Commitments, the portion of the Revolving A Exposures or Revolving B Exposures attributable to outstanding Tranche A Letters of Credit or Tranche B Letters of Credit, as applicable, if and to the extent that the Borrower has made arrangements satisfactory to the Administrative Agent and each applicable Issuing Bank with respect to such Tranche A Letters of Credit or Tranche B Letters of Credit, as applicable, and each applicable Issuing Bank has released the Revolving Lenders of such Class from their participation obligations with respect to such Tranche A Letters of Credit or Tranche B Letters of Credit, as applicable) would exceed the aggregate Revolving Commitments of such Class or (iii) except in the case of a disproportionate reduction of the Revolving A Commitments at any time that the aggregate Revolving B Commitments are $200,000,000 or less, each reduction of the Revolving Commitments under any Facility shall be accompanied by a pro rata reduction in the Revolving Commitments under the other Facility (based on the aggregate principal amount of Revolving Commitments under each Facility immediately prior to each such reduction).</w:t>
      </w:r>
    </w:p>
    <w:p>
      <w:pPr>
        <w:spacing w:after="0" w:line="78" w:lineRule="exact"/>
        <w:rPr>
          <w:rFonts w:ascii="Arial" w:cs="Arial" w:eastAsia="Arial" w:hAnsi="Arial"/>
          <w:sz w:val="17"/>
          <w:szCs w:val="17"/>
          <w:color w:val="auto"/>
        </w:rPr>
      </w:pPr>
    </w:p>
    <w:p>
      <w:pPr>
        <w:ind w:left="-80" w:right="20" w:firstLine="436"/>
        <w:spacing w:after="0" w:line="257" w:lineRule="auto"/>
        <w:tabs>
          <w:tab w:leader="none" w:pos="60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of any election to terminate or reduce the Commitments under paragraph (b) of this Section 2.06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2.06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Commitments of any Class delivered by the Borrower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840"/>
          </w:cols>
          <w:pgMar w:left="520" w:top="274" w:right="539" w:bottom="1440" w:gutter="0" w:footer="0" w:header="0"/>
        </w:sectPr>
      </w:pPr>
    </w:p>
    <w:bookmarkStart w:id="177" w:name="page178"/>
    <w:bookmarkEnd w:id="177"/>
    <w:p>
      <w:pPr>
        <w:ind w:left="4"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may state that such notice is conditioned upon the effectiveness of other credit facilities or the receipt of proceeds from the issuance of other Indebtedness, in which case such notice may be revoked by the Borrower (by notice to the Administrative Agent on or prior to the specified effective date)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117" w:lineRule="exact"/>
        <w:rPr>
          <w:sz w:val="20"/>
          <w:szCs w:val="20"/>
          <w:color w:val="auto"/>
        </w:rPr>
      </w:pPr>
    </w:p>
    <w:p>
      <w:pPr>
        <w:ind w:left="4" w:right="120" w:firstLine="436"/>
        <w:spacing w:after="0" w:line="308" w:lineRule="auto"/>
        <w:tabs>
          <w:tab w:leader="none" w:pos="689"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The Borrower hereby unconditionally promises to pay to the Administrative Agent for the account of each Lender the then unpaid principal amount of each Revolving Loan of such Lender on the Maturity Date in the currency in which such Revolving Loan is denominated.</w:t>
      </w:r>
    </w:p>
    <w:p>
      <w:pPr>
        <w:spacing w:after="0" w:line="38" w:lineRule="exact"/>
        <w:rPr>
          <w:rFonts w:ascii="Arial" w:cs="Arial" w:eastAsia="Arial" w:hAnsi="Arial"/>
          <w:sz w:val="17"/>
          <w:szCs w:val="17"/>
          <w:color w:val="auto"/>
        </w:rPr>
      </w:pPr>
    </w:p>
    <w:p>
      <w:pPr>
        <w:ind w:left="4" w:right="20" w:firstLine="436"/>
        <w:spacing w:after="0" w:line="263" w:lineRule="auto"/>
        <w:tabs>
          <w:tab w:leader="none" w:pos="699"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75" w:lineRule="exact"/>
        <w:rPr>
          <w:rFonts w:ascii="Arial" w:cs="Arial" w:eastAsia="Arial" w:hAnsi="Arial"/>
          <w:sz w:val="18"/>
          <w:szCs w:val="18"/>
          <w:color w:val="auto"/>
        </w:rPr>
      </w:pPr>
    </w:p>
    <w:p>
      <w:pPr>
        <w:ind w:left="684" w:hanging="244"/>
        <w:spacing w:after="0"/>
        <w:tabs>
          <w:tab w:leader="none" w:pos="684"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 non-fiduciary agent of the Borrower, shall maintain accounts in which it shall record</w:t>
      </w:r>
    </w:p>
    <w:p>
      <w:pPr>
        <w:spacing w:after="0" w:line="46" w:lineRule="exact"/>
        <w:rPr>
          <w:rFonts w:ascii="Arial" w:cs="Arial" w:eastAsia="Arial" w:hAnsi="Arial"/>
          <w:sz w:val="16"/>
          <w:szCs w:val="16"/>
          <w:color w:val="auto"/>
        </w:rPr>
      </w:pPr>
    </w:p>
    <w:p>
      <w:pPr>
        <w:ind w:left="4" w:right="60" w:hanging="4"/>
        <w:spacing w:after="0" w:line="277" w:lineRule="auto"/>
        <w:tabs>
          <w:tab w:leader="none" w:pos="21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amount of each Loan made hereunder, the currency, Class and Type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64" w:lineRule="exact"/>
        <w:rPr>
          <w:rFonts w:ascii="Arial" w:cs="Arial" w:eastAsia="Arial" w:hAnsi="Arial"/>
          <w:sz w:val="17"/>
          <w:szCs w:val="17"/>
          <w:color w:val="auto"/>
        </w:rPr>
      </w:pPr>
    </w:p>
    <w:p>
      <w:pPr>
        <w:ind w:left="4" w:firstLine="436"/>
        <w:spacing w:after="0" w:line="259" w:lineRule="auto"/>
        <w:tabs>
          <w:tab w:leader="none" w:pos="699" w:val="left"/>
        </w:tabs>
        <w:numPr>
          <w:ilvl w:val="1"/>
          <w:numId w:val="167"/>
        </w:numPr>
        <w:rPr>
          <w:rFonts w:ascii="Arial" w:cs="Arial" w:eastAsia="Arial" w:hAnsi="Arial"/>
          <w:sz w:val="18"/>
          <w:szCs w:val="18"/>
          <w:color w:val="auto"/>
        </w:rPr>
      </w:pPr>
      <w:r>
        <w:rPr>
          <w:rFonts w:ascii="Arial" w:cs="Arial" w:eastAsia="Arial" w:hAnsi="Arial"/>
          <w:sz w:val="18"/>
          <w:szCs w:val="18"/>
          <w:color w:val="auto"/>
        </w:rPr>
        <w:t xml:space="preserve">Absent manifest error, the entries made in the accounts maintained pursuant to paragraph (b) or (c) of this Section 2.07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 to repay the Loans and pay interest thereon in accordance with the terms of this Agreement.</w:t>
      </w:r>
    </w:p>
    <w:p>
      <w:pPr>
        <w:spacing w:after="0" w:line="78" w:lineRule="exact"/>
        <w:rPr>
          <w:rFonts w:ascii="Arial" w:cs="Arial" w:eastAsia="Arial" w:hAnsi="Arial"/>
          <w:sz w:val="18"/>
          <w:szCs w:val="18"/>
          <w:color w:val="auto"/>
        </w:rPr>
      </w:pPr>
    </w:p>
    <w:p>
      <w:pPr>
        <w:ind w:left="4" w:right="120" w:firstLine="436"/>
        <w:spacing w:after="0" w:line="301" w:lineRule="auto"/>
        <w:tabs>
          <w:tab w:leader="none" w:pos="689" w:val="left"/>
        </w:tabs>
        <w:numPr>
          <w:ilvl w:val="1"/>
          <w:numId w:val="167"/>
        </w:numPr>
        <w:rPr>
          <w:rFonts w:ascii="Arial" w:cs="Arial" w:eastAsia="Arial" w:hAnsi="Arial"/>
          <w:sz w:val="16"/>
          <w:szCs w:val="16"/>
          <w:color w:val="auto"/>
        </w:rPr>
      </w:pPr>
      <w:r>
        <w:rPr>
          <w:rFonts w:ascii="Arial" w:cs="Arial" w:eastAsia="Arial" w:hAnsi="Arial"/>
          <w:sz w:val="16"/>
          <w:szCs w:val="16"/>
          <w:color w:val="auto"/>
        </w:rPr>
        <w:t>Any Lender may request that Loans of any Class made by it be evidenced by a promissory note. In such event, the Borrower shall prepare, execute and deliver to such Lender a promissory note payable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payable to such payee and its registered assigns.</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117" w:lineRule="exact"/>
        <w:rPr>
          <w:sz w:val="20"/>
          <w:szCs w:val="20"/>
          <w:color w:val="auto"/>
        </w:rPr>
      </w:pPr>
    </w:p>
    <w:p>
      <w:pPr>
        <w:ind w:left="4" w:right="100" w:firstLine="436"/>
        <w:spacing w:after="0" w:line="277" w:lineRule="auto"/>
        <w:tabs>
          <w:tab w:leader="none" w:pos="68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Borrower shall have the right at any time and from time to time to prepay any Borrowing under either Revolving Facility in whole or in part, subject to the requirements of this Section 2.09.</w:t>
      </w:r>
    </w:p>
    <w:p>
      <w:pPr>
        <w:spacing w:after="0" w:line="103"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864"/>
          </w:cols>
          <w:pgMar w:left="436" w:top="274" w:right="599" w:bottom="1440" w:gutter="0" w:footer="0" w:header="0"/>
        </w:sectPr>
      </w:pPr>
    </w:p>
    <w:bookmarkStart w:id="178" w:name="page179"/>
    <w:bookmarkEnd w:id="178"/>
    <w:p>
      <w:pPr>
        <w:ind w:left="704" w:hanging="264"/>
        <w:spacing w:after="0"/>
        <w:tabs>
          <w:tab w:leader="none" w:pos="704" w:val="left"/>
        </w:tabs>
        <w:numPr>
          <w:ilvl w:val="1"/>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and on such occasion that:</w:t>
      </w:r>
    </w:p>
    <w:p>
      <w:pPr>
        <w:spacing w:after="0" w:line="117" w:lineRule="exact"/>
        <w:rPr>
          <w:rFonts w:ascii="Arial" w:cs="Arial" w:eastAsia="Arial" w:hAnsi="Arial"/>
          <w:sz w:val="18"/>
          <w:szCs w:val="18"/>
          <w:color w:val="auto"/>
        </w:rPr>
      </w:pPr>
    </w:p>
    <w:p>
      <w:pPr>
        <w:ind w:left="444" w:right="60" w:firstLine="419"/>
        <w:spacing w:after="0" w:line="257" w:lineRule="auto"/>
        <w:tabs>
          <w:tab w:leader="none" w:pos="1082" w:val="left"/>
        </w:tabs>
        <w:numPr>
          <w:ilvl w:val="2"/>
          <w:numId w:val="169"/>
        </w:numPr>
        <w:rPr>
          <w:rFonts w:ascii="Arial" w:cs="Arial" w:eastAsia="Arial" w:hAnsi="Arial"/>
          <w:sz w:val="18"/>
          <w:szCs w:val="18"/>
          <w:color w:val="auto"/>
        </w:rPr>
      </w:pPr>
      <w:r>
        <w:rPr>
          <w:rFonts w:ascii="Arial" w:cs="Arial" w:eastAsia="Arial" w:hAnsi="Arial"/>
          <w:sz w:val="18"/>
          <w:szCs w:val="18"/>
          <w:color w:val="auto"/>
        </w:rPr>
        <w:t>the aggregate Revolving A Exposures or aggregate Revolving B Exposures exceed 100% of the aggregate Revolving Commitments of the applicable Class, the Borrower shall prepay, within one Business Day of the Administrative Agent’s delivery to the Borrower of written notice thereof, Revolving Loans of such Class (or, if no such Borrowings are outstanding, Cash Collateralize Letters of Credit of such Class pursuant to Section 2.05(e)) in an aggregate amount equal to the amount by which such Revolving Exposures exceed the aggregate Revolving Commitments of such Class; and</w:t>
      </w:r>
    </w:p>
    <w:p>
      <w:pPr>
        <w:spacing w:after="0" w:line="79" w:lineRule="exact"/>
        <w:rPr>
          <w:rFonts w:ascii="Arial" w:cs="Arial" w:eastAsia="Arial" w:hAnsi="Arial"/>
          <w:sz w:val="18"/>
          <w:szCs w:val="18"/>
          <w:color w:val="auto"/>
        </w:rPr>
      </w:pPr>
    </w:p>
    <w:p>
      <w:pPr>
        <w:ind w:left="444" w:firstLine="419"/>
        <w:spacing w:after="0" w:line="287" w:lineRule="auto"/>
        <w:tabs>
          <w:tab w:leader="none" w:pos="1132" w:val="left"/>
        </w:tabs>
        <w:numPr>
          <w:ilvl w:val="2"/>
          <w:numId w:val="169"/>
        </w:numPr>
        <w:rPr>
          <w:rFonts w:ascii="Arial" w:cs="Arial" w:eastAsia="Arial" w:hAnsi="Arial"/>
          <w:sz w:val="16"/>
          <w:szCs w:val="16"/>
          <w:color w:val="auto"/>
        </w:rPr>
      </w:pPr>
      <w:r>
        <w:rPr>
          <w:rFonts w:ascii="Arial" w:cs="Arial" w:eastAsia="Arial" w:hAnsi="Arial"/>
          <w:sz w:val="16"/>
          <w:szCs w:val="16"/>
          <w:color w:val="auto"/>
        </w:rPr>
        <w:t>the aggregate amount of Revolving Loans and Letters of Credit denominated in an Alternative Currency exceeds 105% of the Alternative Currency Sublimit, the Borrower shall prepay, within three Business Days of the Administrative Agent’s delivery to the Borrower of written notice thereof, such Revolving Loans (or, if no such Borrowings are outstanding, Cash Collateralize such Letters of Credit pursuant to</w:t>
      </w:r>
    </w:p>
    <w:p>
      <w:pPr>
        <w:spacing w:after="0" w:line="2" w:lineRule="exact"/>
        <w:rPr>
          <w:rFonts w:ascii="Arial" w:cs="Arial" w:eastAsia="Arial" w:hAnsi="Arial"/>
          <w:sz w:val="16"/>
          <w:szCs w:val="16"/>
          <w:color w:val="auto"/>
        </w:rPr>
      </w:pPr>
    </w:p>
    <w:p>
      <w:pPr>
        <w:ind w:left="444" w:right="920"/>
        <w:spacing w:after="0" w:line="260" w:lineRule="auto"/>
        <w:rPr>
          <w:rFonts w:ascii="Arial" w:cs="Arial" w:eastAsia="Arial" w:hAnsi="Arial"/>
          <w:sz w:val="16"/>
          <w:szCs w:val="16"/>
          <w:color w:val="auto"/>
        </w:rPr>
      </w:pPr>
      <w:r>
        <w:rPr>
          <w:rFonts w:ascii="Arial" w:cs="Arial" w:eastAsia="Arial" w:hAnsi="Arial"/>
          <w:sz w:val="18"/>
          <w:szCs w:val="18"/>
          <w:color w:val="auto"/>
        </w:rPr>
        <w:t>Section 2.05(e)) in an aggregate amount equal to the amount by which the aggregate amount of Revolving Loans and Letters of Credit denominated in an Alternative Currency exceeds the Alternative Currency Sublimit.</w:t>
      </w:r>
    </w:p>
    <w:p>
      <w:pPr>
        <w:spacing w:after="0" w:line="77" w:lineRule="exact"/>
        <w:rPr>
          <w:rFonts w:ascii="Arial" w:cs="Arial" w:eastAsia="Arial" w:hAnsi="Arial"/>
          <w:sz w:val="16"/>
          <w:szCs w:val="16"/>
          <w:color w:val="auto"/>
        </w:rPr>
      </w:pPr>
    </w:p>
    <w:p>
      <w:pPr>
        <w:ind w:left="4" w:right="140" w:firstLine="436"/>
        <w:spacing w:after="0" w:line="287" w:lineRule="auto"/>
        <w:tabs>
          <w:tab w:leader="none" w:pos="689" w:val="left"/>
        </w:tabs>
        <w:numPr>
          <w:ilvl w:val="1"/>
          <w:numId w:val="169"/>
        </w:numPr>
        <w:rPr>
          <w:rFonts w:ascii="Arial" w:cs="Arial" w:eastAsia="Arial" w:hAnsi="Arial"/>
          <w:sz w:val="16"/>
          <w:szCs w:val="16"/>
          <w:color w:val="auto"/>
        </w:rPr>
      </w:pPr>
      <w:r>
        <w:rPr>
          <w:rFonts w:ascii="Arial" w:cs="Arial" w:eastAsia="Arial" w:hAnsi="Arial"/>
          <w:sz w:val="16"/>
          <w:szCs w:val="16"/>
          <w:color w:val="auto"/>
        </w:rPr>
        <w:t>In connection with any optional prepayment pursuant to Section 2.09(a), the Borrower shall notify the Administrative Agent by telephone (confirmed by any approved form of electronic communication or otherwise in writing) of any prepayment hereunder (i) in the case of prepayment of a Eurocurrency Borrowing denominated in Dollars, not later than 12:00 p.m., New York City time, three Business Days before the date of prepayment,</w:t>
      </w:r>
    </w:p>
    <w:p>
      <w:pPr>
        <w:spacing w:after="0" w:line="2" w:lineRule="exact"/>
        <w:rPr>
          <w:rFonts w:ascii="Arial" w:cs="Arial" w:eastAsia="Arial" w:hAnsi="Arial"/>
          <w:sz w:val="16"/>
          <w:szCs w:val="16"/>
          <w:color w:val="auto"/>
        </w:rPr>
      </w:pPr>
    </w:p>
    <w:p>
      <w:pPr>
        <w:ind w:left="4" w:right="20" w:hanging="4"/>
        <w:spacing w:after="0" w:line="284" w:lineRule="auto"/>
        <w:tabs>
          <w:tab w:leader="none" w:pos="269"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in the case of prepayment of a Eurocurrency Borrowing denominated in an Alternative Currency, not later than 12:00 p.m., New York City time, four Business Days before the date of prepayment, (iii) in the case of prepayment of an ABR Borrowing of a Revolving A Loan, not later than 12:00 p.m., New York City time, one Business Day before the date of prepayment or (iv) in the case of prepayment of an ABR Borrowing of a Revolving B Loan, not later than 1:00 p.m., New York City time, on the date of prepayment. Each such notice shall be irrevocable and shall specify the prepayment date, Class of Loans to be prepaid and the principal amount of each Borrowing or Borrowings or portion thereof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optional prepayment may state that such notice is conditional upon the occurrence of an event specified therein, in which case such notice of prepayment may be revoked by the Borrower (by notice to the Administrative Agent on or prior to 12:00 noon New York City time, on the specified date) if such condition is not satisfied;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each such notice must be in a form reasonably acceptable to the Administrative Agent.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Section 2.03(a), except as necessary to apply fully the required amount of a mandatory prepayment. Each prepayment of a Borrowing shall be applied ratably to the Loans included in the prepaid Borrowing; provided that during the continuance of an Event of Default, each prepayment shall be applied pro rata among each Class of Loans. Prepayments shall be accompanied by accrued interest to the extent required by Section 2.11, except in the case of partial prepayment of ABR Loans, which interest shall be payable on the next scheduled interest payment date.</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17" w:lineRule="exact"/>
        <w:rPr>
          <w:sz w:val="20"/>
          <w:szCs w:val="20"/>
          <w:color w:val="auto"/>
        </w:rPr>
      </w:pPr>
    </w:p>
    <w:p>
      <w:pPr>
        <w:ind w:left="4" w:right="80" w:firstLine="436"/>
        <w:spacing w:after="0" w:line="271" w:lineRule="auto"/>
        <w:tabs>
          <w:tab w:leader="none" w:pos="689" w:val="left"/>
        </w:tabs>
        <w:numPr>
          <w:ilvl w:val="0"/>
          <w:numId w:val="171"/>
        </w:numPr>
        <w:rPr>
          <w:rFonts w:ascii="Arial" w:cs="Arial" w:eastAsia="Arial" w:hAnsi="Arial"/>
          <w:sz w:val="17"/>
          <w:szCs w:val="17"/>
          <w:color w:val="auto"/>
        </w:rPr>
      </w:pPr>
      <w:r>
        <w:rPr>
          <w:rFonts w:ascii="Arial" w:cs="Arial" w:eastAsia="Arial" w:hAnsi="Arial"/>
          <w:sz w:val="17"/>
          <w:szCs w:val="17"/>
          <w:color w:val="auto"/>
        </w:rPr>
        <w:t>Subject to Section 2.19, the Borrower agrees to pay to the Administrative Agent for the account of each Revolving Lender a facility fee in Dollars, which shall accrue at the Applicable Rate on the actual daily amount of the Revolving Commitment of such Lender during the period from and including the Closing Date to but excluding the date on which the Revolving Commitments terminate (and following the termination of the Revolving Commitments, such fee shall be payable on the Revolving Exposure of each Revolving Lender until such Revolving Exposure is reduced to zero). Accrued facility fees shall be payable in arrears on the third Business Day following the last day of March, June, September and December of each year (accruing through the last day of each month) and on the date on which the Revolving Commitments terminate, commencing on the first such date to occur after the Closing Date. All facility fees shall be computed on the basis of a year of 360 days and shall be payable for the actual number of days elapsed (including the first day but excluding the last day).</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4"/>
          </w:cols>
          <w:pgMar w:left="436" w:top="274" w:right="439" w:bottom="1440" w:gutter="0" w:footer="0" w:header="0"/>
        </w:sectPr>
      </w:pPr>
    </w:p>
    <w:bookmarkStart w:id="179" w:name="page180"/>
    <w:bookmarkEnd w:id="179"/>
    <w:p>
      <w:pPr>
        <w:ind w:left="-40" w:right="60" w:firstLine="436"/>
        <w:spacing w:after="0" w:line="285" w:lineRule="auto"/>
        <w:tabs>
          <w:tab w:leader="none" w:pos="655" w:val="left"/>
        </w:tabs>
        <w:numPr>
          <w:ilvl w:val="0"/>
          <w:numId w:val="1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Subject to Section 2.19, the Borrower agrees to pay (i) to the Administrative Agent for the account of each Revolving Lender a participation fee in Dollars with respect to its participations in Letters of Credit, which shall accrue at the same Applicable Rate used to determine the interest rate applicable to Eurocurrency Revolving Loans on the actual daily Outstanding Amount of such Lender’s LC Exposure (excluding any portion thereof attributable to unreimbursed LC Disbursements or LC Borrowings) during the period from and including the Closing Date to but excluding the later of the date on which such Lender’s Revolving Commitment terminates and the date on which such Lender ceases to have any LC Exposure, and (ii) to each applicable Issuing Bank a fronting fee in Dollars, which shall accrue at the rate per annum specified in the Fee Letter (or such other rate agreed to from time to time between the Borrower and such Issuing Bank) on the actual daily amount of the LC Exposure (excluding any portion thereof attributable to unreimbursed LC Disbursements or LC Borrowings) under any Letter of Credit issued by such Issuing Bank during the period from and including the Closing Date to but excluding the later of the date of termination of the Revolving Commitments and the date on which there ceases to be any LC Exposure under any Letter of Credit issued by such Issuing Bank, as well as each Issuing Bank’s standard fees with respect to the issuance, amendment, renewal or extension of any Letter of Credit or processing of drawings thereunder. Participation fees and fronting fees accrued pursuant to this Section 2.10(b) through and including the last day of March, June, September and December of each year shall be payable on the third Business Day following such last day, commencing on the first such date to occur after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Revolving Commitments terminate and any such fees accruing after the date on which the Revolving Commitments terminate shall be payable on demand. Any other fees payable to any Issuing Bank pursuant to this paragraph (b) shall be payable within 10 Business Days after demand. All participation fees and fronting fees shall be computed on the basis of a year of 360 days and shall be payable for the actual number of days elapsed (including the first day but excluding the last day).</w:t>
      </w:r>
    </w:p>
    <w:p>
      <w:pPr>
        <w:spacing w:after="0" w:line="65" w:lineRule="exact"/>
        <w:rPr>
          <w:rFonts w:ascii="Arial" w:cs="Arial" w:eastAsia="Arial" w:hAnsi="Arial"/>
          <w:sz w:val="16"/>
          <w:szCs w:val="16"/>
          <w:color w:val="auto"/>
        </w:rPr>
      </w:pPr>
    </w:p>
    <w:p>
      <w:pPr>
        <w:ind w:left="-40" w:right="200" w:firstLine="436"/>
        <w:spacing w:after="0" w:line="311" w:lineRule="auto"/>
        <w:tabs>
          <w:tab w:leader="none" w:pos="64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Borrower agrees to pay on the Closing Date to each Lender party to this Agreement on the Closing Date, as fee compensation for the making of such Lender’s Revolving Commitment, an upfront fee on the Closing Date in an amount as separately agreed among the Arrangers and the Borrower. Such fee will be in all respects fully earned, due and payable on the Closing Date and non-refundable and non-creditable thereafter.</w:t>
      </w:r>
    </w:p>
    <w:p>
      <w:pPr>
        <w:spacing w:after="0" w:line="40" w:lineRule="exact"/>
        <w:rPr>
          <w:rFonts w:ascii="Arial" w:cs="Arial" w:eastAsia="Arial" w:hAnsi="Arial"/>
          <w:sz w:val="16"/>
          <w:szCs w:val="16"/>
          <w:color w:val="auto"/>
        </w:rPr>
      </w:pPr>
    </w:p>
    <w:p>
      <w:pPr>
        <w:ind w:left="-40" w:right="160" w:firstLine="436"/>
        <w:spacing w:after="0" w:line="263" w:lineRule="auto"/>
        <w:tabs>
          <w:tab w:leader="none" w:pos="6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its own account, fees payable in the amounts and at the times separately agreed upon between the Borrower and the Administrative Agent in the Fee Letter (or such other amount agreed to from time to time by the Administrative Agent and the Borrower).</w:t>
      </w:r>
    </w:p>
    <w:p>
      <w:pPr>
        <w:spacing w:after="0" w:line="75" w:lineRule="exact"/>
        <w:rPr>
          <w:rFonts w:ascii="Arial" w:cs="Arial" w:eastAsia="Arial" w:hAnsi="Arial"/>
          <w:sz w:val="18"/>
          <w:szCs w:val="18"/>
          <w:color w:val="auto"/>
        </w:rPr>
      </w:pPr>
    </w:p>
    <w:p>
      <w:pPr>
        <w:ind w:left="-40" w:right="40" w:firstLine="436"/>
        <w:spacing w:after="0" w:line="259" w:lineRule="auto"/>
        <w:tabs>
          <w:tab w:leader="none" w:pos="64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immediately available funds in the currency specified herein (or, if no currency is specified, in Dollars), to the Administrative Agent (or to the applicable Issuing Bank, in the case of fees payable to it) for distribution, in the case of commitment fees and participation fees, to the Lenders entitled thereto. Fees paid shall not be refundable under any circumstances, absent manifest error.</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17" w:lineRule="exact"/>
        <w:rPr>
          <w:sz w:val="20"/>
          <w:szCs w:val="20"/>
          <w:color w:val="auto"/>
        </w:rPr>
      </w:pPr>
    </w:p>
    <w:p>
      <w:pPr>
        <w:ind w:left="-40" w:firstLine="436"/>
        <w:spacing w:after="0" w:line="259" w:lineRule="auto"/>
        <w:tabs>
          <w:tab w:leader="none" w:pos="64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Loans comprising each ABR Borrowing shall bear interest at the Base Rate plus the Applicable Rate. In addition, if at any time any Loans are maintained as ABR Loans, the Borrower agrees that within 10 Business Days after receiving any request from any Non-ABR Lender (but not more frequently than quarterly for any Lender), the Borrower will pay such Non-ABR Lender the ABR Gross-Up Amount with respect to the ABR Loans of such Non-ABR Lender.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20"/>
          </w:cols>
          <w:pgMar w:left="480" w:top="274" w:right="499" w:bottom="1440" w:gutter="0" w:footer="0" w:header="0"/>
        </w:sectPr>
      </w:pPr>
    </w:p>
    <w:bookmarkStart w:id="180" w:name="page181"/>
    <w:bookmarkEnd w:id="180"/>
    <w:p>
      <w:pPr>
        <w:ind w:right="40" w:firstLine="436"/>
        <w:spacing w:after="0" w:line="277" w:lineRule="auto"/>
        <w:tabs>
          <w:tab w:leader="none" w:pos="695"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Loans comprising each Eurocurrency Borrowing shall bear interest at the applicable Eurocurrency Rate for the Interest Period in effect for such Borrowing plus the Applicable Rate.</w:t>
      </w:r>
    </w:p>
    <w:p>
      <w:pPr>
        <w:spacing w:after="0" w:line="62" w:lineRule="exact"/>
        <w:rPr>
          <w:rFonts w:ascii="Arial" w:cs="Arial" w:eastAsia="Arial" w:hAnsi="Arial"/>
          <w:sz w:val="18"/>
          <w:szCs w:val="18"/>
          <w:color w:val="auto"/>
        </w:rPr>
      </w:pPr>
    </w:p>
    <w:p>
      <w:pPr>
        <w:ind w:firstLine="436"/>
        <w:spacing w:after="0" w:line="271" w:lineRule="auto"/>
        <w:tabs>
          <w:tab w:leader="none" w:pos="68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Notwithstanding the foregoing, (i) if any amount (other than principal of any Loan) payable by the Borrower hereunder (including any LC Disbursement or LC Borrowing) is not paid when due, whether at stated maturity, upon acceleration or otherwise, such amount shall bear interest, after as well as before judgment, at a rate per annum equal to 2.00%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rate applicable to ABR Revolving Loans as provided in paragraph (a) of this Section 2.11, (ii) if any principal of any Loan payable by the Borrower hereunder is not paid when due, whether at stated maturity, upon acceleration or otherwise, such overdue amount shall bear interest, after as well as before judgment, at a rate per annum equal to 2.00% plus the rate otherwise applicable to such Loan as provided in the preceding paragraphs of this Section 2.11, and (iii) upon the request of the Required Lenders, while any Event of Default exists, the Borrower shall pay interest on the principal amount of all outstanding Obligations hereunder at a rate per annum equal to 2.00% plus the rate otherwise applicable to such Loan as provided in the preceding paragraphs of this Section.</w:t>
      </w:r>
    </w:p>
    <w:p>
      <w:pPr>
        <w:spacing w:after="0" w:line="70" w:lineRule="exact"/>
        <w:rPr>
          <w:rFonts w:ascii="Arial" w:cs="Arial" w:eastAsia="Arial" w:hAnsi="Arial"/>
          <w:sz w:val="17"/>
          <w:szCs w:val="17"/>
          <w:color w:val="auto"/>
        </w:rPr>
      </w:pPr>
    </w:p>
    <w:p>
      <w:pPr>
        <w:ind w:right="80" w:firstLine="436"/>
        <w:spacing w:after="0" w:line="255" w:lineRule="auto"/>
        <w:tabs>
          <w:tab w:leader="none" w:pos="69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Accrued interest on each Loan shall be payable in arrears on each Interest Payment Date for such Loan and upon termination of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paragraph (c) of this Section 2.11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Eurocurrency Loan prior to the end of the current Interest Period therefor, accrued interest on such Loan shall be payable on the effective date of such conversion.</w:t>
      </w:r>
    </w:p>
    <w:p>
      <w:pPr>
        <w:spacing w:after="0" w:line="84" w:lineRule="exact"/>
        <w:rPr>
          <w:rFonts w:ascii="Arial" w:cs="Arial" w:eastAsia="Arial" w:hAnsi="Arial"/>
          <w:sz w:val="18"/>
          <w:szCs w:val="18"/>
          <w:color w:val="auto"/>
        </w:rPr>
      </w:pPr>
    </w:p>
    <w:p>
      <w:pPr>
        <w:ind w:right="20" w:firstLine="436"/>
        <w:spacing w:after="0" w:line="271" w:lineRule="auto"/>
        <w:tabs>
          <w:tab w:leader="none" w:pos="68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All computations of interest for ABR Loans shall be made on the basis of a year of 365 or 366 days, as the case may be, and actual days elapsed (including ABR Loans determined by reference to the Eurocurrency Rate). All other computations of fees and interest shall be made on the basis of a 360-day year and actual days elapsed (which results in more fees or interest, as applicable, being paid than if computed on the basis of a 365-day year), or, in the case of interest in respect of Revolving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that is repaid on the same day on which it is made shall, bear interest for one day. Each determination by the Administrative Agent of an interest rate or fee hereunder shall be conclusive and binding for all purposes, absent manifest error.</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117" w:lineRule="exact"/>
        <w:rPr>
          <w:sz w:val="20"/>
          <w:szCs w:val="20"/>
          <w:color w:val="auto"/>
        </w:rPr>
      </w:pPr>
    </w:p>
    <w:p>
      <w:pPr>
        <w:ind w:right="140" w:firstLine="436"/>
        <w:spacing w:after="0" w:line="270" w:lineRule="auto"/>
        <w:tabs>
          <w:tab w:leader="none" w:pos="68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If in connection with any request for a Eurocurrency Loan or a conversion to or continuation thereof, (i) the Administrative Agent determines that (A) deposits (whether in Dollars or an Alternative Currency) are not being offered to banks in the applicable offshore interbank market for such currency for the applicable amount and Interest Period of such Eurocurrency Loan, (B) (x) adequate and reasonable means do not exist for determining the Eurocurrency Rate for any requested Interest Period with respect to a proposed Eurocurrency Loan (whether in Dollars or an Alternative Currency) or in connection with an existing or proposed ABR Loan and (y) the circumstances described in Section 2.12(c)(i) (in the case of an Alternative Currency) or Section 2.12(d)(i) (in the case of Dollars) do not apply, or (C) solely with respect to Loans in an Alternative Currency, a fundamental change has occurred in the foreign exchange or interbank markets with respect to such Alternative Currency (including, without limitation, changes in national or international financial, political or economic conditions or currency exchange rates or exchange controls) that makes utilizing such Eurocurrency Rate impracticable or inadvisable as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4" w:right="439" w:bottom="1440" w:gutter="0" w:footer="0" w:header="0"/>
        </w:sectPr>
      </w:pPr>
    </w:p>
    <w:bookmarkStart w:id="181" w:name="page182"/>
    <w:bookmarkEnd w:id="181"/>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determined by the Administrative Agent in its reasonable discretion (in each case with respect to this clause (i), “</w:t>
      </w:r>
      <w:r>
        <w:rPr>
          <w:rFonts w:ascii="Arial" w:cs="Arial" w:eastAsia="Arial" w:hAnsi="Arial"/>
          <w:sz w:val="16"/>
          <w:szCs w:val="16"/>
          <w:u w:val="single" w:color="auto"/>
          <w:color w:val="auto"/>
        </w:rPr>
        <w:t>Impacted Loans</w:t>
      </w:r>
      <w:r>
        <w:rPr>
          <w:rFonts w:ascii="Arial" w:cs="Arial" w:eastAsia="Arial" w:hAnsi="Arial"/>
          <w:sz w:val="16"/>
          <w:szCs w:val="16"/>
          <w:color w:val="auto"/>
        </w:rPr>
        <w:t>”) or (ii) the Administrative Agent or the Required Lenders determine that for any reason the Eurocurrency Rate for any requested Interest Period with respect to a proposed Eurocurrency Loan (whether denominated in Dollars or an Alternative Currency) does not adequately and fairly reflect the cost to such Lenders of funding such Eurocurrency Loan, in each cases of the foregoing clauses (i) and (ii), the Administrative Agent will promptly so notify the Borrower and each Lender. Thereafter, (x) the obligation of the Lenders to make or maintain Eurocurrency Loans in the affected currencies shall be suspended, (to the extent of the affected Eurocurrency Loans or Interest Periods),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(or, in the case of a determination by the Required Lenders described in clause</w:t>
      </w:r>
    </w:p>
    <w:p>
      <w:pPr>
        <w:spacing w:after="0" w:line="1" w:lineRule="exact"/>
        <w:rPr>
          <w:sz w:val="20"/>
          <w:szCs w:val="20"/>
          <w:color w:val="auto"/>
        </w:rPr>
      </w:pPr>
    </w:p>
    <w:p>
      <w:pPr>
        <w:ind w:left="264" w:hanging="264"/>
        <w:spacing w:after="0"/>
        <w:tabs>
          <w:tab w:leader="none" w:pos="26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of this Section 2.12(a), until the Administrative Agent upon instruction of the Required Lenders) revokes such notice. Upon receipt of such notice,</w:t>
      </w:r>
    </w:p>
    <w:p>
      <w:pPr>
        <w:spacing w:after="0" w:line="32" w:lineRule="exact"/>
        <w:rPr>
          <w:rFonts w:ascii="Arial" w:cs="Arial" w:eastAsia="Arial" w:hAnsi="Arial"/>
          <w:sz w:val="16"/>
          <w:szCs w:val="16"/>
          <w:color w:val="auto"/>
        </w:rPr>
      </w:pPr>
    </w:p>
    <w:p>
      <w:pPr>
        <w:ind w:left="4" w:right="200" w:hanging="4"/>
        <w:spacing w:after="0" w:line="281" w:lineRule="auto"/>
        <w:tabs>
          <w:tab w:leader="none" w:pos="219"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Borrower may revoke any pending request for a Borrowing of, conversion to or continuation of Eurocurrency Loans in the affected currency or currencies (to the extent of the affected Eurocurrency Loans or Interest Periods) or, failing that, will be deemed to have converted such request into a request for a Borrowing of Base Rate Loans denominated in Dollars in the Dollar Equivalent of the amount specified therein and (ii) (A) any outstanding affected Eurocurrency Loans denominated in Dollars will be deemed to have been converted into ABR Loans at the end of the applicable Interest Period and (B) any outstanding affected Eurocurrency Loans denominated in an Alternative Currency, at the Borrower’s election, shall either</w:t>
      </w:r>
    </w:p>
    <w:p>
      <w:pPr>
        <w:spacing w:after="0" w:line="2" w:lineRule="exact"/>
        <w:rPr>
          <w:rFonts w:ascii="Arial" w:cs="Arial" w:eastAsia="Arial" w:hAnsi="Arial"/>
          <w:sz w:val="16"/>
          <w:szCs w:val="16"/>
          <w:color w:val="auto"/>
        </w:rPr>
      </w:pPr>
    </w:p>
    <w:p>
      <w:pPr>
        <w:jc w:val="both"/>
        <w:ind w:left="4"/>
        <w:spacing w:after="0" w:line="273" w:lineRule="auto"/>
        <w:rPr>
          <w:rFonts w:ascii="Arial" w:cs="Arial" w:eastAsia="Arial" w:hAnsi="Arial"/>
          <w:sz w:val="16"/>
          <w:szCs w:val="16"/>
          <w:color w:val="auto"/>
        </w:rPr>
      </w:pPr>
      <w:r>
        <w:rPr>
          <w:rFonts w:ascii="Arial" w:cs="Arial" w:eastAsia="Arial" w:hAnsi="Arial"/>
          <w:sz w:val="17"/>
          <w:szCs w:val="17"/>
          <w:color w:val="auto"/>
        </w:rPr>
        <w:t xml:space="preserve">(1) be converted into a Borrowing of ABR Loans denominated in Dollars in the Dollar Equivalent of the amount of such outstanding Eurocurrency Loan at the end of the applicable Interest Period or (2) be prepaid at the end of the applicable Interest Period in full;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 election is made by the Borrower by the earlier of (x) the date that is three Business Days after receipt by the Borrower of such notice and (y) the last day of the current Interest Period for the applicable Eurocurrency Loan, the Borrower shall be deemed to have elected clause (1) above.</w:t>
      </w:r>
    </w:p>
    <w:p>
      <w:pPr>
        <w:spacing w:after="0" w:line="68" w:lineRule="exact"/>
        <w:rPr>
          <w:rFonts w:ascii="Arial" w:cs="Arial" w:eastAsia="Arial" w:hAnsi="Arial"/>
          <w:sz w:val="16"/>
          <w:szCs w:val="16"/>
          <w:color w:val="auto"/>
        </w:rPr>
      </w:pPr>
    </w:p>
    <w:p>
      <w:pPr>
        <w:ind w:left="4" w:right="20" w:firstLine="436"/>
        <w:spacing w:after="0" w:line="253" w:lineRule="auto"/>
        <w:tabs>
          <w:tab w:leader="none" w:pos="699" w:val="left"/>
        </w:tabs>
        <w:numPr>
          <w:ilvl w:val="1"/>
          <w:numId w:val="177"/>
        </w:numPr>
        <w:rPr>
          <w:rFonts w:ascii="Arial" w:cs="Arial" w:eastAsia="Arial" w:hAnsi="Arial"/>
          <w:sz w:val="18"/>
          <w:szCs w:val="18"/>
          <w:color w:val="auto"/>
        </w:rPr>
      </w:pPr>
      <w:r>
        <w:rPr>
          <w:rFonts w:ascii="Arial" w:cs="Arial" w:eastAsia="Arial" w:hAnsi="Arial"/>
          <w:sz w:val="18"/>
          <w:szCs w:val="18"/>
          <w:color w:val="auto"/>
        </w:rPr>
        <w:t>Notwithstanding the foregoing, if the Administrative Agent has made the determination described in clause (i) of Section 2.12(a), the Administrative Agent, in consultation with the Borrower and the affected Lenders, may establish an alternative interest rate for the Impacted Loans, in which case, such alternative rate of interest shall apply with respect to the Impacted Loans until (i) the Administrative Agent revokes the notice delivered with respect to the Impacted Loans under clause (i) of the first sentence of Section 2.12(a), (ii) the Administrative Agent or the Required Lenders notify the Administrative Agent and the Borrower that such alternative interest rate does not adequately and fairly reflect the cost to such Lenders of funding the Impacted Loans, or (iii) any Lender determines that any Requirement of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86" w:lineRule="exact"/>
        <w:rPr>
          <w:rFonts w:ascii="Arial" w:cs="Arial" w:eastAsia="Arial" w:hAnsi="Arial"/>
          <w:sz w:val="18"/>
          <w:szCs w:val="18"/>
          <w:color w:val="auto"/>
        </w:rPr>
      </w:pPr>
    </w:p>
    <w:p>
      <w:pPr>
        <w:ind w:left="4" w:right="120" w:firstLine="436"/>
        <w:spacing w:after="0" w:line="286" w:lineRule="auto"/>
        <w:tabs>
          <w:tab w:leader="none" w:pos="689" w:val="left"/>
        </w:tabs>
        <w:numPr>
          <w:ilvl w:val="1"/>
          <w:numId w:val="177"/>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57" w:lineRule="exact"/>
        <w:rPr>
          <w:rFonts w:ascii="Arial" w:cs="Arial" w:eastAsia="Arial" w:hAnsi="Arial"/>
          <w:sz w:val="17"/>
          <w:szCs w:val="17"/>
          <w:color w:val="auto"/>
        </w:rPr>
      </w:pPr>
    </w:p>
    <w:p>
      <w:pPr>
        <w:ind w:left="444" w:right="20" w:firstLine="419"/>
        <w:spacing w:after="0" w:line="263" w:lineRule="auto"/>
        <w:tabs>
          <w:tab w:leader="none" w:pos="1082" w:val="left"/>
        </w:tabs>
        <w:numPr>
          <w:ilvl w:val="2"/>
          <w:numId w:val="177"/>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the Applicable Reference Rate for an Alternative Currency for any requested Interest Period, including, without limitation, because the Screen Rate for such Applicable Currency is not available or published on a current basis and such circumstances are unlikely to be temporary; or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4"/>
          </w:cols>
          <w:pgMar w:left="436" w:top="274" w:right="459" w:bottom="1440" w:gutter="0" w:footer="0" w:header="0"/>
        </w:sectPr>
      </w:pPr>
    </w:p>
    <w:bookmarkStart w:id="182" w:name="page183"/>
    <w:bookmarkEnd w:id="182"/>
    <w:p>
      <w:pPr>
        <w:ind w:left="444" w:right="280" w:firstLine="419"/>
        <w:spacing w:after="0" w:line="293" w:lineRule="auto"/>
        <w:tabs>
          <w:tab w:leader="none" w:pos="1132" w:val="left"/>
        </w:tabs>
        <w:numPr>
          <w:ilvl w:val="0"/>
          <w:numId w:val="1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administrator of the Screen Rate for an Alternative Currency or a Governmental Authority having jurisdiction over the Administrative Agent has made a public statement identifying a specific date after which the Applicable Reference Rate for an Alternative Currency or the Screen Rate for an Alternative Currency shall no longer be made available, or used for determining the interest rate of loans denominated in such Alternative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at the time of such statement, there is no successor administrator that is reasonably satisfactory to the Administrative Agent, that will continue to provide the Applicable Reference Rate for such Alternative Currency after such specific date (such specific date, the “</w:t>
      </w:r>
      <w:r>
        <w:rPr>
          <w:rFonts w:ascii="Arial" w:cs="Arial" w:eastAsia="Arial" w:hAnsi="Arial"/>
          <w:sz w:val="16"/>
          <w:szCs w:val="16"/>
          <w:u w:val="single" w:color="auto"/>
          <w:color w:val="auto"/>
        </w:rPr>
        <w:t>Alternative Currency Scheduled Unavailability Date</w:t>
      </w:r>
      <w:r>
        <w:rPr>
          <w:rFonts w:ascii="Arial" w:cs="Arial" w:eastAsia="Arial" w:hAnsi="Arial"/>
          <w:sz w:val="16"/>
          <w:szCs w:val="16"/>
          <w:color w:val="auto"/>
        </w:rPr>
        <w:t>”); or</w:t>
      </w:r>
    </w:p>
    <w:p>
      <w:pPr>
        <w:spacing w:after="0" w:line="56" w:lineRule="exact"/>
        <w:rPr>
          <w:rFonts w:ascii="Arial" w:cs="Arial" w:eastAsia="Arial" w:hAnsi="Arial"/>
          <w:sz w:val="16"/>
          <w:szCs w:val="16"/>
          <w:color w:val="auto"/>
        </w:rPr>
      </w:pPr>
    </w:p>
    <w:p>
      <w:pPr>
        <w:ind w:left="444" w:right="120" w:firstLine="419"/>
        <w:spacing w:after="0" w:line="263" w:lineRule="auto"/>
        <w:tabs>
          <w:tab w:leader="none" w:pos="118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syndicated loans currently being executed, or that include language similar to that contained in this Section 2.12, are being executed or amended (as applicable) to incorporate or adopt a new benchmark interest rate to replace the Applicable Reference Rate for an Alternative Currency,</w:t>
      </w:r>
    </w:p>
    <w:p>
      <w:pPr>
        <w:spacing w:after="0" w:line="184"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then, reasonably promptly after such determination by the Administrative Agent or receipt by the Administrative Agent of such notice, as applicable, the Administrative Agent and the Borrower may amend this Agreement solely for the purpose of replacing the Applicable Reference Rate for the Alternative Currency in accordance with this Section 2.12(c) with another alternate benchmark rate giving due consideration to any evolving or then existing convention for similar syndicated credit facilities syndicated in the U.S. and denominated in such Alternative Currency for such alternative benchmarks and, in each case, including any mathematical or other adjustments to such benchmark giving due consideration to any evolving or then existing convention for similar syndicated credit facilities syndicated in the U.S. and denominated in the Alternative Currency for such benchmarks, each of which adjustments or methods for calculating such adjustments shall be published on one or more information services as selected by the Administrative Agent from time to time in its reasonable discretion and may be periodically updated (an “</w:t>
      </w:r>
      <w:r>
        <w:rPr>
          <w:rFonts w:ascii="Arial" w:cs="Arial" w:eastAsia="Arial" w:hAnsi="Arial"/>
          <w:sz w:val="17"/>
          <w:szCs w:val="17"/>
          <w:u w:val="single" w:color="auto"/>
          <w:color w:val="auto"/>
        </w:rPr>
        <w:t>Alternative Currency Successor Rate</w:t>
      </w:r>
      <w:r>
        <w:rPr>
          <w:rFonts w:ascii="Arial" w:cs="Arial" w:eastAsia="Arial" w:hAnsi="Arial"/>
          <w:sz w:val="17"/>
          <w:szCs w:val="17"/>
          <w:color w:val="auto"/>
        </w:rPr>
        <w:t xml:space="preserve">”),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 Such Alternative Currency Successor Rate for the applicable Alternative Currency shall be applied in a manner consistent with market practice;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such market practice is not administratively feasible for the Administrative Agent, such Alternative Currency Successor Rate for such Alternative Currency shall be applied in a manner as otherwise reasonably determined by the Administrative Agent.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If no Alternative Currency Successor Rate has been determined for the applicable Alternative Currency and the circumstances under clause</w:t>
      </w:r>
    </w:p>
    <w:p>
      <w:pPr>
        <w:spacing w:after="0" w:line="35" w:lineRule="exact"/>
        <w:rPr>
          <w:sz w:val="20"/>
          <w:szCs w:val="20"/>
          <w:color w:val="auto"/>
        </w:rPr>
      </w:pPr>
    </w:p>
    <w:p>
      <w:pPr>
        <w:ind w:left="4" w:hanging="4"/>
        <w:spacing w:after="0" w:line="281" w:lineRule="auto"/>
        <w:tabs>
          <w:tab w:leader="none" w:pos="219"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above exist or the Alternative Currency Scheduled Unavailability Date has occurred (as applicable), the Administrative Agent will promptly so notify the Borrower and each Lender. Thereafter, the obligation of the Lenders to make or maintain Eurocurrency Loans in such Alternative Currency shall be suspended, (to the extent of the affected Eurocurrency Loans or Interest Periods). Upon receipt of such notice, (i) the Borrower may revoke any pending request for a Borrowing of, conversion to or continuation of Eurocurrency Loans in each such affected Alternative Currency (to the extent of the affected Eurocurrency Loans or Interest Periods) or, failing that, will be deemed to have converted each such request into a request for a Borrowing of Base Rate Loans denominated in Dollars in the Dollar Equivalent of the amount specified therein and (ii) any outstanding affected Eurocurrency Loans, at the Borrower’s election, shall either (1) be converted into a Borrowing of Base Rate Loans denominated in Dollars in the Dollar Equivalent of the amount of such outstanding Eurocurrency Loan at the end of the applicable Interest Period or (2) be prepaid at the end of the applicable Interest Period in full;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election is made by the Borrower by the earlier of (x) the date that is three Business Days after receipt by the Borrower of such notice and (y) the last day of the current Interest Period for the applicable Eurocurrency Loan, the Borrower shall be deemed to have elected clause</w:t>
      </w:r>
    </w:p>
    <w:p>
      <w:pPr>
        <w:spacing w:after="0" w:line="5"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(1) above.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4"/>
          </w:cols>
          <w:pgMar w:left="436" w:top="274" w:right="459" w:bottom="1440" w:gutter="0" w:footer="0" w:header="0"/>
        </w:sectPr>
      </w:pPr>
    </w:p>
    <w:bookmarkStart w:id="183" w:name="page184"/>
    <w:bookmarkEnd w:id="183"/>
    <w:p>
      <w:pPr>
        <w:ind w:left="4"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anything else herein, any definition of an Alternative Currency Successor Rate for any currency shall provide that in no event shall such Successor Rate be less than zero for purposes of this Agreement.</w:t>
      </w:r>
    </w:p>
    <w:p>
      <w:pPr>
        <w:spacing w:after="0" w:line="170"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 xml:space="preserve">In connection with the implementation of an Alternative Currency Successor Rate for any currency, the Administrative Agent will have the right to make Alternative Currency Successor Rate Conforming Changes with respect to such currency from time to time and, notwithstanding anything to the contrary herein or in any other Loan Document, any amendments implementing such Alternative Currency Successor Rate Conforming Changes will become effective without any further action or consent of any other party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such amendment effected, the Administrative Agent shall post each such amendment implementing such Alternative Currency Successor Conforming Changes for the Applicable Currency to the Lenders reasonably promptly after such amendment becomes effective.</w:t>
      </w:r>
    </w:p>
    <w:p>
      <w:pPr>
        <w:spacing w:after="0" w:line="70" w:lineRule="exact"/>
        <w:rPr>
          <w:sz w:val="20"/>
          <w:szCs w:val="20"/>
          <w:color w:val="auto"/>
        </w:rPr>
      </w:pPr>
    </w:p>
    <w:p>
      <w:pPr>
        <w:ind w:left="4" w:right="120" w:firstLine="436"/>
        <w:spacing w:after="0" w:line="286" w:lineRule="auto"/>
        <w:tabs>
          <w:tab w:leader="none" w:pos="699" w:val="left"/>
        </w:tabs>
        <w:numPr>
          <w:ilvl w:val="0"/>
          <w:numId w:val="180"/>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57" w:lineRule="exact"/>
        <w:rPr>
          <w:rFonts w:ascii="Arial" w:cs="Arial" w:eastAsia="Arial" w:hAnsi="Arial"/>
          <w:sz w:val="17"/>
          <w:szCs w:val="17"/>
          <w:color w:val="auto"/>
        </w:rPr>
      </w:pPr>
    </w:p>
    <w:p>
      <w:pPr>
        <w:ind w:left="444" w:right="100" w:firstLine="419"/>
        <w:spacing w:after="0" w:line="263" w:lineRule="auto"/>
        <w:tabs>
          <w:tab w:leader="none" w:pos="1082"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LIBOR for Dollars for any Interest Period hereunder or any other tenors of LIBOR for Dollars, including, without limitation, because the LIBOR Screen Rate for Dollars is not available or published on a current basis and such circumstances are unlikely to be temporary; or</w:t>
      </w:r>
    </w:p>
    <w:p>
      <w:pPr>
        <w:spacing w:after="0" w:line="75" w:lineRule="exact"/>
        <w:rPr>
          <w:rFonts w:ascii="Arial" w:cs="Arial" w:eastAsia="Arial" w:hAnsi="Arial"/>
          <w:sz w:val="18"/>
          <w:szCs w:val="18"/>
          <w:color w:val="auto"/>
        </w:rPr>
      </w:pPr>
    </w:p>
    <w:p>
      <w:pPr>
        <w:ind w:left="444" w:firstLine="419"/>
        <w:spacing w:after="0" w:line="257" w:lineRule="auto"/>
        <w:tabs>
          <w:tab w:leader="none" w:pos="1132" w:val="left"/>
        </w:tabs>
        <w:numPr>
          <w:ilvl w:val="1"/>
          <w:numId w:val="180"/>
        </w:numPr>
        <w:rPr>
          <w:rFonts w:ascii="Arial" w:cs="Arial" w:eastAsia="Arial" w:hAnsi="Arial"/>
          <w:sz w:val="18"/>
          <w:szCs w:val="18"/>
          <w:color w:val="auto"/>
        </w:rPr>
      </w:pPr>
      <w:r>
        <w:rPr>
          <w:rFonts w:ascii="Arial" w:cs="Arial" w:eastAsia="Arial" w:hAnsi="Arial"/>
          <w:sz w:val="18"/>
          <w:szCs w:val="18"/>
          <w:color w:val="auto"/>
        </w:rPr>
        <w:t xml:space="preserve">the administrator of the LIBOR Screen Rate for Dollars or a Governmental Authority having jurisdiction over the Administrative Agent or such administrator has made a public statement identifying a specific date after which LIBOR or the Screen Rate, in each case, for Dollars, shall no longer be made available, or used for determining the interest rate of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there is no successor administrator that is satisfactory to the Administrative Agent, that will continue to provide LIBOR after such specific date (such specific date, the “</w:t>
      </w:r>
      <w:r>
        <w:rPr>
          <w:rFonts w:ascii="Arial" w:cs="Arial" w:eastAsia="Arial" w:hAnsi="Arial"/>
          <w:sz w:val="18"/>
          <w:szCs w:val="18"/>
          <w:u w:val="single" w:color="auto"/>
          <w:color w:val="auto"/>
        </w:rPr>
        <w:t>Dollar LIBOR Scheduled Unavailability Date</w:t>
      </w:r>
      <w:r>
        <w:rPr>
          <w:rFonts w:ascii="Arial" w:cs="Arial" w:eastAsia="Arial" w:hAnsi="Arial"/>
          <w:sz w:val="18"/>
          <w:szCs w:val="18"/>
          <w:color w:val="auto"/>
        </w:rPr>
        <w:t>”); or</w:t>
      </w:r>
    </w:p>
    <w:p>
      <w:pPr>
        <w:spacing w:after="0" w:line="79" w:lineRule="exact"/>
        <w:rPr>
          <w:rFonts w:ascii="Arial" w:cs="Arial" w:eastAsia="Arial" w:hAnsi="Arial"/>
          <w:sz w:val="18"/>
          <w:szCs w:val="18"/>
          <w:color w:val="auto"/>
        </w:rPr>
      </w:pPr>
    </w:p>
    <w:p>
      <w:pPr>
        <w:ind w:left="444" w:right="280" w:firstLine="419"/>
        <w:spacing w:after="0" w:line="308" w:lineRule="auto"/>
        <w:tabs>
          <w:tab w:leader="none" w:pos="1182" w:val="left"/>
        </w:tabs>
        <w:numPr>
          <w:ilvl w:val="1"/>
          <w:numId w:val="180"/>
        </w:numPr>
        <w:rPr>
          <w:rFonts w:ascii="Arial" w:cs="Arial" w:eastAsia="Arial" w:hAnsi="Arial"/>
          <w:sz w:val="17"/>
          <w:szCs w:val="17"/>
          <w:color w:val="auto"/>
        </w:rPr>
      </w:pPr>
      <w:r>
        <w:rPr>
          <w:rFonts w:ascii="Arial" w:cs="Arial" w:eastAsia="Arial" w:hAnsi="Arial"/>
          <w:sz w:val="17"/>
          <w:szCs w:val="17"/>
          <w:color w:val="auto"/>
        </w:rPr>
        <w:t>the administrator of the Screen Rate for Dollars or a Governmental Authority having jurisdiction over such administrator has made a public statement announcing that all Interest Periods and other tenors of LIBOR for Dollars are no longer representative; or</w:t>
      </w:r>
    </w:p>
    <w:p>
      <w:pPr>
        <w:spacing w:after="0" w:line="38" w:lineRule="exact"/>
        <w:rPr>
          <w:rFonts w:ascii="Arial" w:cs="Arial" w:eastAsia="Arial" w:hAnsi="Arial"/>
          <w:sz w:val="17"/>
          <w:szCs w:val="17"/>
          <w:color w:val="auto"/>
        </w:rPr>
      </w:pPr>
    </w:p>
    <w:p>
      <w:pPr>
        <w:ind w:left="444" w:firstLine="419"/>
        <w:spacing w:after="0" w:line="308" w:lineRule="auto"/>
        <w:tabs>
          <w:tab w:leader="none" w:pos="1172" w:val="left"/>
        </w:tabs>
        <w:numPr>
          <w:ilvl w:val="1"/>
          <w:numId w:val="180"/>
        </w:numPr>
        <w:rPr>
          <w:rFonts w:ascii="Arial" w:cs="Arial" w:eastAsia="Arial" w:hAnsi="Arial"/>
          <w:sz w:val="17"/>
          <w:szCs w:val="17"/>
          <w:color w:val="auto"/>
        </w:rPr>
      </w:pPr>
      <w:r>
        <w:rPr>
          <w:rFonts w:ascii="Arial" w:cs="Arial" w:eastAsia="Arial" w:hAnsi="Arial"/>
          <w:sz w:val="17"/>
          <w:szCs w:val="17"/>
          <w:color w:val="auto"/>
        </w:rPr>
        <w:t>syndicated loans currently being executed, or that include language similar to that contained in this Section 2.12 (as it relates to Dollars), are being executed or amended (as applicable) to incorporate or adopt a new benchmark interest rate to replace LIBOR for Dollars;</w:t>
      </w:r>
    </w:p>
    <w:p>
      <w:pPr>
        <w:spacing w:after="0" w:line="146" w:lineRule="exact"/>
        <w:rPr>
          <w:sz w:val="20"/>
          <w:szCs w:val="20"/>
          <w:color w:val="auto"/>
        </w:rPr>
      </w:pPr>
    </w:p>
    <w:p>
      <w:pPr>
        <w:jc w:val="both"/>
        <w:ind w:left="4" w:right="100"/>
        <w:spacing w:after="0" w:line="287" w:lineRule="auto"/>
        <w:rPr>
          <w:sz w:val="20"/>
          <w:szCs w:val="20"/>
          <w:color w:val="auto"/>
        </w:rPr>
      </w:pPr>
      <w:r>
        <w:rPr>
          <w:rFonts w:ascii="Arial" w:cs="Arial" w:eastAsia="Arial" w:hAnsi="Arial"/>
          <w:sz w:val="16"/>
          <w:szCs w:val="16"/>
          <w:color w:val="auto"/>
        </w:rPr>
        <w:t>then, in the case of clauses (i)-(iii) above, on a date and time determined by the Administrative Agent (any such date, the “</w:t>
      </w:r>
      <w:r>
        <w:rPr>
          <w:rFonts w:ascii="Arial" w:cs="Arial" w:eastAsia="Arial" w:hAnsi="Arial"/>
          <w:sz w:val="16"/>
          <w:szCs w:val="16"/>
          <w:u w:val="single" w:color="auto"/>
          <w:color w:val="auto"/>
        </w:rPr>
        <w:t>Dollar LIBOR Replacement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which date shall be at the end of an Interest Period or on the relevant interest payment date, as applicable, for interest calculated and shall occur reasonably promptly upon the occurrence of any of the events or circumstances under clauses (i), (ii) or (iii) above and, solely with respect to clause</w:t>
      </w:r>
    </w:p>
    <w:p>
      <w:pPr>
        <w:spacing w:after="0" w:line="2" w:lineRule="exact"/>
        <w:rPr>
          <w:sz w:val="20"/>
          <w:szCs w:val="20"/>
          <w:color w:val="auto"/>
        </w:rPr>
      </w:pPr>
    </w:p>
    <w:p>
      <w:pPr>
        <w:ind w:left="4" w:right="20" w:hanging="4"/>
        <w:spacing w:after="0" w:line="260" w:lineRule="auto"/>
        <w:tabs>
          <w:tab w:leader="none" w:pos="26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above, no later than the Dollar LIBOR Scheduled Unavailability Date, LIBOR for Dollars will be replaced hereunder and under any Loan Document with, subject to the proviso below, the first available alternative set forth in the order below for any payment period for</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4"/>
          </w:cols>
          <w:pgMar w:left="436" w:top="274" w:right="459" w:bottom="1440" w:gutter="0" w:footer="0" w:header="0"/>
        </w:sectPr>
      </w:pPr>
    </w:p>
    <w:bookmarkStart w:id="184" w:name="page185"/>
    <w:bookmarkEnd w:id="184"/>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interest calculated that can be determined by the Administrative Agent, in each case, without any amendment to, or further action or consent of any other party to, this Agreement or any other Loan Document (the “</w:t>
      </w:r>
      <w:r>
        <w:rPr>
          <w:rFonts w:ascii="Arial" w:cs="Arial" w:eastAsia="Arial" w:hAnsi="Arial"/>
          <w:sz w:val="18"/>
          <w:szCs w:val="18"/>
          <w:u w:val="single" w:color="auto"/>
          <w:color w:val="auto"/>
        </w:rPr>
        <w:t>Dollar LIBOR Successor Rate</w:t>
      </w:r>
      <w:r>
        <w:rPr>
          <w:rFonts w:ascii="Arial" w:cs="Arial" w:eastAsia="Arial" w:hAnsi="Arial"/>
          <w:sz w:val="18"/>
          <w:szCs w:val="18"/>
          <w:color w:val="auto"/>
        </w:rPr>
        <w:t>”; and any such rate before giving effect to the Related Adjustment, the “</w:t>
      </w:r>
      <w:r>
        <w:rPr>
          <w:rFonts w:ascii="Arial" w:cs="Arial" w:eastAsia="Arial" w:hAnsi="Arial"/>
          <w:sz w:val="18"/>
          <w:szCs w:val="18"/>
          <w:u w:val="single" w:color="auto"/>
          <w:color w:val="auto"/>
        </w:rPr>
        <w:t>Pre-Adjustment Dollar Successor Rate</w:t>
      </w:r>
      <w:r>
        <w:rPr>
          <w:rFonts w:ascii="Arial" w:cs="Arial" w:eastAsia="Arial" w:hAnsi="Arial"/>
          <w:sz w:val="18"/>
          <w:szCs w:val="18"/>
          <w:color w:val="auto"/>
        </w:rPr>
        <w:t>”):</w:t>
      </w:r>
    </w:p>
    <w:p>
      <w:pPr>
        <w:spacing w:after="0" w:line="76" w:lineRule="exact"/>
        <w:rPr>
          <w:sz w:val="20"/>
          <w:szCs w:val="20"/>
          <w:color w:val="auto"/>
        </w:rPr>
      </w:pPr>
    </w:p>
    <w:p>
      <w:pPr>
        <w:ind w:left="1120" w:hanging="261"/>
        <w:spacing w:after="0"/>
        <w:tabs>
          <w:tab w:leader="none" w:pos="11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Term SOFR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Related Dollar Adjustment;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SOFR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Related Dollar Adjustment;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and in the case of clause (iv) above, the Borrower and Administrative Agent may amend this Agreement solely for the purpose of replacing LIBOR for Dollars under this Agreement and under any other Loan Document in accordance with the definition of “Dollar LIBOR Successor Rate” and such amendment will become effective at 5:00 p.m., on the fifth Business Day after the Administrative Agent shall have notified all Lenders and the Borrower of the occurrence of the circumstances described in clause (iv) above unless, prior to such time, Lenders comprising the Required Lenders have delivered to the Administrative Agent written notice that such Required Lenders object to the implementation of a Dollar LIBOR Successor Rate pursuant to such clause;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determines that Term SOFR has become available, is administratively feasible for the Administrative Agent and would have been identified as the Pre-Adjustment Dollar Successor Rate in accordance with the foregoing if it had been so available at the time that the Dollar LIBOR Successor Rate then in effect was so identified, and the Administrative Agent notifies the Borrower and each Lender of such availability, then from and after the beginning of the Interest Period, relevant interest payment date or payment period for interest calculated, in each case, commencing no less than thirty (30) days after the date of such notice, the Pre-Adjustment Dollar Successor Rate shall be Term SOFR and the Dollar LIBOR Successor Rate shall be Term SOFR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relevant Related Dollar Adjustment.</w:t>
      </w:r>
    </w:p>
    <w:p>
      <w:pPr>
        <w:spacing w:after="0" w:line="172"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The Administrative Agent will promptly (in one or more notices) notify the Borrower and each Lender of (x) any occurrence of any of the events, periods or circumstances under clauses (i) through (iii) above, (y) a Dollar LIBOR Replacement Date and (z) the Dollar LIBOR Successor Rate.</w:t>
      </w:r>
    </w:p>
    <w:p>
      <w:pPr>
        <w:spacing w:after="0" w:line="124"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 xml:space="preserve">Any Dollar LIBOR Successor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market practice is not administratively feasible for the Administrative Agent, such Dollar LIBOR Successor Rate shall be applied in a manner as otherwise reasonably determined by the Administrative Agent.</w:t>
      </w:r>
    </w:p>
    <w:p>
      <w:pPr>
        <w:spacing w:after="0" w:line="184" w:lineRule="exact"/>
        <w:rPr>
          <w:sz w:val="20"/>
          <w:szCs w:val="20"/>
          <w:color w:val="auto"/>
        </w:rPr>
      </w:pPr>
    </w:p>
    <w:p>
      <w:pPr>
        <w:ind w:right="320" w:firstLine="440"/>
        <w:spacing w:after="0" w:line="308" w:lineRule="auto"/>
        <w:rPr>
          <w:sz w:val="20"/>
          <w:szCs w:val="20"/>
          <w:color w:val="auto"/>
        </w:rPr>
      </w:pPr>
      <w:r>
        <w:rPr>
          <w:rFonts w:ascii="Arial" w:cs="Arial" w:eastAsia="Arial" w:hAnsi="Arial"/>
          <w:sz w:val="17"/>
          <w:szCs w:val="17"/>
          <w:color w:val="auto"/>
        </w:rPr>
        <w:t>Notwithstanding anything else herein, if at any time any Dollar LIBOR Successor Rate as so determined would otherwise be less than 0%, the Dollar LIBOR Successor Rate will be deemed to be 0% for the purposes of this Agreement and the other Loan Documents.</w:t>
      </w:r>
    </w:p>
    <w:p>
      <w:pPr>
        <w:spacing w:after="0" w:line="146"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 xml:space="preserve">In connection with the implementation of a Dollar LIBOR Successor Rate, the Administrative Agent will have the right to make LIBOR Successor Rate Conforming Changes from time to time and, notwithstanding anything to the contrary herein or in any other Loan Document, any amendments implementing such LIBOR Successor Rate Conforming Changes will become effective without any further action or consent of any other party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such amendment effected, the Administrative Agent shall post each such amendment implementing such LIBOR Successor Rate Conforming Changes to the Borrower and the Lenders reasonably promptly after such amendment becomes effective.</w:t>
      </w:r>
    </w:p>
    <w:p>
      <w:pPr>
        <w:spacing w:after="0" w:line="192"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If the events or circumstances of the type described in clauses (i) through (iii) of the first paragraph of this Section 2.12(d) have occurred with respect to the Dollar LIBOR Successor Rate then in effect, then the successor rate thereto shall be determined in accordance with the definition of “Dollar LIBOR Successor Rate.”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185" w:name="page186"/>
    <w:bookmarkEnd w:id="185"/>
    <w:p>
      <w:pPr>
        <w:ind w:right="20"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anything to the contrary herein, (i) after any such determination by the Administrative Agent or receipt by the Administrative Agent of any such notice described under clauses (i) through (ii) of the first paragraph of this Section 2.12(d), as applicable, if the Administrative Agent determines that none of the Dollar LIBOR Successor Rates is available on or prior to the Dollar LIBOR Replacement Date, (ii) if the events or circumstances described in clause (iii) of the first paragraph of this Section 2.12(d) have occurred but none of the Dollar LIBOR Successor Rates is available, or (iii) if the events or circumstances of the type described in clauses (i) through (ii) of the first paragraph of this Section 2.12(d) have occurred with respect to the Dollar LIBOR Successor Rate then in effect and the Administrative Agent determines that none of the Dollar LIBOR Successor Rates is available, then in each case, the Administrative Agent and the Borrower may amend this Agreement solely for the purpose of replacing LIBOR for Dollars or any then current Dollar LIBOR Successor Rate in accordance with this Section 2.12(d) at the end of any Interest Period, relevant interest payment date or payment period for interest calculated, as applicable, with another alternate benchmark rate giving due consideration to any evolving or then existing convention for similar U.S. dollar denominated syndicated credit facilities for such alternative benchmarks and, in each case, including any Related Dollar Adjustments and any other mathematical or other adjustments to such benchmark giving due consideration to any evolving or then existing convention for similar Dollar denominated syndicated credit facilities for such benchmarks,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Dollar LIBOR Successor Rate.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7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If, at the end of any Interest Period, relevant interest payment date or payment period for interest calculated, no Dollar LIBOR Successor Rate has been determined in accordance with the foregoing provisions of this Section 2.12(d) and the circumstances under clauses (i) or (iii) of the first paragraph of this Section 2.12(d) exist or the Dollar LIBOR Scheduled Unavailability Date has occurred (as applicable), the Administrative Agent will promptly so notify the Borrower and each Lender. Thereafter, (x) the obligation of the Lenders to make or maintain Eurocurrency Loans in Dollars shall be suspended, (to the extent of the affected Eurocurrency Loans, Interest Periods, interest payment dates or payment periods), and (y) the Eurocurrency Rate component shall no longer be utilized in determining the Base Rate, until the Dollar LIBOR Successor Rate has been determined in accordance with the foregoing provisions of this Section 2.12(d). Upon receipt of such notice, the Borrower may revoke any pending request for a Borrowing of, conversion to or continuation of Eurocurrency Loans (to the extent of the affected Eurocurrency Loans, Interest Periods, interest payment dates or payment periods) or, failing that, will be deemed to have converted such request into a request for Base Rate Loans (subject to the foregoing clause (y)) in the amount specified therein.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117" w:lineRule="exact"/>
        <w:rPr>
          <w:rFonts w:ascii="Arial" w:cs="Arial" w:eastAsia="Arial" w:hAnsi="Arial"/>
          <w:sz w:val="18"/>
          <w:szCs w:val="18"/>
          <w:color w:val="auto"/>
        </w:rPr>
      </w:pPr>
    </w:p>
    <w:p>
      <w:pPr>
        <w:ind w:left="440" w:right="100" w:firstLine="419"/>
        <w:spacing w:after="0" w:line="263" w:lineRule="auto"/>
        <w:tabs>
          <w:tab w:leader="none" w:pos="1078"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or liquidity of, deposits with or for the account of, or credit extended by, any Lender or any Issuing Bank (except any such reserve requirement contemplated by Section 2.13(e) other than as set forth below);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186" w:name="page187"/>
    <w:bookmarkEnd w:id="186"/>
    <w:p>
      <w:pPr>
        <w:ind w:left="440" w:right="820" w:firstLine="419"/>
        <w:spacing w:after="0" w:line="277" w:lineRule="auto"/>
        <w:tabs>
          <w:tab w:leader="none" w:pos="1128"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impose on any Lender or any Issuing Bank or the London interbank market any other condition, cost or expense affecting this Agreement or Eurocurrency Loans made by such Lender or any Letter of Credit or participation therein; or</w:t>
      </w:r>
    </w:p>
    <w:p>
      <w:pPr>
        <w:spacing w:after="0" w:line="62" w:lineRule="exact"/>
        <w:rPr>
          <w:rFonts w:ascii="Arial" w:cs="Arial" w:eastAsia="Arial" w:hAnsi="Arial"/>
          <w:sz w:val="18"/>
          <w:szCs w:val="18"/>
          <w:color w:val="auto"/>
        </w:rPr>
      </w:pPr>
    </w:p>
    <w:p>
      <w:pPr>
        <w:jc w:val="both"/>
        <w:ind w:left="440" w:right="160" w:firstLine="419"/>
        <w:spacing w:after="0" w:line="263" w:lineRule="auto"/>
        <w:tabs>
          <w:tab w:leader="none" w:pos="117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subject any Lender or Issuing Bank to any Tax of any kind whatsoever with respect to any Loan Document, or any Loan made by it or any Letter of Credit or participation therein, except for (X) Indemnified Taxes or Other Taxes indemnified under Section 2.15, (Y) any penalties not indemnified under the first sentence of Section 2.15(c) and (Z) any Excluded Taxes;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and the result of any of the foregoing shall be to increase the cost to such Lender of making or maintaining any Eurocurrency Loan (or, in the case of clause (iii), any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then the Borrower will pay to such Lender or Issuing Bank, as the case may be, such additional amount or amounts as will compensate such Lender or Issuing Bank, as the case may be, for such additional costs incurred or reduction suffered; </w:t>
      </w:r>
      <w:r>
        <w:rPr>
          <w:rFonts w:ascii="Arial" w:cs="Arial" w:eastAsia="Arial" w:hAnsi="Arial"/>
          <w:sz w:val="16"/>
          <w:szCs w:val="16"/>
          <w:i w:val="1"/>
          <w:iCs w:val="1"/>
          <w:color w:val="auto"/>
        </w:rPr>
        <w:t>provided</w:t>
      </w:r>
      <w:r>
        <w:rPr>
          <w:rFonts w:ascii="Arial" w:cs="Arial" w:eastAsia="Arial" w:hAnsi="Arial"/>
          <w:sz w:val="16"/>
          <w:szCs w:val="16"/>
          <w:color w:val="auto"/>
        </w:rPr>
        <w:t>, that no Lender or Issuing Bank shall be entitled to request compensation for any increased cost if it shall not be the general policy and practice of such Lender or Issuing Bank to seek compensation in similar circumstances under similar provisions in comparable credit facilities to the extent it is entitled to do so.</w:t>
      </w:r>
    </w:p>
    <w:p>
      <w:pPr>
        <w:spacing w:after="0" w:line="58" w:lineRule="exact"/>
        <w:rPr>
          <w:sz w:val="20"/>
          <w:szCs w:val="20"/>
          <w:color w:val="auto"/>
        </w:rPr>
      </w:pPr>
    </w:p>
    <w:p>
      <w:pPr>
        <w:ind w:right="20" w:firstLine="436"/>
        <w:spacing w:after="0" w:line="254" w:lineRule="auto"/>
        <w:tabs>
          <w:tab w:leader="none" w:pos="69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the Borrower will pay to such Lender or Issuing Bank, as the case may be, such additional amount or amounts as will compensate such Lender or Issuing Bank or such Lender’s or Issuing Bank’s holding company for any such reduction suffered.</w:t>
      </w:r>
    </w:p>
    <w:p>
      <w:pPr>
        <w:spacing w:after="0" w:line="83" w:lineRule="exact"/>
        <w:rPr>
          <w:rFonts w:ascii="Arial" w:cs="Arial" w:eastAsia="Arial" w:hAnsi="Arial"/>
          <w:sz w:val="18"/>
          <w:szCs w:val="18"/>
          <w:color w:val="auto"/>
        </w:rPr>
      </w:pPr>
    </w:p>
    <w:p>
      <w:pPr>
        <w:ind w:right="40" w:firstLine="436"/>
        <w:spacing w:after="0" w:line="279" w:lineRule="auto"/>
        <w:tabs>
          <w:tab w:leader="none" w:pos="68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 certificate of a Lender or Issuing Bank setting forth in reasonable detail the basis for and the calculation of the amount or amounts necessary to compensate such Lender or Issuing Bank or its holding company, as the case may be, as specified in paragraph (a) or (b) of this Section 2.13 shall be delivered to the Borrower and shall be conclusive absent manifest error. The Borrower shall pay such Lender or Issuing Bank, as the case may be, the amount shown as due on any such certificate within 10 Business Days after receipt thereof.</w:t>
      </w:r>
    </w:p>
    <w:p>
      <w:pPr>
        <w:spacing w:after="0" w:line="63" w:lineRule="exact"/>
        <w:rPr>
          <w:rFonts w:ascii="Arial" w:cs="Arial" w:eastAsia="Arial" w:hAnsi="Arial"/>
          <w:sz w:val="17"/>
          <w:szCs w:val="17"/>
          <w:color w:val="auto"/>
        </w:rPr>
      </w:pPr>
    </w:p>
    <w:p>
      <w:pPr>
        <w:ind w:right="100" w:firstLine="436"/>
        <w:spacing w:after="0" w:line="293" w:lineRule="auto"/>
        <w:tabs>
          <w:tab w:leader="none" w:pos="69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Issuing Bank to demand compensation pursuant to this Section 2.13 shall not constitute a waiver of such Lender’s or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Issuing Bank pursuant to this Section 2.13 for any increased costs or reductions incurred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187" w:name="page188"/>
    <w:bookmarkEnd w:id="187"/>
    <w:p>
      <w:pPr>
        <w:ind w:firstLine="436"/>
        <w:spacing w:after="0" w:line="269" w:lineRule="auto"/>
        <w:tabs>
          <w:tab w:leader="none" w:pos="685" w:val="left"/>
        </w:tabs>
        <w:numPr>
          <w:ilvl w:val="0"/>
          <w:numId w:val="1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Borrower shall pay to each Lender, (i) as long as such Lender shall be required to maintain reserves with respect to liabilities or assets consisting of or including Eurocurrency funds or deposits, additional interest on the unpaid principal amount of each Eurocurrency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other central banking or financial regulatory authority imposed in respect of the maintenance of the Commitments or the funding of the Eurocurrency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or which interest is payable on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Borrower shall have received at least 10 Business Days’ prior notice (with a copy to the Administrative Agent) of such additional interest or costs from such Lender. If a Lender fails to give notice 10 Business Days prior to the relevant Interest Payment Date, such additional interest or costs shall be due and payable 10 Business Days from receipt of such notice.</w:t>
      </w:r>
    </w:p>
    <w:p>
      <w:pPr>
        <w:spacing w:after="0" w:line="182"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In the event of (a) the payment or prepayment of any principal of any Eurocurrency Loan other than on the last day of an Interest Period applicable thereto (including as a result of an Event of Default), (b) the conversion of any Eurocurrency Loan other than on the last day of the Interest Period applicable thereto, (c) the failure to borrow, convert, continue or prepay any Eurocurrency Loan on the date specified in any notice delivered pursuant hereto (regardless of whether such notice may be revoked under Section 2.09(c) and is revoked in accordance therewith) or (d) the assignment of any Eurocurrency Loan other than on the last day of the Interest Period applicable thereto as a result of a request by the Borrower pursuant to Section 2.17 or Section 9.02(b), then, in any such event, the Borrower shall compensate each applicable Lender for the loss, cost and expense attributable to such event (excluding loss of anticipated profits). Such loss, cost or expense to any Lender shall be deemed to include an amount determined by such Lender to be the excess, if any, of (i) the amount of interest that would have accrued on the principal amount of such Loan had such event not occurred, at the Eurocurrency Rate that would have been applicable to such Loan (excluding the Applicable Rate),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that such Lender would bid were it to bid, at the commencement of such period, for deposits in the applicable currency of a comparable amount and period from other banks in the Eurocurrency market. A certificate of any Lender setting forth in reasonable detail any amount or amounts that such Lender is entitled to receive pursuant to this Section 2.14 shall be delivered to the Borrower and shall be conclusive absent manifest error. The Borrower shall pay such Lender the amount shown as due on any such certificate within 10 Business Days after receipt thereof.</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188" w:name="page189"/>
    <w:bookmarkEnd w:id="18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2.15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4" w:right="220" w:firstLine="436"/>
        <w:spacing w:after="0" w:line="285" w:lineRule="auto"/>
        <w:tabs>
          <w:tab w:leader="none" w:pos="689" w:val="left"/>
        </w:tabs>
        <w:numPr>
          <w:ilvl w:val="1"/>
          <w:numId w:val="187"/>
        </w:numPr>
        <w:rPr>
          <w:rFonts w:ascii="Arial" w:cs="Arial" w:eastAsia="Arial" w:hAnsi="Arial"/>
          <w:sz w:val="16"/>
          <w:szCs w:val="16"/>
          <w:color w:val="auto"/>
        </w:rPr>
      </w:pPr>
      <w:r>
        <w:rPr>
          <w:rFonts w:ascii="Arial" w:cs="Arial" w:eastAsia="Arial" w:hAnsi="Arial"/>
          <w:sz w:val="16"/>
          <w:szCs w:val="16"/>
          <w:color w:val="auto"/>
        </w:rPr>
        <w:t xml:space="preserve">Any and all payments by or on account of any obligation of the Borrower under any Loan Document shall be made free and clear of and without deduction for any Indemnified Taxes or Other Taxes;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applicable withholding agent shall be required to deduct any Indemnified Taxes or Other Taxes from such payments, then (i) the sum payable by the Borrower shall be increased as necessary so that after all such required deductions have been made (including such deductions applicable to additional sums payable under this Section 2.15) the Administrative Agent, Lender or Issuing Bank (as the case may be) receives an amount equal to the sum it would have received had no such deductions been made,</w:t>
      </w:r>
    </w:p>
    <w:p>
      <w:pPr>
        <w:spacing w:after="0" w:line="1" w:lineRule="exact"/>
        <w:rPr>
          <w:rFonts w:ascii="Arial" w:cs="Arial" w:eastAsia="Arial" w:hAnsi="Arial"/>
          <w:sz w:val="16"/>
          <w:szCs w:val="16"/>
          <w:color w:val="auto"/>
        </w:rPr>
      </w:pPr>
    </w:p>
    <w:p>
      <w:pPr>
        <w:ind w:left="4" w:right="300" w:hanging="4"/>
        <w:spacing w:after="0" w:line="260" w:lineRule="auto"/>
        <w:tabs>
          <w:tab w:leader="none" w:pos="269"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applicable withholding agent shall make such deductions, and (iii) the applicable withholding agent shall pay the full amount deducted to the relevant Governmental Authority in accordance with applicable law.</w:t>
      </w:r>
    </w:p>
    <w:p>
      <w:pPr>
        <w:spacing w:after="0" w:line="77" w:lineRule="exact"/>
        <w:rPr>
          <w:rFonts w:ascii="Arial" w:cs="Arial" w:eastAsia="Arial" w:hAnsi="Arial"/>
          <w:sz w:val="18"/>
          <w:szCs w:val="18"/>
          <w:color w:val="auto"/>
        </w:rPr>
      </w:pPr>
    </w:p>
    <w:p>
      <w:pPr>
        <w:ind w:left="4" w:firstLine="436"/>
        <w:spacing w:after="0" w:line="277" w:lineRule="auto"/>
        <w:tabs>
          <w:tab w:leader="none" w:pos="699" w:val="left"/>
        </w:tabs>
        <w:numPr>
          <w:ilvl w:val="1"/>
          <w:numId w:val="188"/>
        </w:numPr>
        <w:rPr>
          <w:rFonts w:ascii="Arial" w:cs="Arial" w:eastAsia="Arial" w:hAnsi="Arial"/>
          <w:sz w:val="18"/>
          <w:szCs w:val="18"/>
          <w:color w:val="auto"/>
        </w:rPr>
      </w:pPr>
      <w:r>
        <w:rPr>
          <w:rFonts w:ascii="Arial" w:cs="Arial" w:eastAsia="Arial" w:hAnsi="Arial"/>
          <w:sz w:val="18"/>
          <w:szCs w:val="18"/>
          <w:color w:val="auto"/>
        </w:rPr>
        <w:t>Without limiting the provisions of paragraph (a) above, the Borrower shall timely pay any Other Taxes to the relevant Governmental Authority in accordance with applicable law.</w:t>
      </w:r>
    </w:p>
    <w:p>
      <w:pPr>
        <w:spacing w:after="0" w:line="62" w:lineRule="exact"/>
        <w:rPr>
          <w:rFonts w:ascii="Arial" w:cs="Arial" w:eastAsia="Arial" w:hAnsi="Arial"/>
          <w:sz w:val="18"/>
          <w:szCs w:val="18"/>
          <w:color w:val="auto"/>
        </w:rPr>
      </w:pPr>
    </w:p>
    <w:p>
      <w:pPr>
        <w:ind w:left="4" w:firstLine="436"/>
        <w:spacing w:after="0" w:line="290" w:lineRule="auto"/>
        <w:tabs>
          <w:tab w:leader="none" w:pos="689" w:val="left"/>
        </w:tabs>
        <w:numPr>
          <w:ilvl w:val="1"/>
          <w:numId w:val="188"/>
        </w:numPr>
        <w:rPr>
          <w:rFonts w:ascii="Arial" w:cs="Arial" w:eastAsia="Arial" w:hAnsi="Arial"/>
          <w:sz w:val="16"/>
          <w:szCs w:val="16"/>
          <w:color w:val="auto"/>
        </w:rPr>
      </w:pPr>
      <w:r>
        <w:rPr>
          <w:rFonts w:ascii="Arial" w:cs="Arial" w:eastAsia="Arial" w:hAnsi="Arial"/>
          <w:sz w:val="16"/>
          <w:szCs w:val="16"/>
          <w:color w:val="auto"/>
        </w:rPr>
        <w:t>The Borrower shall indemnify and hold harmless the Administrative Agent, each Lender and each Issuing Bank, within 10 Business Days after written demand therefor, for the full amount of any Indemnified Taxes imposed on or with respect to any payment by or on account of the Borrower under any Loan Document, and any Other Taxes, payable by the Administrative Agent, such Lender or Issuing Bank (including Indemnified Taxes or Other Taxes imposed or asserted on or attributable to amounts payable under this Section 2.15) and any reasonable expenses arising therefrom or with respect thereto, whether or not such Indemnified Taxes or Other Taxes were correctly or legally imposed or asserted by the relevant Governmental Authority, except for any penalties to the extent determined by a final judgment of a court of competent jurisdiction to have resulted from the gross negligence or willful misconduct of such Administrative Agent, Lender or Issuing Bank. The written demand shall be made in a certificate setting forth the amount of such Indemnified Taxes or Other Taxes and, in reasonable detail, the calculation and basis for such Indemnified Taxes or Other Taxes.</w:t>
      </w:r>
    </w:p>
    <w:p>
      <w:pPr>
        <w:spacing w:after="0" w:line="57" w:lineRule="exact"/>
        <w:rPr>
          <w:rFonts w:ascii="Arial" w:cs="Arial" w:eastAsia="Arial" w:hAnsi="Arial"/>
          <w:sz w:val="16"/>
          <w:szCs w:val="16"/>
          <w:color w:val="auto"/>
        </w:rPr>
      </w:pPr>
    </w:p>
    <w:p>
      <w:pPr>
        <w:jc w:val="both"/>
        <w:ind w:left="4" w:right="260" w:firstLine="436"/>
        <w:spacing w:after="0" w:line="311" w:lineRule="auto"/>
        <w:tabs>
          <w:tab w:leader="none" w:pos="699" w:val="left"/>
        </w:tabs>
        <w:numPr>
          <w:ilvl w:val="1"/>
          <w:numId w:val="188"/>
        </w:numPr>
        <w:rPr>
          <w:rFonts w:ascii="Arial" w:cs="Arial" w:eastAsia="Arial" w:hAnsi="Arial"/>
          <w:sz w:val="16"/>
          <w:szCs w:val="16"/>
          <w:color w:val="auto"/>
        </w:rPr>
      </w:pPr>
      <w:r>
        <w:rPr>
          <w:rFonts w:ascii="Arial" w:cs="Arial" w:eastAsia="Arial" w:hAnsi="Arial"/>
          <w:sz w:val="16"/>
          <w:szCs w:val="16"/>
          <w:color w:val="auto"/>
        </w:rPr>
        <w:t>As soon as practicable after any payment of Indemnified Taxes or Other Taxes by the Borrower to a Governmental Authority, the Borrower shall deliver to the Administrative Agent the original or a certified copy of a receipt, if available, issued by such Governmental Authority evidencing such payment, a copy of the return reporting such payment or other evidence of such payment reasonably satisfactory to the Administrative Agent.</w:t>
      </w:r>
    </w:p>
    <w:p>
      <w:pPr>
        <w:spacing w:after="0" w:line="40" w:lineRule="exact"/>
        <w:rPr>
          <w:rFonts w:ascii="Arial" w:cs="Arial" w:eastAsia="Arial" w:hAnsi="Arial"/>
          <w:sz w:val="16"/>
          <w:szCs w:val="16"/>
          <w:color w:val="auto"/>
        </w:rPr>
      </w:pPr>
    </w:p>
    <w:p>
      <w:pPr>
        <w:ind w:left="4" w:right="280" w:firstLine="436"/>
        <w:spacing w:after="0" w:line="263" w:lineRule="auto"/>
        <w:tabs>
          <w:tab w:leader="none" w:pos="689"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 Each Lender that is a United States person as defined in Section 7701(a)(30) of the Code shall deliver to the Borrower and the Administrative Agent on or before the date on which it becomes a party to this Agreement two duly completed and signed original copies of Internal Revenue Service Form W-9 certifying that such Lender is exempt from U.S. federal backup withholding.</w:t>
      </w:r>
    </w:p>
    <w:p>
      <w:pPr>
        <w:spacing w:after="0" w:line="76" w:lineRule="exact"/>
        <w:rPr>
          <w:sz w:val="20"/>
          <w:szCs w:val="20"/>
          <w:color w:val="auto"/>
        </w:rPr>
      </w:pPr>
    </w:p>
    <w:p>
      <w:pPr>
        <w:jc w:val="both"/>
        <w:ind w:left="4" w:right="120" w:firstLine="436"/>
        <w:spacing w:after="0" w:line="263" w:lineRule="auto"/>
        <w:tabs>
          <w:tab w:leader="none" w:pos="70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Each Lender that is a Foreign Lender shall deliver to the Borrower and the Administrative Agent on or before the date on which it becomes a party to this Agreement (and from time to time thereafter upon the request of the Borrower or the Administrative Agent) whichever of the following is applicable:</w:t>
      </w:r>
    </w:p>
    <w:p>
      <w:pPr>
        <w:spacing w:after="0" w:line="75" w:lineRule="exact"/>
        <w:rPr>
          <w:rFonts w:ascii="Arial" w:cs="Arial" w:eastAsia="Arial" w:hAnsi="Arial"/>
          <w:sz w:val="18"/>
          <w:szCs w:val="18"/>
          <w:color w:val="auto"/>
        </w:rPr>
      </w:pPr>
    </w:p>
    <w:p>
      <w:pPr>
        <w:ind w:left="444" w:right="440" w:firstLine="419"/>
        <w:spacing w:after="0" w:line="277" w:lineRule="auto"/>
        <w:tabs>
          <w:tab w:leader="none" w:pos="116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two duly completed signed original copies of Internal Revenue Service Form W-8BEN-E claiming eligibility for the benefits of an income tax treaty to which the United States is a party,</w:t>
      </w:r>
    </w:p>
    <w:p>
      <w:pPr>
        <w:spacing w:after="0" w:line="62" w:lineRule="exact"/>
        <w:rPr>
          <w:rFonts w:ascii="Arial" w:cs="Arial" w:eastAsia="Arial" w:hAnsi="Arial"/>
          <w:sz w:val="18"/>
          <w:szCs w:val="18"/>
          <w:color w:val="auto"/>
        </w:rPr>
      </w:pPr>
    </w:p>
    <w:p>
      <w:pPr>
        <w:ind w:left="1144" w:hanging="281"/>
        <w:spacing w:after="0"/>
        <w:tabs>
          <w:tab w:leader="none" w:pos="1144"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two duly completed signed original copies of Internal Revenue Service Form W-8ECI,</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4"/>
          </w:cols>
          <w:pgMar w:left="436" w:top="274" w:right="479" w:bottom="1440" w:gutter="0" w:footer="0" w:header="0"/>
        </w:sectPr>
      </w:pPr>
    </w:p>
    <w:bookmarkStart w:id="189" w:name="page190"/>
    <w:bookmarkEnd w:id="189"/>
    <w:p>
      <w:pPr>
        <w:ind w:left="440" w:right="200" w:firstLine="419"/>
        <w:spacing w:after="0" w:line="286" w:lineRule="auto"/>
        <w:tabs>
          <w:tab w:leader="none" w:pos="1148" w:val="left"/>
        </w:tabs>
        <w:numPr>
          <w:ilvl w:val="1"/>
          <w:numId w:val="1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the case of a Foreign Lender claiming the benefits of the exemption for portfolio interest under Section 881(c) of the Code, (A) two duly completed signed original certificates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(any such certificate a “</w:t>
      </w:r>
      <w:r>
        <w:rPr>
          <w:rFonts w:ascii="Arial" w:cs="Arial" w:eastAsia="Arial" w:hAnsi="Arial"/>
          <w:sz w:val="17"/>
          <w:szCs w:val="17"/>
          <w:u w:val="single" w:color="auto"/>
          <w:color w:val="auto"/>
        </w:rPr>
        <w:t>United States Tax Compliance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Certificate</w:t>
      </w:r>
      <w:r>
        <w:rPr>
          <w:rFonts w:ascii="Arial" w:cs="Arial" w:eastAsia="Arial" w:hAnsi="Arial"/>
          <w:sz w:val="17"/>
          <w:szCs w:val="17"/>
          <w:color w:val="auto"/>
        </w:rPr>
        <w:t>”) and (B) two duly completed signed original copies of Internal Revenue Service Form W-8BEN-E, or</w:t>
      </w:r>
    </w:p>
    <w:p>
      <w:pPr>
        <w:spacing w:after="0" w:line="57" w:lineRule="exact"/>
        <w:rPr>
          <w:rFonts w:ascii="Arial" w:cs="Arial" w:eastAsia="Arial" w:hAnsi="Arial"/>
          <w:sz w:val="17"/>
          <w:szCs w:val="17"/>
          <w:color w:val="auto"/>
        </w:rPr>
      </w:pPr>
    </w:p>
    <w:p>
      <w:pPr>
        <w:ind w:left="440" w:firstLine="419"/>
        <w:spacing w:after="0" w:line="293" w:lineRule="auto"/>
        <w:tabs>
          <w:tab w:leader="none" w:pos="1158" w:val="left"/>
        </w:tabs>
        <w:numPr>
          <w:ilvl w:val="1"/>
          <w:numId w:val="190"/>
        </w:numPr>
        <w:rPr>
          <w:rFonts w:ascii="Arial" w:cs="Arial" w:eastAsia="Arial" w:hAnsi="Arial"/>
          <w:sz w:val="16"/>
          <w:szCs w:val="16"/>
          <w:color w:val="auto"/>
        </w:rPr>
      </w:pPr>
      <w:r>
        <w:rPr>
          <w:rFonts w:ascii="Arial" w:cs="Arial" w:eastAsia="Arial" w:hAnsi="Arial"/>
          <w:sz w:val="16"/>
          <w:szCs w:val="16"/>
          <w:color w:val="auto"/>
        </w:rPr>
        <w:t xml:space="preserve">to the extent a Foreign Lender is not the beneficial owner (for example, where the Foreign Lender is a partnership, or is a Participant holding a participation granted by a participating Lender), two duly completed signed original copies of Internal Revenue Service Form W-8IMY, accompanied by a Form W-8ECI, W-8BEN, W-8BEN-E, United States Tax Compliance Certificate, Form W-9 or any other information from each beneficial owner that would be required under this Section 2.15(e) if such beneficial owner were a Lender,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Foreign Lender is a partnership (and not a participating Lender) and one or more beneficial owners of such Foreign Lender are claiming the portfolio interest exemption, such Foreign Lender may provide a U.S. Tax Compliance Certificate on behalf of each such beneficial owner.</w:t>
      </w:r>
    </w:p>
    <w:p>
      <w:pPr>
        <w:spacing w:after="0" w:line="56" w:lineRule="exact"/>
        <w:rPr>
          <w:rFonts w:ascii="Arial" w:cs="Arial" w:eastAsia="Arial" w:hAnsi="Arial"/>
          <w:sz w:val="16"/>
          <w:szCs w:val="16"/>
          <w:color w:val="auto"/>
        </w:rPr>
      </w:pPr>
    </w:p>
    <w:p>
      <w:pPr>
        <w:ind w:right="40" w:firstLine="436"/>
        <w:spacing w:after="0" w:line="259" w:lineRule="auto"/>
        <w:tabs>
          <w:tab w:leader="none" w:pos="75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Without limitation of its obligations under paragraphs (i) or (ii), each Lender shall, at such time as reasonably requested by the Borrower or the Administrative Agent, provide the Borrower and the Administrative Agent with any other documentation prescribed by applicable law or reasonably requested by the Borrower or the Administrative Agent, properly completed and executed, as will permit payments made to such Lender under the Loan Documents to be made without or at a reduced rate of withholding tax.</w:t>
      </w:r>
    </w:p>
    <w:p>
      <w:pPr>
        <w:spacing w:after="0" w:line="78" w:lineRule="exact"/>
        <w:rPr>
          <w:rFonts w:ascii="Arial" w:cs="Arial" w:eastAsia="Arial" w:hAnsi="Arial"/>
          <w:sz w:val="18"/>
          <w:szCs w:val="18"/>
          <w:color w:val="auto"/>
        </w:rPr>
      </w:pPr>
    </w:p>
    <w:p>
      <w:pPr>
        <w:ind w:right="20" w:firstLine="436"/>
        <w:spacing w:after="0" w:line="255" w:lineRule="auto"/>
        <w:tabs>
          <w:tab w:leader="none" w:pos="74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Lender shall deliver to the Borrower and the Administrative Agent two further signed original copies of any previously delivered form or certification (or any applicable successor form) on or before the date that any such form or certification expires or becomes obsolete or inaccurate and promptly after the occurrence of any event requiring a change in the most recent form previously delivered by it to the Borrower or the Administrative Agent, or promptly notify the Borrower and the Administrative Agent in writing that it is unable to do so. Each Lender shall promptly notify the Borrower and the Administrative Agent in writing at any time it determines that it is no longer in a position to provide any previously delivered form or certification to the Borrower or the Administrative Agent.</w:t>
      </w:r>
    </w:p>
    <w:p>
      <w:pPr>
        <w:spacing w:after="0" w:line="84" w:lineRule="exact"/>
        <w:rPr>
          <w:rFonts w:ascii="Arial" w:cs="Arial" w:eastAsia="Arial" w:hAnsi="Arial"/>
          <w:sz w:val="18"/>
          <w:szCs w:val="18"/>
          <w:color w:val="auto"/>
        </w:rPr>
      </w:pPr>
    </w:p>
    <w:p>
      <w:pPr>
        <w:ind w:right="260" w:firstLine="436"/>
        <w:spacing w:after="0" w:line="277" w:lineRule="auto"/>
        <w:tabs>
          <w:tab w:leader="none" w:pos="69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Notwithstanding any other provision of this paragraph (e), a Lender shall not be required to deliver any form that such Lender is not legally eligible to deliver.</w:t>
      </w:r>
    </w:p>
    <w:p>
      <w:pPr>
        <w:spacing w:after="0" w:line="62" w:lineRule="exact"/>
        <w:rPr>
          <w:rFonts w:ascii="Arial" w:cs="Arial" w:eastAsia="Arial" w:hAnsi="Arial"/>
          <w:sz w:val="18"/>
          <w:szCs w:val="18"/>
          <w:color w:val="auto"/>
        </w:rPr>
      </w:pPr>
    </w:p>
    <w:p>
      <w:pPr>
        <w:ind w:right="140" w:firstLine="436"/>
        <w:spacing w:after="0" w:line="277" w:lineRule="auto"/>
        <w:tabs>
          <w:tab w:leader="none" w:pos="74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Administrative Agent in its capacity as such shall, to the extent it is legally eligible to do so, from time to time deliver to the Borrower a properly executed copy of Internal Revenue Service Form W-8IMY or W-9, as applicable.</w:t>
      </w:r>
    </w:p>
    <w:p>
      <w:pPr>
        <w:spacing w:after="0" w:line="62" w:lineRule="exact"/>
        <w:rPr>
          <w:rFonts w:ascii="Arial" w:cs="Arial" w:eastAsia="Arial" w:hAnsi="Arial"/>
          <w:sz w:val="18"/>
          <w:szCs w:val="18"/>
          <w:color w:val="auto"/>
        </w:rPr>
      </w:pPr>
    </w:p>
    <w:p>
      <w:pPr>
        <w:ind w:right="60" w:firstLine="436"/>
        <w:spacing w:after="0" w:line="290" w:lineRule="auto"/>
        <w:tabs>
          <w:tab w:leader="none" w:pos="79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Lender has complied with such Lender’s obligations under FATCA or to determine the amount, if any, to deduct and withhold from such payment. Solely for purposes of this clause (vii), “FATCA” shall include any amendments made to FATCA after the date of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190" w:name="page191"/>
    <w:bookmarkEnd w:id="190"/>
    <w:p>
      <w:pPr>
        <w:ind w:right="880" w:firstLine="436"/>
        <w:spacing w:after="0" w:line="277" w:lineRule="auto"/>
        <w:tabs>
          <w:tab w:leader="none" w:pos="665" w:val="left"/>
        </w:tabs>
        <w:numPr>
          <w:ilvl w:val="0"/>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Lender hereby authorizes the Administrative Agent to deliver to the Borrower and to any successor Administrative Agent any documentation provided by such Lender to the Administrative Agent pursuant to Section 2.15(e).</w:t>
      </w:r>
    </w:p>
    <w:p>
      <w:pPr>
        <w:spacing w:after="0" w:line="62" w:lineRule="exact"/>
        <w:rPr>
          <w:rFonts w:ascii="Arial" w:cs="Arial" w:eastAsia="Arial" w:hAnsi="Arial"/>
          <w:sz w:val="18"/>
          <w:szCs w:val="18"/>
          <w:color w:val="auto"/>
        </w:rPr>
      </w:pPr>
    </w:p>
    <w:p>
      <w:pPr>
        <w:ind w:right="160" w:firstLine="436"/>
        <w:spacing w:after="0" w:line="269" w:lineRule="auto"/>
        <w:tabs>
          <w:tab w:leader="none" w:pos="69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If the Administrative Agent, an Issuing Bank or a Lender determines, in its reasonable discretion, that it has received a refund of any Indemnified Taxes or Other Taxes as to which it has been indemnified by the Borrower or with respect to which the Borrower has paid additional amounts pursuant to this Section 2.15, it shall pay over such refund to the Borrower (but only to the extent of indemnity payments made, or additional amounts paid, by the Borrower under this Section 2.15 with respect to the Indemnified Taxes or Other Taxes giving rise to such refund), net of all reasonable expenses (including any Taxes) of the Administrative Agent, such Issuing Bank or such Lender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upon the request of the Administrative Agent, such Issuing Bank or such Lender, agrees to repay the amount paid over to the Borrower (plus any penalties, interest or other charges imposed by the relevant Governmental Authority) to the Administrative Agent, such Issuing Bank or such Lender in the event the Administrative Agent, such Issuing Bank or such Lender is required to repay such refund to such Governmental Authority. This Section 2.15 shall not be construed to require the Administrative Agent, such Issuing Bank or any Lender to make available its tax returns (or any other information relating to its taxes that it deems confidential) to the Borrower or any other Person.</w:t>
      </w:r>
    </w:p>
    <w:p>
      <w:pPr>
        <w:spacing w:after="0" w:line="73" w:lineRule="exact"/>
        <w:rPr>
          <w:rFonts w:ascii="Arial" w:cs="Arial" w:eastAsia="Arial" w:hAnsi="Arial"/>
          <w:sz w:val="17"/>
          <w:szCs w:val="17"/>
          <w:color w:val="auto"/>
        </w:rPr>
      </w:pPr>
    </w:p>
    <w:p>
      <w:pPr>
        <w:ind w:firstLine="436"/>
        <w:spacing w:after="0" w:line="287" w:lineRule="auto"/>
        <w:tabs>
          <w:tab w:leader="none" w:pos="69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The Administrative Agent and each Lender shall use commercially reasonable efforts to cooperate with the Borrower in attempting to recover any Indemnified Taxes and Other Taxes that the Borrower reasonably asserts were improperly imposed if (i) in the reasonable judgment of the Administrative Agent or such Lender, as applicable, such cooperation would not subject the Administrative Agent or such Lender, as applicable, to any unreimbursed cost or expense or otherwise be materially disadvantageous to the Administrative Agent or such Lender, as applicable, and (ii) based on written advice of the Borrower’s independent accountants or external legal counsel delivered to such Administrative Agent or Lender, there is a reasonable basis for the Borrower to contest with the applicable Governmental Authority the imposition of such Indemnified Taxes or Other Taxes;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attempts shall be at the sole cost of the Borrower and the Borrower shall indemnify the Administrative Agent and each Lender for any costs it incurs in connection with complying with this Section 2.15(h). In such event, the applicable Administrative Agent or Lender shall only be required to pursue the applicable refund in a commercially reasonable manner, and at the Borrower’s sole cost and expense. In no event will this Section 2.15(h) relieve the Borrower of its obligation to pay any additional amounts or indemnification payments to the Administrative Agent or any Lender under this Section 2.15. Any refund obtained shall be repaid to the Borrower to the extent provided in Section 2.15(g).</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w:t>
      </w:r>
    </w:p>
    <w:p>
      <w:pPr>
        <w:spacing w:after="0" w:line="117" w:lineRule="exact"/>
        <w:rPr>
          <w:sz w:val="20"/>
          <w:szCs w:val="20"/>
          <w:color w:val="auto"/>
        </w:rPr>
      </w:pPr>
    </w:p>
    <w:p>
      <w:pPr>
        <w:ind w:right="100" w:firstLine="436"/>
        <w:spacing w:after="0" w:line="270" w:lineRule="auto"/>
        <w:tabs>
          <w:tab w:leader="none" w:pos="68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Borrower shall make each payment required to be made by it under any Loan Document (whether of principal, interest, fees or reimbursement of LC Borrowings or LC Disbursements, or of amounts payable under Section 2.13, 2.14 or 2.15, or otherwise) prior to the time expressly required hereunder or under such other Loan Document for such payment (or, if no such time is expressly required, prior to 3:00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Office, except payments to be made directly to the applicable Issuing Bank as expressly provided herein and except that payments pursuant to Sections 2.13, 2.14, 2.15 and 9.03 shall be made directly to the Persons entitled thereto and payments pursuant to other Loan Documents shall be made to the Persons specified therein. The Administrative Agent shall distribute any such payments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191" w:name="page192"/>
    <w:bookmarkEnd w:id="19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Except as otherwise expressly provided herein and except with respect to principal of and interest on Loans denominated in an Alternative Currency, all payments by the Borrower hereunder shall be made to the Administrative Agent, for the account of the respective Lenders to which such payment is owed, at the applicable Administrative Agent’s Office in Dollars and in Same Day Funds. Except as otherwise expressly provided herein, all payments by the Borrower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If, for any reason, the Borrower is prohibited by any Requirement of Law from making any required payment hereunder in an Alternative Currency, the Borrower shall make such payment in Dollars in the Dollar Equivalent of the Alternative Currency payment amount. The Administrative Agent will promptly distribute to each Lender its pro rata (or other applicable share as provided herein) of such payment in like funds as received by wire transfer to such Lender’s lending office.</w:t>
      </w:r>
    </w:p>
    <w:p>
      <w:pPr>
        <w:spacing w:after="0" w:line="71" w:lineRule="exact"/>
        <w:rPr>
          <w:sz w:val="20"/>
          <w:szCs w:val="20"/>
          <w:color w:val="auto"/>
        </w:rPr>
      </w:pPr>
    </w:p>
    <w:p>
      <w:pPr>
        <w:ind w:right="120" w:firstLine="436"/>
        <w:spacing w:after="0" w:line="255" w:lineRule="auto"/>
        <w:tabs>
          <w:tab w:leader="none" w:pos="69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Subject to Section 2.16(e), if at any time insufficient funds are received by and available to the Administrative Agent to pay fully all amounts of principal, unreimbursed LC Borrowings and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Borrowings and LC Disbursements then due hereunder, ratably among the parties entitled thereto in accordance with the amounts of principal and unreimbursed LC Borrowings and LC Disbursements then due to such parties.</w:t>
      </w:r>
    </w:p>
    <w:p>
      <w:pPr>
        <w:spacing w:after="0" w:line="84" w:lineRule="exact"/>
        <w:rPr>
          <w:rFonts w:ascii="Arial" w:cs="Arial" w:eastAsia="Arial" w:hAnsi="Arial"/>
          <w:sz w:val="18"/>
          <w:szCs w:val="18"/>
          <w:color w:val="auto"/>
        </w:rPr>
      </w:pPr>
    </w:p>
    <w:p>
      <w:pPr>
        <w:ind w:right="20" w:firstLine="436"/>
        <w:spacing w:after="0" w:line="286" w:lineRule="auto"/>
        <w:tabs>
          <w:tab w:leader="none" w:pos="68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Subject to Section 2.16(e), if any Lender under either Facility shall, by exercising any right of setoff or counterclaim or otherwise, obtain payment in respect of any principal of or interest on any of its Revolving Loans or LC Advances resulting in such Lender receiving payment of a greater proportion of the aggregate amount of its Revolving Loans and LC Advances and accrued interest thereon than the proportion received by any other Lender under such Facility, then the Lender receiving such greater proportion shall purchase (for cash at face value) participations in the Revolving Loans and participations in LC Disbursements of other Lenders in such Facility to the extent necessary so that the benefit of all such payments shall be shared by the Lenders ratably in accordance with the aggregate amount of principal of and accrued interest on their respective Revolving Loans and participations in LC Disbursements in such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(x) any payment made by the Borrower pursuant to and in accordance with the express terms of this Agreement (including the application of funds arising from the existence of a Defaulting Lender), (y) the application of Cash Collateral as provided in Section 2.05 or (z) any payment obtained by a Lender as consideration for the assignment of or sale of a participation in any of its Loans or participations in LC Disbursements to any assignee or participant, other than to the Borrower or any Subsidiary or other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192" w:name="page193"/>
    <w:bookmarkEnd w:id="192"/>
    <w:p>
      <w:pPr>
        <w:ind w:right="60" w:firstLine="436"/>
        <w:spacing w:after="0" w:line="291" w:lineRule="auto"/>
        <w:tabs>
          <w:tab w:leader="none" w:pos="695" w:val="left"/>
        </w:tabs>
        <w:numPr>
          <w:ilvl w:val="0"/>
          <w:numId w:val="1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Unless the Administrative Agent shall have received notice from the Borrower prior to the date on which any payment is due to the Administrative Agent for the account of the Lenders or an Issuing Bank hereunder that the Borrower will not make such payment, the Administrative Agent may assume that the Borrower has made such payment on such date in accordance herewith and may, in reliance upon such assumption and in its sole discretion, distribute to the Lenders or the applicable Issuing Bank, as the case may be, the amount due. In such event, if the Borrower has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Overnight Rate.</w:t>
      </w:r>
    </w:p>
    <w:p>
      <w:pPr>
        <w:spacing w:after="0" w:line="58" w:lineRule="exact"/>
        <w:rPr>
          <w:rFonts w:ascii="Arial" w:cs="Arial" w:eastAsia="Arial" w:hAnsi="Arial"/>
          <w:sz w:val="16"/>
          <w:szCs w:val="16"/>
          <w:color w:val="auto"/>
        </w:rPr>
      </w:pPr>
    </w:p>
    <w:p>
      <w:pPr>
        <w:ind w:right="140" w:firstLine="436"/>
        <w:spacing w:after="0" w:line="259" w:lineRule="auto"/>
        <w:tabs>
          <w:tab w:leader="none" w:pos="68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any Lender shall fail to make any payment required to be made by it pursuant to Section 2.05(c), 2.03(b) or (g), 2.16(d) or 9.03(c),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72" w:lineRule="auto"/>
        <w:tabs>
          <w:tab w:leader="none" w:pos="685"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If any Lender requests compensation under Section 2.13, or if the Borrower is required to pay any additional amount to any Lender or any Governmental Authority for the account of any Lender pursuant to Section 2.15,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2.13 or 2.15, as the case may be, in the future and (ii) would not subject such Lender to any unreimbursed cost or expense and would not be inconsistent with its internal policies or otherwise be disadvantageous to such Lender. The Borrower hereby agrees to pay all reasonable costs and expenses incurred by any Lender in connection with any such designation or assignment.</w:t>
      </w:r>
    </w:p>
    <w:p>
      <w:pPr>
        <w:spacing w:after="0" w:line="69" w:lineRule="exact"/>
        <w:rPr>
          <w:rFonts w:ascii="Arial" w:cs="Arial" w:eastAsia="Arial" w:hAnsi="Arial"/>
          <w:sz w:val="17"/>
          <w:szCs w:val="17"/>
          <w:color w:val="auto"/>
        </w:rPr>
      </w:pPr>
    </w:p>
    <w:p>
      <w:pPr>
        <w:ind w:firstLine="436"/>
        <w:spacing w:after="0" w:line="285" w:lineRule="auto"/>
        <w:tabs>
          <w:tab w:leader="none" w:pos="69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If any Lender requests compensation under Section 2.13, or if the Borrower is required to pay any additional amount to any Lender or any Governmental Authority for the account of any Lender pursuant to Section 2.15, or if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have received the prior written consent of the Administrative Agent (and, if a Revolving Commitment is being assigned, the Issuing Banks), which consent shall not unreasonably be withheld, (ii) such Lender shall have received payment of an amount equal to the outstanding principal of its Loans and LC Advances, accrued interest thereon, accrued fees and all other amounts payable to it hereunder from the assignee or the Borrower, (iii) the Borrower or such assignee shall have paid to the Administrative Agent the processing and recordation fee specified in Section 9.04(b) and (iv) in the case of any such assignment resulting from a claim for compensation under Section 2.13 or payments required to be made pursuant to Section 2.15,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Additionally, at any time that a Lender is a Defaulting Lender, the Borrower may elect to terminate the Commitment of such Lender so long as any resulting change in the Revolving Exposures as a result of such termination would not cause the Revolving Exposure of any Revolving Lender to exceed the Revolving Commitment of such Revolving Lender except in the case of any Revolving Loans of such Defaulting Lender that are then outstanding (in which case, the Borrower may only terminate the unused portion of such Defaulting Lender’s Revolving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any prepayment of Revolving Loans by the Borrower following any such termination, the outstanding Revolving Loans of such Defaulting Lender shall be prepaid as if its Revolving Commitment was as in effect at the time such Defaulting Lender became a Defaulting Lender).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193" w:name="page194"/>
    <w:bookmarkEnd w:id="193"/>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2.18 </w:t>
      </w:r>
      <w:r>
        <w:rPr>
          <w:rFonts w:ascii="Arial" w:cs="Arial" w:eastAsia="Arial" w:hAnsi="Arial"/>
          <w:sz w:val="18"/>
          <w:szCs w:val="18"/>
          <w:u w:val="single" w:color="auto"/>
          <w:color w:val="auto"/>
        </w:rPr>
        <w:t>Incremental Revolving Commitments</w:t>
      </w:r>
      <w:r>
        <w:rPr>
          <w:rFonts w:ascii="Arial" w:cs="Arial" w:eastAsia="Arial" w:hAnsi="Arial"/>
          <w:sz w:val="18"/>
          <w:szCs w:val="18"/>
          <w:color w:val="auto"/>
        </w:rPr>
        <w:t>.</w:t>
      </w:r>
    </w:p>
    <w:p>
      <w:pPr>
        <w:spacing w:after="0" w:line="117" w:lineRule="exact"/>
        <w:rPr>
          <w:sz w:val="20"/>
          <w:szCs w:val="20"/>
          <w:color w:val="auto"/>
        </w:rPr>
      </w:pPr>
    </w:p>
    <w:p>
      <w:pPr>
        <w:ind w:left="-60" w:firstLine="436"/>
        <w:spacing w:after="0" w:line="288" w:lineRule="auto"/>
        <w:tabs>
          <w:tab w:leader="none" w:pos="62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At any time and from time to time prior to the Maturity Date, subject to the terms and conditions set forth herein, the Borrower may, by notice to the Administrative Agent (whereupon the Administrative Agent shall promptly deliver a copy to each of the Lenders), request to increase the existing Revolving Commitments under either Facility (“</w:t>
      </w:r>
      <w:r>
        <w:rPr>
          <w:rFonts w:ascii="Arial" w:cs="Arial" w:eastAsia="Arial" w:hAnsi="Arial"/>
          <w:sz w:val="16"/>
          <w:szCs w:val="16"/>
          <w:u w:val="single" w:color="auto"/>
          <w:color w:val="auto"/>
        </w:rPr>
        <w:t>Incremental Revolving Commitments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each such request and upon the effectiveness of each Incremental Facility Amendment, (A) no Default has occurred and is continuing or shall result therefrom, (B) the Borrower shall be in compliance on a Pro Forma Basis with the covenant contained in Section 6.06 recomputed as of the last day of the most recent fiscal quarter for which financial statements have been or were required to be delivered pursuant to paragraph (a) or (b) of Section 5.01, and (C) the Borrower shall have delivered a certificate of a Financial Officer to the effect set forth in clauses (A) and (B) above, together with all calculations relevant thereto, including reasonably detailed calculations demonstrating compliance with clause (B) above. Notwithstanding anything to the contrary herein, the aggregate principal amount of the Incremental Revolving Commitments shall not exceed $625,000,000. Each exercise of the Borrower’s right to seek Incremental Revolving Commitments shall be in an integral multiple of $1,000,000 and be in an aggregate principal amount that is not less than $25,000,000.</w:t>
      </w:r>
    </w:p>
    <w:p>
      <w:pPr>
        <w:spacing w:after="0" w:line="60" w:lineRule="exact"/>
        <w:rPr>
          <w:rFonts w:ascii="Arial" w:cs="Arial" w:eastAsia="Arial" w:hAnsi="Arial"/>
          <w:sz w:val="16"/>
          <w:szCs w:val="16"/>
          <w:color w:val="auto"/>
        </w:rPr>
      </w:pPr>
    </w:p>
    <w:p>
      <w:pPr>
        <w:ind w:left="-60" w:right="20" w:firstLine="436"/>
        <w:spacing w:after="0" w:line="268" w:lineRule="auto"/>
        <w:tabs>
          <w:tab w:leader="none" w:pos="63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Each notice from the Borrower pursuant to this Section 2.18 shall set forth the requested amount and proposed terms of the relevant Incremental Revolving Commitments. Any additional bank, financial institution, existing Lender or other Person that elects to extend Incremental Revolving Commitments (any such bank, financial institution, existing Lender or other Person being called an “</w:t>
      </w:r>
      <w:r>
        <w:rPr>
          <w:rFonts w:ascii="Arial" w:cs="Arial" w:eastAsia="Arial" w:hAnsi="Arial"/>
          <w:sz w:val="17"/>
          <w:szCs w:val="17"/>
          <w:u w:val="single" w:color="auto"/>
          <w:color w:val="auto"/>
        </w:rPr>
        <w:t>Additional Lender</w:t>
      </w:r>
      <w:r>
        <w:rPr>
          <w:rFonts w:ascii="Arial" w:cs="Arial" w:eastAsia="Arial" w:hAnsi="Arial"/>
          <w:sz w:val="17"/>
          <w:szCs w:val="17"/>
          <w:color w:val="auto"/>
        </w:rPr>
        <w:t>”) shall be reasonably satisfactory to the Borrower and the Administrative Agent and, if not already a Lender, shall become a Lender under this Agreement pursuant to an amendment (an “</w:t>
      </w:r>
      <w:r>
        <w:rPr>
          <w:rFonts w:ascii="Arial" w:cs="Arial" w:eastAsia="Arial" w:hAnsi="Arial"/>
          <w:sz w:val="17"/>
          <w:szCs w:val="17"/>
          <w:u w:val="single" w:color="auto"/>
          <w:color w:val="auto"/>
        </w:rPr>
        <w:t>Incremental Facility Amendment</w:t>
      </w:r>
      <w:r>
        <w:rPr>
          <w:rFonts w:ascii="Arial" w:cs="Arial" w:eastAsia="Arial" w:hAnsi="Arial"/>
          <w:sz w:val="17"/>
          <w:szCs w:val="17"/>
          <w:color w:val="auto"/>
        </w:rPr>
        <w:t>”) to this Agreement and, as appropriate, the other Loan Documents, executed by the Borrower, such Additional Lender and the Administrative Agent. No Lender shall be obligated to provide any Incremental Revolving Commitment unless, in its sole discretion, it so agrees. An Incremental Facility Amendment may, without the consent of any other Lenders, effect such amendments to any Loan Documents as may be necessary or appropriate, in the opinion of the Administrative Agent, to effect the provisions of this Section 2.18 (including to provide for voting provisions applicable to the Additional Lenders comparable to the provisions of clause (2) of the second proviso of Section 9.02(b)). The effectiveness of any Incremental Facility Amendment shall, unless otherwise agreed to by the Administrative Agent and the Additional Lenders, be subject to the satisfaction on the date thereof (each, an “</w:t>
      </w:r>
      <w:r>
        <w:rPr>
          <w:rFonts w:ascii="Arial" w:cs="Arial" w:eastAsia="Arial" w:hAnsi="Arial"/>
          <w:sz w:val="17"/>
          <w:szCs w:val="17"/>
          <w:u w:val="single" w:color="auto"/>
          <w:color w:val="auto"/>
        </w:rPr>
        <w:t>Incremental Facility Closing Date</w:t>
      </w:r>
      <w:r>
        <w:rPr>
          <w:rFonts w:ascii="Arial" w:cs="Arial" w:eastAsia="Arial" w:hAnsi="Arial"/>
          <w:sz w:val="17"/>
          <w:szCs w:val="17"/>
          <w:color w:val="auto"/>
        </w:rPr>
        <w:t>”) of each of the conditions set forth in Section 4.02 (it being understood that all references to “the date of such Borrowing” in Section 4.02 shall be deemed to refer to the Incremental Facility Closing Date). The Administrative Agent shall receive not less than 10 Business Days’ advance notice (or shorter, if agreed by the Administrative Agent) prior to any proposed Incremental Facility Closing Date.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00"/>
          </w:cols>
          <w:pgMar w:left="500" w:top="274" w:right="499" w:bottom="1440" w:gutter="0" w:footer="0" w:header="0"/>
        </w:sectPr>
      </w:pPr>
    </w:p>
    <w:bookmarkStart w:id="194" w:name="page195"/>
    <w:bookmarkEnd w:id="19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2.19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117" w:lineRule="exact"/>
        <w:rPr>
          <w:sz w:val="20"/>
          <w:szCs w:val="20"/>
          <w:color w:val="auto"/>
        </w:rPr>
      </w:pPr>
    </w:p>
    <w:p>
      <w:pPr>
        <w:ind w:right="240" w:firstLine="436"/>
        <w:spacing w:after="0" w:line="277" w:lineRule="auto"/>
        <w:tabs>
          <w:tab w:leader="none" w:pos="685"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62" w:lineRule="exact"/>
        <w:rPr>
          <w:rFonts w:ascii="Arial" w:cs="Arial" w:eastAsia="Arial" w:hAnsi="Arial"/>
          <w:sz w:val="18"/>
          <w:szCs w:val="18"/>
          <w:color w:val="auto"/>
        </w:rPr>
      </w:pPr>
    </w:p>
    <w:p>
      <w:pPr>
        <w:ind w:left="440" w:right="200" w:firstLine="419"/>
        <w:spacing w:after="0" w:line="277" w:lineRule="auto"/>
        <w:tabs>
          <w:tab w:leader="none" w:pos="1078"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Such Defaulting Lender’s right to approve or disapprove any amendment, waiver or consent with respect to this Agreement shall be restricted as set forth in the definition of “Required Lenders” and Section 9.02.</w:t>
      </w:r>
    </w:p>
    <w:p>
      <w:pPr>
        <w:spacing w:after="0" w:line="62" w:lineRule="exact"/>
        <w:rPr>
          <w:rFonts w:ascii="Arial" w:cs="Arial" w:eastAsia="Arial" w:hAnsi="Arial"/>
          <w:sz w:val="18"/>
          <w:szCs w:val="18"/>
          <w:color w:val="auto"/>
        </w:rPr>
      </w:pPr>
    </w:p>
    <w:p>
      <w:pPr>
        <w:ind w:left="440" w:firstLine="419"/>
        <w:spacing w:after="0" w:line="284" w:lineRule="auto"/>
        <w:tabs>
          <w:tab w:leader="none" w:pos="1128" w:val="left"/>
        </w:tabs>
        <w:numPr>
          <w:ilvl w:val="1"/>
          <w:numId w:val="198"/>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under this Agreement or the other Loan Documents (whether voluntary or mandatory, at maturity, pursuant to Article VII or otherwise) or received by the Administrative Agent from a Defaulting Lender pursuant to Section 9.08 shall be applied at such time or times as may be determined by the Administrative Agent (but in no event later than 5 Business Days after receipt)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such Defaulting Lender to any Issuing Bank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the Issuing Bank’s Fronting Exposure with respect to such Defaulting Lender in accordance with Section 2.05 with a corresponding release of any Cash Collateral provided by the Borrower and/or a reversal of any reallocations made among the Lenders with respect to such Fronting Exposure pursuant to Section 2.19(a)(iv); </w:t>
      </w:r>
      <w:r>
        <w:rPr>
          <w:rFonts w:ascii="Arial" w:cs="Arial" w:eastAsia="Arial" w:hAnsi="Arial"/>
          <w:sz w:val="16"/>
          <w:szCs w:val="16"/>
          <w:i w:val="1"/>
          <w:iCs w:val="1"/>
          <w:color w:val="auto"/>
        </w:rPr>
        <w:t>fourth</w:t>
      </w:r>
      <w:r>
        <w:rPr>
          <w:rFonts w:ascii="Arial" w:cs="Arial" w:eastAsia="Arial" w:hAnsi="Arial"/>
          <w:sz w:val="16"/>
          <w:szCs w:val="16"/>
          <w:color w:val="auto"/>
        </w:rPr>
        <w:t>, as the Borrower may request (so long as no Default or Event of Default exists), to the funding of any Loan or funded participation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deposit account and released in order to (x) satisfy such Defaulting Lender’s potential future funding obligations with respect to Loans and funded participations under this Agreement and (y) Cash Collateralize the Issuing Banks’ future Fronting Exposure with respect to such Defaulting Lender with respect to future Letters of Credit issued under this Agreement, in accordance with Section 2.05;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or Issuing Banks as a result of any judgment of a court of competent jurisdiction obtained by any Lender or Issuing Bank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funded participations in Letters of Credit in respect of which such Defaulting Lender has not fully funded its appropriate share, and (y) such Loans were made or the related Letters of Credit were issued at a time when the relevant conditions set forth in Article IV were satisfied or waived, such payment shall be applied solely to pay the Loans of, and funded participations owed to, all Non-Defaulting Lenders on a pro rata basis prior to being applied to the payment of any Loans of, or funded participations in Letters of Credit owed to, such Defaulting Lender until such time as all Loans and funded and unfunded participations in Letters of Credit are held by the Lenders pro rata in accordance with the Commitments hereunder without giving effect to Section 2.19(a)(iv). Any payments, prepayments or other amounts paid or payable to a Defaulting Lender that are applied (or held) to pay amounts owed by a Defaulting Lender or to post Cash Collateral pursuant to this Section 2.19(a)(ii) shall be deemed paid to and redirected by such Defaulting Lender, and each Lender irrevocably consents hereto.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195" w:name="page196"/>
    <w:bookmarkEnd w:id="195"/>
    <w:p>
      <w:pPr>
        <w:ind w:left="1160" w:hanging="321"/>
        <w:spacing w:after="0"/>
        <w:tabs>
          <w:tab w:leader="none" w:pos="1160"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60" w:right="20" w:firstLine="408"/>
        <w:spacing w:after="0" w:line="311" w:lineRule="auto"/>
        <w:tabs>
          <w:tab w:leader="none" w:pos="1656" w:val="left"/>
        </w:tabs>
        <w:numPr>
          <w:ilvl w:val="2"/>
          <w:numId w:val="199"/>
        </w:numPr>
        <w:rPr>
          <w:rFonts w:ascii="Arial" w:cs="Arial" w:eastAsia="Arial" w:hAnsi="Arial"/>
          <w:sz w:val="16"/>
          <w:szCs w:val="16"/>
          <w:color w:val="auto"/>
        </w:rPr>
      </w:pPr>
      <w:r>
        <w:rPr>
          <w:rFonts w:ascii="Arial" w:cs="Arial" w:eastAsia="Arial" w:hAnsi="Arial"/>
          <w:sz w:val="16"/>
          <w:szCs w:val="16"/>
          <w:color w:val="auto"/>
        </w:rPr>
        <w:t>Each Defaulting Lender shall be entitled to receive fees payable under Section 2.10(a) for any period during which that Lender is a Defaulting Lender only to the extent allocable to the sum of (1) the outstanding principal amount of the Loans funded by it, and (2) its Applicable Percentage of the stated amount of Letters of Credit for which it has provided Cash Collateral pursuant to Section 2.19(a)(ii).</w:t>
      </w:r>
    </w:p>
    <w:p>
      <w:pPr>
        <w:spacing w:after="0" w:line="40" w:lineRule="exact"/>
        <w:rPr>
          <w:rFonts w:ascii="Arial" w:cs="Arial" w:eastAsia="Arial" w:hAnsi="Arial"/>
          <w:sz w:val="16"/>
          <w:szCs w:val="16"/>
          <w:color w:val="auto"/>
        </w:rPr>
      </w:pPr>
    </w:p>
    <w:p>
      <w:pPr>
        <w:ind w:left="960" w:right="60" w:firstLine="408"/>
        <w:spacing w:after="0" w:line="263" w:lineRule="auto"/>
        <w:tabs>
          <w:tab w:leader="none" w:pos="1646" w:val="left"/>
        </w:tabs>
        <w:numPr>
          <w:ilvl w:val="2"/>
          <w:numId w:val="199"/>
        </w:numPr>
        <w:rPr>
          <w:rFonts w:ascii="Arial" w:cs="Arial" w:eastAsia="Arial" w:hAnsi="Arial"/>
          <w:sz w:val="18"/>
          <w:szCs w:val="18"/>
          <w:color w:val="auto"/>
        </w:rPr>
      </w:pPr>
      <w:r>
        <w:rPr>
          <w:rFonts w:ascii="Arial" w:cs="Arial" w:eastAsia="Arial" w:hAnsi="Arial"/>
          <w:sz w:val="18"/>
          <w:szCs w:val="18"/>
          <w:color w:val="auto"/>
        </w:rPr>
        <w:t>Each Defaulting Lender shall be entitled to receive fees pursuant to Section 2.10(b)(i) for any period during which that Lender is a Defaulting Lender only to the extent allocable to its Applicable Percentage of the stated amount of Letters of Credit for which it has provided Cash Collateral pursuant to Section 2.19(a)(ii).</w:t>
      </w:r>
    </w:p>
    <w:p>
      <w:pPr>
        <w:spacing w:after="0" w:line="75" w:lineRule="exact"/>
        <w:rPr>
          <w:rFonts w:ascii="Arial" w:cs="Arial" w:eastAsia="Arial" w:hAnsi="Arial"/>
          <w:sz w:val="18"/>
          <w:szCs w:val="18"/>
          <w:color w:val="auto"/>
        </w:rPr>
      </w:pPr>
    </w:p>
    <w:p>
      <w:pPr>
        <w:ind w:left="960" w:right="100" w:firstLine="408"/>
        <w:spacing w:after="0" w:line="255" w:lineRule="auto"/>
        <w:tabs>
          <w:tab w:leader="none" w:pos="1646" w:val="left"/>
        </w:tabs>
        <w:numPr>
          <w:ilvl w:val="2"/>
          <w:numId w:val="199"/>
        </w:numPr>
        <w:rPr>
          <w:rFonts w:ascii="Arial" w:cs="Arial" w:eastAsia="Arial" w:hAnsi="Arial"/>
          <w:sz w:val="18"/>
          <w:szCs w:val="18"/>
          <w:color w:val="auto"/>
        </w:rPr>
      </w:pPr>
      <w:r>
        <w:rPr>
          <w:rFonts w:ascii="Arial" w:cs="Arial" w:eastAsia="Arial" w:hAnsi="Arial"/>
          <w:sz w:val="18"/>
          <w:szCs w:val="18"/>
          <w:color w:val="auto"/>
        </w:rPr>
        <w:t>With respect to any fee payable under Section 2.10(a) or (b)(i) not required to be paid to any Defaulting Lender pursuant to clause (A) or (B) above, the Borrower shall (x) pay to each Non-Defaulting Lender that portion of any such fee otherwise payable to such Defaulting Lender with respect to such Defaulting Lender’s participation in Letters of Credit that has been reallocated to such Non-Defaulting Lender pursuant to clause (iv) below, (y) pay to each Issuing Bank the amount of any such fee otherwise payable to such Defaulting Lender to the extent allocable to such Issuing Bank’s Fronting Exposure to such Defaulting Lender, and (z) not be required to pay the remaining amount of any such fee.</w:t>
      </w:r>
    </w:p>
    <w:p>
      <w:pPr>
        <w:spacing w:after="0" w:line="84" w:lineRule="exact"/>
        <w:rPr>
          <w:rFonts w:ascii="Arial" w:cs="Arial" w:eastAsia="Arial" w:hAnsi="Arial"/>
          <w:sz w:val="18"/>
          <w:szCs w:val="18"/>
          <w:color w:val="auto"/>
        </w:rPr>
      </w:pPr>
    </w:p>
    <w:p>
      <w:pPr>
        <w:ind w:left="420" w:right="200" w:firstLine="419"/>
        <w:spacing w:after="0" w:line="293" w:lineRule="auto"/>
        <w:tabs>
          <w:tab w:leader="none" w:pos="1148" w:val="left"/>
        </w:tabs>
        <w:numPr>
          <w:ilvl w:val="1"/>
          <w:numId w:val="199"/>
        </w:numPr>
        <w:rPr>
          <w:rFonts w:ascii="Arial" w:cs="Arial" w:eastAsia="Arial" w:hAnsi="Arial"/>
          <w:sz w:val="16"/>
          <w:szCs w:val="16"/>
          <w:color w:val="auto"/>
        </w:rPr>
      </w:pPr>
      <w:r>
        <w:rPr>
          <w:rFonts w:ascii="Arial" w:cs="Arial" w:eastAsia="Arial" w:hAnsi="Arial"/>
          <w:sz w:val="16"/>
          <w:szCs w:val="16"/>
          <w:u w:val="single" w:color="auto"/>
          <w:color w:val="auto"/>
        </w:rPr>
        <w:t>Reallocation of Applicable Percentages to Reduce Fronting Exposure</w:t>
      </w:r>
      <w:r>
        <w:rPr>
          <w:rFonts w:ascii="Arial" w:cs="Arial" w:eastAsia="Arial" w:hAnsi="Arial"/>
          <w:sz w:val="16"/>
          <w:szCs w:val="16"/>
          <w:color w:val="auto"/>
        </w:rPr>
        <w:t>. All or any part of such Defaulting Lender’s participation in Letters of Credit shall be reallocated among the Non-Defaulting Lenders in accordance with their respective Applicable Percentages (calculated without regard to such Defaulting Lender’s Commitment) but only to the extent that such reallocation does not cause the aggregate Revolving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56" w:lineRule="exact"/>
        <w:rPr>
          <w:rFonts w:ascii="Arial" w:cs="Arial" w:eastAsia="Arial" w:hAnsi="Arial"/>
          <w:sz w:val="16"/>
          <w:szCs w:val="16"/>
          <w:color w:val="auto"/>
        </w:rPr>
      </w:pPr>
    </w:p>
    <w:p>
      <w:pPr>
        <w:jc w:val="both"/>
        <w:ind w:left="420" w:firstLine="419"/>
        <w:spacing w:after="0" w:line="263" w:lineRule="auto"/>
        <w:tabs>
          <w:tab w:leader="none" w:pos="1098"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If the reallocation described in clause (a)(iv) above cannot, or can only partially, be effected, the Borrower shall, without prejudice to any right or remedy available to it hereunder or under any applicable law, Cash Collateralize the Issuing Banks’ Fronting Exposure in accordance with the procedures set forth in Section 2.05.</w:t>
      </w:r>
    </w:p>
    <w:p>
      <w:pPr>
        <w:spacing w:after="0" w:line="75" w:lineRule="exact"/>
        <w:rPr>
          <w:rFonts w:ascii="Arial" w:cs="Arial" w:eastAsia="Arial" w:hAnsi="Arial"/>
          <w:sz w:val="18"/>
          <w:szCs w:val="18"/>
          <w:color w:val="auto"/>
        </w:rPr>
      </w:pPr>
    </w:p>
    <w:p>
      <w:pPr>
        <w:ind w:left="-20" w:right="40" w:firstLine="436"/>
        <w:spacing w:after="0" w:line="253" w:lineRule="auto"/>
        <w:tabs>
          <w:tab w:leader="none" w:pos="675"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Borrower, the Administrative Agent and each Issuing Bank agree in writing that a Defaulting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of each Class and funded and unfunded participations in Letters of Credit to be held pro rata by the Lenders in accordance with the Commitments (without giving effect to Section 2.19(a)(iv)),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0"/>
          </w:cols>
          <w:pgMar w:left="460" w:top="274" w:right="459" w:bottom="1440" w:gutter="0" w:footer="0" w:header="0"/>
        </w:sectPr>
      </w:pPr>
    </w:p>
    <w:bookmarkStart w:id="196" w:name="page197"/>
    <w:bookmarkEnd w:id="196"/>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III</w:t>
      </w:r>
    </w:p>
    <w:p>
      <w:pPr>
        <w:spacing w:after="0" w:line="225" w:lineRule="exact"/>
        <w:rPr>
          <w:sz w:val="20"/>
          <w:szCs w:val="20"/>
          <w:color w:val="auto"/>
        </w:rPr>
      </w:pPr>
    </w:p>
    <w:p>
      <w:pPr>
        <w:ind w:left="3864"/>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Borrower represents and warrants to the Lenders that:</w:t>
      </w:r>
    </w:p>
    <w:p>
      <w:pPr>
        <w:spacing w:after="0" w:line="225"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Powers</w:t>
      </w:r>
      <w:r>
        <w:rPr>
          <w:rFonts w:ascii="Arial" w:cs="Arial" w:eastAsia="Arial" w:hAnsi="Arial"/>
          <w:sz w:val="17"/>
          <w:szCs w:val="17"/>
          <w:color w:val="auto"/>
        </w:rPr>
        <w:t>. Each of the Borrower and its Material Subsidiaries (a) is duly organized, validly existing and (where such concept exists) in good standing (or its equivalent, if any) under the laws of the jurisdiction of its organization except to the extent failure to do so (other than with respect to the Borrower) would not reasonably be expected to have a Material Adverse Effect, (b) has all requisite corporate power and authority to carry on its business as now conducted except where the failure to have the same would not reasonably be expected to have a Material Adverse Effect and (c) is qualified to do business in, and (where such concept exists) is in good standing (or its equivalent, if any) in, every jurisdiction where such qualification is required except where the failure to be so qualified or to be (where such concept exists) in good standing (or its equivalent, if any) would not reasonably be expected to have a Material Adverse Effect.</w:t>
      </w:r>
    </w:p>
    <w:p>
      <w:pPr>
        <w:spacing w:after="0" w:line="17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w:t>
      </w:r>
    </w:p>
    <w:p>
      <w:pPr>
        <w:spacing w:after="0" w:line="117" w:lineRule="exact"/>
        <w:rPr>
          <w:sz w:val="20"/>
          <w:szCs w:val="20"/>
          <w:color w:val="auto"/>
        </w:rPr>
      </w:pPr>
    </w:p>
    <w:p>
      <w:pPr>
        <w:ind w:left="4" w:right="120" w:firstLine="436"/>
        <w:spacing w:after="0" w:line="263" w:lineRule="auto"/>
        <w:tabs>
          <w:tab w:leader="none" w:pos="68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Transactions to be entered into and the execution and delivery of this Agreement and each other Loan Document to which it is a party by the Borrower are within the Borrower’s corporate powers and have been or will by the time required be duly authorized by all necessary corporate or other action.</w:t>
      </w:r>
    </w:p>
    <w:p>
      <w:pPr>
        <w:spacing w:after="0" w:line="75" w:lineRule="exact"/>
        <w:rPr>
          <w:rFonts w:ascii="Arial" w:cs="Arial" w:eastAsia="Arial" w:hAnsi="Arial"/>
          <w:sz w:val="18"/>
          <w:szCs w:val="18"/>
          <w:color w:val="auto"/>
        </w:rPr>
      </w:pPr>
    </w:p>
    <w:p>
      <w:pPr>
        <w:ind w:left="4" w:right="20" w:firstLine="436"/>
        <w:spacing w:after="0" w:line="279" w:lineRule="auto"/>
        <w:tabs>
          <w:tab w:leader="none" w:pos="699"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This Agreement has been duly executed and delivered by the Borrower and constitutes, and each other Loan Document to which the Borrower is to be a party, when executed and delivered by the Borrower, will constitute, a legal, valid and binding obligation of the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Governmental Approvals; No Conflicts</w:t>
      </w:r>
      <w:r>
        <w:rPr>
          <w:rFonts w:ascii="Arial" w:cs="Arial" w:eastAsia="Arial" w:hAnsi="Arial"/>
          <w:sz w:val="17"/>
          <w:szCs w:val="17"/>
          <w:color w:val="auto"/>
        </w:rPr>
        <w:t>. The Transactions and the execution and delivery of this Agreement by the Borrower</w:t>
      </w:r>
    </w:p>
    <w:p>
      <w:pPr>
        <w:spacing w:after="0" w:line="35" w:lineRule="exact"/>
        <w:rPr>
          <w:sz w:val="20"/>
          <w:szCs w:val="20"/>
          <w:color w:val="auto"/>
        </w:rPr>
      </w:pPr>
    </w:p>
    <w:p>
      <w:pPr>
        <w:ind w:left="4" w:right="40" w:hanging="4"/>
        <w:spacing w:after="0" w:line="251" w:lineRule="auto"/>
        <w:tabs>
          <w:tab w:leader="none" w:pos="249"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do not require any consent or approval of, registration or filing with, or any other action by, any Governmental Authority, except such as have been, or will be by the time required, obtained or made and are, or will be by the time required, in full force and effect, (b) will not violate the Organizational Documents of the Borrower, (c) will not violate any Requirement of Law applicable to the Borrower, (d) will not violate or result in a default under any indenture, agreement or other instrument binding upon the Borrower or any Subsidiary or their respective assets, or give rise to a right thereunder to require any payment to be made by the Borrower or any Subsidiary or give rise to a right of, or result in, termination, cancellation or acceleration of any obligation thereunder, and (e) will not result in the creation or imposition of any Lien on any asset of the Borrower or any Subsidiary, except Liens permitted by Section 6.02, except, in the case of clauses (c) and (d), for any such violations, defaults or rights that, would not reasonably be expected to have a Material Adverse Effect.</w:t>
      </w:r>
    </w:p>
    <w:p>
      <w:pPr>
        <w:spacing w:after="0" w:line="19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w:t>
      </w:r>
    </w:p>
    <w:p>
      <w:pPr>
        <w:spacing w:after="0" w:line="117" w:lineRule="exact"/>
        <w:rPr>
          <w:sz w:val="20"/>
          <w:szCs w:val="20"/>
          <w:color w:val="auto"/>
        </w:rPr>
      </w:pPr>
    </w:p>
    <w:p>
      <w:pPr>
        <w:ind w:left="4" w:right="200" w:firstLine="436"/>
        <w:spacing w:after="0" w:line="257" w:lineRule="auto"/>
        <w:tabs>
          <w:tab w:leader="none" w:pos="68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Borrower has heretofore furnished to the Lenders or publicly filed its consolidated balance sheet as of the end of the fiscal year ended December 31, 2019 and consolidated statements of income, stockholders’ equity and cash flows for the fiscal year ended December 31, 2019, in each case reported on by Ernst &amp; Young LLP, independent public accountants for the Borrower. Such financial statements present fairly, in all material respects, the financial position and results of operations and cash flows of the Borrower and its consolidated subsidiaries as of such dates and for such periods in accordance with GAAP consistently applied.</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84"/>
          </w:cols>
          <w:pgMar w:left="436" w:top="274" w:right="479" w:bottom="1440" w:gutter="0" w:footer="0" w:header="0"/>
        </w:sectPr>
      </w:pPr>
    </w:p>
    <w:bookmarkStart w:id="197" w:name="page198"/>
    <w:bookmarkEnd w:id="197"/>
    <w:p>
      <w:pPr>
        <w:ind w:right="80" w:firstLine="436"/>
        <w:spacing w:after="0" w:line="277" w:lineRule="auto"/>
        <w:tabs>
          <w:tab w:leader="none" w:pos="695"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of the Closing Date, no event, change or condition has occurred that has had, or would reasonably be expected to have, a Material Adverse Effect since December 31, 2019.</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 Except as would not reasonably be expected to have a Material Adverse Effect:</w:t>
      </w:r>
    </w:p>
    <w:p>
      <w:pPr>
        <w:spacing w:after="0" w:line="117" w:lineRule="exact"/>
        <w:rPr>
          <w:sz w:val="20"/>
          <w:szCs w:val="20"/>
          <w:color w:val="auto"/>
        </w:rPr>
      </w:pPr>
    </w:p>
    <w:p>
      <w:pPr>
        <w:ind w:left="440" w:right="40" w:firstLine="419"/>
        <w:spacing w:after="0" w:line="263" w:lineRule="auto"/>
        <w:tabs>
          <w:tab w:leader="none" w:pos="110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each of the Borrower and the Subsidiaries has good title to, or valid leasehold interests in, all its real and personal property material to its business, except for minor defects in title that do not interfere with its ability to conduct its business as currently conducted or as proposed to be conducted or to utilize such properties for their intended purposes; and</w:t>
      </w:r>
    </w:p>
    <w:p>
      <w:pPr>
        <w:spacing w:after="0" w:line="75" w:lineRule="exact"/>
        <w:rPr>
          <w:rFonts w:ascii="Arial" w:cs="Arial" w:eastAsia="Arial" w:hAnsi="Arial"/>
          <w:sz w:val="18"/>
          <w:szCs w:val="18"/>
          <w:color w:val="auto"/>
        </w:rPr>
      </w:pPr>
    </w:p>
    <w:p>
      <w:pPr>
        <w:ind w:left="440" w:right="140" w:firstLine="419"/>
        <w:spacing w:after="0" w:line="263" w:lineRule="auto"/>
        <w:tabs>
          <w:tab w:leader="none" w:pos="111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Borrower and the Subsidiaries own, or are licensed to use, all trademarks, trade names, copyrights, patents and other intellectual property material to the business of the Borrower and the Subsidiaries, taken as a whole, and the use thereof by the Borrower or such Subsidiary, as applicable, does not infringe upon the rights of any other Person.</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Litigation Matters</w:t>
      </w:r>
      <w:r>
        <w:rPr>
          <w:rFonts w:ascii="Arial" w:cs="Arial" w:eastAsia="Arial" w:hAnsi="Arial"/>
          <w:sz w:val="18"/>
          <w:szCs w:val="18"/>
          <w:color w:val="auto"/>
        </w:rPr>
        <w:t>. As of the Closing Date, there are no actions, suits or proceedings by or before any arbitrator or Governmental Authority pending against or, to the knowledge of the Borrower, threatened against the Borrower or any Subsidiary that would reasonably be expected to have a Material Adverse Effect (other than the Disclosed Matters).</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of the Borrower and the Subsidiaries is in compliance with all Requirements of Law applicable to it or its property, except where the failure to do so would not reasonably be expected to have a Material Adverse Effect.</w:t>
      </w:r>
    </w:p>
    <w:p>
      <w:pPr>
        <w:spacing w:after="0" w:line="170"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None of the Borrower or any Subsidiary is an “investment company” as defined in, or subject to regulation as an “investment company” under, the Investment Company Act of 1940.</w:t>
      </w:r>
    </w:p>
    <w:p>
      <w:pPr>
        <w:spacing w:after="0" w:line="170" w:lineRule="exact"/>
        <w:rPr>
          <w:sz w:val="20"/>
          <w:szCs w:val="20"/>
          <w:color w:val="auto"/>
        </w:rPr>
      </w:pPr>
    </w:p>
    <w:p>
      <w:pPr>
        <w:jc w:val="both"/>
        <w:ind w:right="180" w:firstLine="440"/>
        <w:spacing w:after="0" w:line="257"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Taxes</w:t>
      </w:r>
      <w:r>
        <w:rPr>
          <w:rFonts w:ascii="Arial" w:cs="Arial" w:eastAsia="Arial" w:hAnsi="Arial"/>
          <w:sz w:val="18"/>
          <w:szCs w:val="18"/>
          <w:color w:val="auto"/>
        </w:rPr>
        <w:t>. Except (a) for failures that would not reasonably be expected to have a Material Adverse Effect and (b) with respect to Taxes that are being contested in good faith by appropriate proceedings and adequate reserves for such Taxes have been provided on the books of the Borrower or its Subsidiaries in accordance with GAAP, the Borrower and each of its Subsidiaries has (i) timely filed or caused to be filed (taking into account valid extensions) all Tax returns and reports required to have been filed, and (ii) paid or caused to be paid all Taxes required to have been paid by it (including any such Taxes in the capacity of a withholding agent).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To the best of the Borrower’s knowledge, none of the reports, financial statements, certificates or any other information (other than information of a general economic or general industry nature) furnished in writing by or on behalf of the Borrower to the Administrative Agent or any Lender in connection with the negotiation of any Loan Document or delivered thereunder (as modified or supplemented by other information so furnished and taken together as a whole) contains any untrue statement of material fact or omits to state any material fact necessary to make the statements therein, in the light of the circumstances under which they were made, not materially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such information consisting of projections, forecasts and other forward-looking statements with respect to the Borrower or any of its Subsidiaries (collectively, the “</w:t>
      </w:r>
      <w:r>
        <w:rPr>
          <w:rFonts w:ascii="Arial" w:cs="Arial" w:eastAsia="Arial" w:hAnsi="Arial"/>
          <w:sz w:val="18"/>
          <w:szCs w:val="18"/>
          <w:u w:val="single" w:color="auto"/>
          <w:color w:val="auto"/>
        </w:rPr>
        <w:t>Projections</w:t>
      </w:r>
      <w:r>
        <w:rPr>
          <w:rFonts w:ascii="Arial" w:cs="Arial" w:eastAsia="Arial" w:hAnsi="Arial"/>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198" w:name="page199"/>
    <w:bookmarkEnd w:id="198"/>
    <w:p>
      <w:pPr>
        <w:ind w:left="4" w:right="2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Borrower represents only that any such Projections will be prepared based upon good faith assumptions believed by it to be reasonable at the time delivered (it being understood that such Projections are not to be viewed as facts, are subject to significant uncertainties and contingencies, many of which are beyond the control of the Borrower and its Subsidiaries, that no guarantee or other assurance can be given that any Projections will be realized, and that actual results may differ from Projections and such difference may be material).</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Federal Reserve Regulations</w:t>
      </w:r>
      <w:r>
        <w:rPr>
          <w:rFonts w:ascii="Arial" w:cs="Arial" w:eastAsia="Arial" w:hAnsi="Arial"/>
          <w:sz w:val="18"/>
          <w:szCs w:val="18"/>
          <w:color w:val="auto"/>
        </w:rPr>
        <w:t>.</w:t>
      </w:r>
    </w:p>
    <w:p>
      <w:pPr>
        <w:spacing w:after="0" w:line="117" w:lineRule="exact"/>
        <w:rPr>
          <w:sz w:val="20"/>
          <w:szCs w:val="20"/>
          <w:color w:val="auto"/>
        </w:rPr>
      </w:pPr>
    </w:p>
    <w:p>
      <w:pPr>
        <w:ind w:left="4" w:right="200" w:firstLine="436"/>
        <w:spacing w:after="0" w:line="277" w:lineRule="auto"/>
        <w:tabs>
          <w:tab w:leader="none" w:pos="68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Borrower is not engaged principally, or as one of its important activities, in the business of extending credit for the purpose of buying or carrying Margin Stock.</w:t>
      </w:r>
    </w:p>
    <w:p>
      <w:pPr>
        <w:spacing w:after="0" w:line="62" w:lineRule="exact"/>
        <w:rPr>
          <w:rFonts w:ascii="Arial" w:cs="Arial" w:eastAsia="Arial" w:hAnsi="Arial"/>
          <w:sz w:val="18"/>
          <w:szCs w:val="18"/>
          <w:color w:val="auto"/>
        </w:rPr>
      </w:pPr>
    </w:p>
    <w:p>
      <w:pPr>
        <w:ind w:left="4" w:right="20" w:firstLine="436"/>
        <w:spacing w:after="0" w:line="277" w:lineRule="auto"/>
        <w:tabs>
          <w:tab w:leader="none" w:pos="69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Taking into account all of the Transactions, no part of the proceeds of the Loans will be used for any purpose that violates the provisions of the Regulations of the Board, including Regulation T, U or X.</w:t>
      </w:r>
    </w:p>
    <w:p>
      <w:pPr>
        <w:spacing w:after="0" w:line="170" w:lineRule="exact"/>
        <w:rPr>
          <w:sz w:val="20"/>
          <w:szCs w:val="20"/>
          <w:color w:val="auto"/>
        </w:rPr>
      </w:pPr>
    </w:p>
    <w:p>
      <w:pPr>
        <w:ind w:left="4" w:right="60" w:firstLine="440"/>
        <w:spacing w:after="0" w:line="287" w:lineRule="auto"/>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u w:val="single" w:color="auto"/>
          <w:color w:val="auto"/>
        </w:rPr>
        <w:t>OFAC</w:t>
      </w:r>
      <w:r>
        <w:rPr>
          <w:rFonts w:ascii="Arial" w:cs="Arial" w:eastAsia="Arial" w:hAnsi="Arial"/>
          <w:sz w:val="16"/>
          <w:szCs w:val="16"/>
          <w:color w:val="auto"/>
        </w:rPr>
        <w:t>. Neither the Borrower, nor any of its Subsidiaries, nor, to the knowledge of the Borrower and its Subsidiaries, any director, officer or employee thereof, is an individual or entity that is, or is owned or controlled by one or more individuals or entities that are (a) currently the subject of any Sanctions, (b) included on OFAC’s List of Specially Designated Nationals or HMT’s Consolidated List of Financial Sanctions Targets or</w:t>
      </w:r>
    </w:p>
    <w:p>
      <w:pPr>
        <w:spacing w:after="0" w:line="2" w:lineRule="exact"/>
        <w:rPr>
          <w:sz w:val="20"/>
          <w:szCs w:val="20"/>
          <w:color w:val="auto"/>
        </w:rPr>
      </w:pPr>
    </w:p>
    <w:p>
      <w:pPr>
        <w:ind w:left="4" w:hanging="4"/>
        <w:spacing w:after="0" w:line="260" w:lineRule="auto"/>
        <w:tabs>
          <w:tab w:leader="none" w:pos="24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located, organized or resident in a Designated Jurisdiction. Since the Closing Date, the Borrower and its Subsidiaries have conducted their businesses in compliance in all material respects with all applicable Sanctions.</w:t>
      </w:r>
    </w:p>
    <w:p>
      <w:pPr>
        <w:spacing w:after="0" w:line="185" w:lineRule="exact"/>
        <w:rPr>
          <w:sz w:val="20"/>
          <w:szCs w:val="20"/>
          <w:color w:val="auto"/>
        </w:rPr>
      </w:pPr>
    </w:p>
    <w:p>
      <w:pPr>
        <w:ind w:left="4" w:right="80" w:firstLine="440"/>
        <w:spacing w:after="0" w:line="311"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Anti-Corruption Laws and Patriot Act</w:t>
      </w:r>
      <w:r>
        <w:rPr>
          <w:rFonts w:ascii="Arial" w:cs="Arial" w:eastAsia="Arial" w:hAnsi="Arial"/>
          <w:sz w:val="16"/>
          <w:szCs w:val="16"/>
          <w:color w:val="auto"/>
        </w:rPr>
        <w:t>. Since the Closing Date, the Borrower and its Subsidiaries have conducted their businesses in compliance in all material respects with applicable Anti-Corruption Laws and the Patriot Act, as amended, and regulations thereunder, and have instituted and maintained policies and procedures reasonably designed to achieve compliance with such laws and regulations.</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The Borrower is not an Affected Financial Institution.</w:t>
      </w:r>
    </w:p>
    <w:p>
      <w:pPr>
        <w:spacing w:after="0" w:line="200" w:lineRule="exact"/>
        <w:rPr>
          <w:sz w:val="20"/>
          <w:szCs w:val="20"/>
          <w:color w:val="auto"/>
        </w:rPr>
      </w:pPr>
    </w:p>
    <w:p>
      <w:pPr>
        <w:spacing w:after="0" w:line="24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CONDITIONS</w:t>
      </w:r>
    </w:p>
    <w:p>
      <w:pPr>
        <w:spacing w:after="0" w:line="225" w:lineRule="exact"/>
        <w:rPr>
          <w:sz w:val="20"/>
          <w:szCs w:val="20"/>
          <w:color w:val="auto"/>
        </w:rPr>
      </w:pPr>
    </w:p>
    <w:p>
      <w:pPr>
        <w:ind w:left="4" w:right="300" w:firstLine="440"/>
        <w:spacing w:after="0" w:line="263"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Conditions to the Closing Date</w:t>
      </w:r>
      <w:r>
        <w:rPr>
          <w:rFonts w:ascii="Arial" w:cs="Arial" w:eastAsia="Arial" w:hAnsi="Arial"/>
          <w:sz w:val="18"/>
          <w:szCs w:val="18"/>
          <w:color w:val="auto"/>
        </w:rPr>
        <w:t>. This Agreement and the obligations of the Lenders to make Loans and of the Issuing Banks to make LC Credit Extensions hereunder shall become effective on the first date when each of the following conditions is satisfied (or waived in accordance with Section 9.02):</w:t>
      </w:r>
    </w:p>
    <w:p>
      <w:pPr>
        <w:spacing w:after="0" w:line="76" w:lineRule="exact"/>
        <w:rPr>
          <w:sz w:val="20"/>
          <w:szCs w:val="20"/>
          <w:color w:val="auto"/>
        </w:rPr>
      </w:pPr>
    </w:p>
    <w:p>
      <w:pPr>
        <w:jc w:val="both"/>
        <w:ind w:left="444" w:right="440" w:firstLine="419"/>
        <w:spacing w:after="0" w:line="263" w:lineRule="auto"/>
        <w:tabs>
          <w:tab w:leader="none" w:pos="111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Administrative Agent shall have received the following, each of which shall be originals, telecopies or electronic copies unless otherwise specified, and each properly executed by a Responsible Officer of the Borrower (other than with respect to subclauses (iv) and (v) below), each dated a date on or prior to the Closing Date: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4"/>
          </w:cols>
          <w:pgMar w:left="436" w:top="274" w:right="459" w:bottom="1440" w:gutter="0" w:footer="0" w:header="0"/>
        </w:sectPr>
      </w:pPr>
    </w:p>
    <w:bookmarkStart w:id="199" w:name="page200"/>
    <w:bookmarkEnd w:id="199"/>
    <w:p>
      <w:pPr>
        <w:ind w:left="1600" w:hanging="212"/>
        <w:spacing w:after="0"/>
        <w:tabs>
          <w:tab w:leader="none" w:pos="16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executed counterparts of this Agreement from the Borrower;</w:t>
      </w:r>
    </w:p>
    <w:p>
      <w:pPr>
        <w:spacing w:after="0" w:line="117" w:lineRule="exact"/>
        <w:rPr>
          <w:rFonts w:ascii="Arial" w:cs="Arial" w:eastAsia="Arial" w:hAnsi="Arial"/>
          <w:sz w:val="18"/>
          <w:szCs w:val="18"/>
          <w:color w:val="auto"/>
        </w:rPr>
      </w:pPr>
    </w:p>
    <w:p>
      <w:pPr>
        <w:ind w:left="980" w:right="340" w:firstLine="408"/>
        <w:spacing w:after="0" w:line="277" w:lineRule="auto"/>
        <w:tabs>
          <w:tab w:leader="none" w:pos="1646"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 promissory note executed by the Borrower in favor of each Lender requesting three Business Days in advance a promissory note evidencing the Loan provided by such Lender;</w:t>
      </w:r>
    </w:p>
    <w:p>
      <w:pPr>
        <w:spacing w:after="0" w:line="62" w:lineRule="exact"/>
        <w:rPr>
          <w:rFonts w:ascii="Arial" w:cs="Arial" w:eastAsia="Arial" w:hAnsi="Arial"/>
          <w:sz w:val="18"/>
          <w:szCs w:val="18"/>
          <w:color w:val="auto"/>
        </w:rPr>
      </w:pPr>
    </w:p>
    <w:p>
      <w:pPr>
        <w:jc w:val="both"/>
        <w:ind w:left="980" w:right="200" w:firstLine="408"/>
        <w:spacing w:after="0" w:line="259" w:lineRule="auto"/>
        <w:tabs>
          <w:tab w:leader="none" w:pos="1696" w:val="left"/>
        </w:tabs>
        <w:numPr>
          <w:ilvl w:val="1"/>
          <w:numId w:val="209"/>
        </w:numPr>
        <w:rPr>
          <w:rFonts w:ascii="Arial" w:cs="Arial" w:eastAsia="Arial" w:hAnsi="Arial"/>
          <w:sz w:val="18"/>
          <w:szCs w:val="18"/>
          <w:color w:val="auto"/>
        </w:rPr>
      </w:pPr>
      <w:r>
        <w:rPr>
          <w:rFonts w:ascii="Arial" w:cs="Arial" w:eastAsia="Arial" w:hAnsi="Arial"/>
          <w:sz w:val="18"/>
          <w:szCs w:val="18"/>
          <w:color w:val="auto"/>
        </w:rPr>
        <w:t>such customary certificates of resolutions or other action, incumbency certificates and/or other certificates of Responsible Officers of the Borrower as the Administrative Agent may reasonably require evidencing the identity, authority and capacity of each Responsible Officer thereof authorized to act as a Responsible Officer in connection with this Agreement and the other Loan Documents to which the Borrower is a party or is to be a party;</w:t>
      </w:r>
    </w:p>
    <w:p>
      <w:pPr>
        <w:spacing w:after="0" w:line="78" w:lineRule="exact"/>
        <w:rPr>
          <w:rFonts w:ascii="Arial" w:cs="Arial" w:eastAsia="Arial" w:hAnsi="Arial"/>
          <w:sz w:val="18"/>
          <w:szCs w:val="18"/>
          <w:color w:val="auto"/>
        </w:rPr>
      </w:pPr>
    </w:p>
    <w:p>
      <w:pPr>
        <w:ind w:left="1700" w:hanging="312"/>
        <w:spacing w:after="0"/>
        <w:tabs>
          <w:tab w:leader="none" w:pos="17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 certificate of good standing for the Borrower from its jurisdiction of organization;</w:t>
      </w:r>
    </w:p>
    <w:p>
      <w:pPr>
        <w:spacing w:after="0" w:line="117" w:lineRule="exact"/>
        <w:rPr>
          <w:rFonts w:ascii="Arial" w:cs="Arial" w:eastAsia="Arial" w:hAnsi="Arial"/>
          <w:sz w:val="18"/>
          <w:szCs w:val="18"/>
          <w:color w:val="auto"/>
        </w:rPr>
      </w:pPr>
    </w:p>
    <w:p>
      <w:pPr>
        <w:ind w:left="980" w:firstLine="408"/>
        <w:spacing w:after="0" w:line="277" w:lineRule="auto"/>
        <w:tabs>
          <w:tab w:leader="none" w:pos="1636"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 customary opinion of Wachtell, Lipton, Rosen &amp; Katz, counsel to the Borrower, addressed to the Administrative Agent and each Lender (as of the Closing Date); and</w:t>
      </w:r>
    </w:p>
    <w:p>
      <w:pPr>
        <w:spacing w:after="0" w:line="62" w:lineRule="exact"/>
        <w:rPr>
          <w:rFonts w:ascii="Arial" w:cs="Arial" w:eastAsia="Arial" w:hAnsi="Arial"/>
          <w:sz w:val="18"/>
          <w:szCs w:val="18"/>
          <w:color w:val="auto"/>
        </w:rPr>
      </w:pPr>
    </w:p>
    <w:p>
      <w:pPr>
        <w:ind w:left="980" w:right="60" w:firstLine="408"/>
        <w:spacing w:after="0" w:line="277" w:lineRule="auto"/>
        <w:tabs>
          <w:tab w:leader="none" w:pos="1686"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 certificate signed by a Financial Officer of the Borrower certifying that the conditions specified in Section 4.02(a) and (b) have been satisfied.</w:t>
      </w:r>
    </w:p>
    <w:p>
      <w:pPr>
        <w:spacing w:after="0" w:line="62" w:lineRule="exact"/>
        <w:rPr>
          <w:rFonts w:ascii="Arial" w:cs="Arial" w:eastAsia="Arial" w:hAnsi="Arial"/>
          <w:sz w:val="18"/>
          <w:szCs w:val="18"/>
          <w:color w:val="auto"/>
        </w:rPr>
      </w:pPr>
    </w:p>
    <w:p>
      <w:pPr>
        <w:ind w:left="440" w:right="40" w:firstLine="419"/>
        <w:spacing w:after="0" w:line="275" w:lineRule="auto"/>
        <w:tabs>
          <w:tab w:leader="none" w:pos="1118"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All reasonable and documented out-of-pocket fees and expenses of the Administrative Agent and the Arrangers (in the case of legal fees, limited to the reasonable and documented fees and expenses of a single counsel for the Administrative Agent and the Arrangers) required to be paid on or before the Closing Date, in the case of expenses, to the extent invoiced at least two Business Days prior to the Closing Date, shall have been paid. The Borrower shall have paid all items then due and payable under any separate letter agreements with respect to fees payable on or prior to the Closing Date in connection with the syndication of the Loans and Commitments.</w:t>
      </w:r>
    </w:p>
    <w:p>
      <w:pPr>
        <w:spacing w:after="0" w:line="68" w:lineRule="exact"/>
        <w:rPr>
          <w:rFonts w:ascii="Arial" w:cs="Arial" w:eastAsia="Arial" w:hAnsi="Arial"/>
          <w:sz w:val="17"/>
          <w:szCs w:val="17"/>
          <w:color w:val="auto"/>
        </w:rPr>
      </w:pPr>
    </w:p>
    <w:p>
      <w:pPr>
        <w:ind w:left="440" w:right="780" w:firstLine="419"/>
        <w:spacing w:after="0" w:line="277" w:lineRule="auto"/>
        <w:tabs>
          <w:tab w:leader="none" w:pos="110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Solely in the event that the Borrower requests Borrowings on the Closing Date, the Administrative Agent shall have received a Borrowing Request in accordance with the requirements of Section 2.03 hereof.</w:t>
      </w:r>
    </w:p>
    <w:p>
      <w:pPr>
        <w:spacing w:after="0" w:line="62" w:lineRule="exact"/>
        <w:rPr>
          <w:rFonts w:ascii="Arial" w:cs="Arial" w:eastAsia="Arial" w:hAnsi="Arial"/>
          <w:sz w:val="18"/>
          <w:szCs w:val="18"/>
          <w:color w:val="auto"/>
        </w:rPr>
      </w:pPr>
    </w:p>
    <w:p>
      <w:pPr>
        <w:ind w:left="440" w:right="220" w:firstLine="419"/>
        <w:spacing w:after="0" w:line="259" w:lineRule="auto"/>
        <w:tabs>
          <w:tab w:leader="none" w:pos="111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Administrative Agent shall have received, at least three Business Days prior to the Closing Date, all documentation and other information regarding the Borrower required by regulatory authorities under applicable “know your customer” and anti-money laundering rules and regulations, including without limitation the PATRIOT Act and, to the extent applicable, the Beneficial Ownership Regulation, to the extent requested in writing by any Lender at least ten Business Days prior to the Closing Date.</w:t>
      </w:r>
    </w:p>
    <w:p>
      <w:pPr>
        <w:spacing w:after="0" w:line="78" w:lineRule="exact"/>
        <w:rPr>
          <w:rFonts w:ascii="Arial" w:cs="Arial" w:eastAsia="Arial" w:hAnsi="Arial"/>
          <w:sz w:val="18"/>
          <w:szCs w:val="18"/>
          <w:color w:val="auto"/>
        </w:rPr>
      </w:pPr>
    </w:p>
    <w:p>
      <w:pPr>
        <w:ind w:left="440" w:right="340" w:firstLine="419"/>
        <w:spacing w:after="0" w:line="277" w:lineRule="auto"/>
        <w:tabs>
          <w:tab w:leader="none" w:pos="110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Prior to, or substantially concurrently with, the Closing Date, all principal, interest and fees due under the Existing Credit Agreement shall have been paid and all commitments thereunder shall have been terminated (the “</w:t>
      </w:r>
      <w:r>
        <w:rPr>
          <w:rFonts w:ascii="Arial" w:cs="Arial" w:eastAsia="Arial" w:hAnsi="Arial"/>
          <w:sz w:val="18"/>
          <w:szCs w:val="18"/>
          <w:u w:val="single" w:color="auto"/>
          <w:color w:val="auto"/>
        </w:rPr>
        <w:t>Refinancing</w:t>
      </w:r>
      <w:r>
        <w:rPr>
          <w:rFonts w:ascii="Arial" w:cs="Arial" w:eastAsia="Arial" w:hAnsi="Arial"/>
          <w:sz w:val="18"/>
          <w:szCs w:val="18"/>
          <w:color w:val="auto"/>
        </w:rPr>
        <w: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Upon the satisfaction or waiver of such conditions, the Administrative Agent shall notify the Borrower and the Lenders of the Closing Date in writing, and such notice shall be conclusive and binding.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440" w:top="274" w:right="439" w:bottom="1440" w:gutter="0" w:footer="0" w:header="0"/>
        </w:sectPr>
      </w:pPr>
    </w:p>
    <w:bookmarkStart w:id="200" w:name="page201"/>
    <w:bookmarkEnd w:id="200"/>
    <w:p>
      <w:pPr>
        <w:ind w:right="2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 Loan on the occasion of any Borrowing (other than the Specified Borrowing), and of the Issuing Banks to make any LC Credit Extension, is subject to receipt of the request therefor in accordance herewith and to the satisfaction of the following conditions:</w:t>
      </w:r>
    </w:p>
    <w:p>
      <w:pPr>
        <w:spacing w:after="0" w:line="76" w:lineRule="exact"/>
        <w:rPr>
          <w:sz w:val="20"/>
          <w:szCs w:val="20"/>
          <w:color w:val="auto"/>
        </w:rPr>
      </w:pPr>
    </w:p>
    <w:p>
      <w:pPr>
        <w:ind w:left="440" w:right="60" w:firstLine="419"/>
        <w:spacing w:after="0" w:line="275" w:lineRule="auto"/>
        <w:tabs>
          <w:tab w:leader="none" w:pos="1108"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representations and warranties of the Borrower set forth in the Loan Documents shall be true and correct in all material respects (other than, in the case of any Borrowing made following the Closing Date, the representations and warranties made in Sections 3.04(b) and 3.06) on and as of the date of such Borrowing or the date of issuance, amendment, renewal or extension of such Letter of Credit, as the case may be (except to the extent that any representation and warranty expressly relates to an earlier date, in which case such representation and warranty shall have been true and correct in all material respects as of such earlier date).</w:t>
      </w:r>
    </w:p>
    <w:p>
      <w:pPr>
        <w:spacing w:after="0" w:line="68" w:lineRule="exact"/>
        <w:rPr>
          <w:rFonts w:ascii="Arial" w:cs="Arial" w:eastAsia="Arial" w:hAnsi="Arial"/>
          <w:sz w:val="17"/>
          <w:szCs w:val="17"/>
          <w:color w:val="auto"/>
        </w:rPr>
      </w:pPr>
    </w:p>
    <w:p>
      <w:pPr>
        <w:ind w:left="440" w:right="100" w:firstLine="419"/>
        <w:spacing w:after="0" w:line="277" w:lineRule="auto"/>
        <w:tabs>
          <w:tab w:leader="none" w:pos="111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renewal or extension of such Letter of Credit, as the case may be, no Default shall have occurred and be continuing.</w:t>
      </w:r>
    </w:p>
    <w:p>
      <w:pPr>
        <w:spacing w:after="0" w:line="1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Each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conversion or a continuation of a Borrowing shall not constitute a “Borrowing” for purposes of this Section 4.02) and each LC Credit Extension shall be deemed to constitute a representation and warranty by the Borrower on the date thereof as to the matters specified in paragraphs (a) and (b) of this Section 4.02.</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Specified Borrowing on Verafin Acquisition Closing Date</w:t>
      </w:r>
      <w:r>
        <w:rPr>
          <w:rFonts w:ascii="Arial" w:cs="Arial" w:eastAsia="Arial" w:hAnsi="Arial"/>
          <w:sz w:val="17"/>
          <w:szCs w:val="17"/>
          <w:color w:val="auto"/>
        </w:rPr>
        <w:t>. The obligation of each Lender to make any Loan on account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Specified Borrowing is subject solely to the satisfaction (or waiver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 of the following conditions:</w:t>
      </w:r>
    </w:p>
    <w:p>
      <w:pPr>
        <w:spacing w:after="0" w:line="103" w:lineRule="exact"/>
        <w:rPr>
          <w:sz w:val="20"/>
          <w:szCs w:val="20"/>
          <w:color w:val="auto"/>
        </w:rPr>
      </w:pPr>
    </w:p>
    <w:p>
      <w:pPr>
        <w:ind w:left="1100" w:hanging="241"/>
        <w:spacing w:after="0"/>
        <w:tabs>
          <w:tab w:leader="none" w:pos="11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Borrowing Request in accordance with the terms of </w:t>
      </w:r>
      <w:r>
        <w:rPr>
          <w:rFonts w:ascii="Arial" w:cs="Arial" w:eastAsia="Arial" w:hAnsi="Arial"/>
          <w:sz w:val="18"/>
          <w:szCs w:val="18"/>
          <w:u w:val="single" w:color="auto"/>
          <w:color w:val="auto"/>
        </w:rPr>
        <w:t>Section 2.03(b)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71" w:lineRule="auto"/>
        <w:tabs>
          <w:tab w:leader="none" w:pos="111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Substantially concurrently with the Specified Borrowing, the Verafin Acquisition shall have been consummated in all material respects in accordance with the Verafin Acquisition Agreement without giving effect to any amendment, modification or waiver or consent by the Borrower thereunder, in each case, that is materially adverse to the Lenders, in their capacities as such, without the prior written consent of BofA Securities, Inc., JPMorgan Chase Bank, N.A., Goldman Sachs Bank USA, Morgan Stanley Senior Funding, Inc. (such consent not to be unreasonably withheld, delayed or conditioned), it being understood and agreed that (i) any increase or decrease in the acquisition consideration under the Verafin Acquisition Agreement in accordance with the terms of the Verafin Acquisition Agreement as of the date thereof and (ii) any other increase in the cash portion of the acquisition consideration under the Verafin Acquisition Agreement since the date thereof which does not exceed 5% of the purchase price, in each case shall be deemed not to be materially adverse to the Lenders;</w:t>
      </w:r>
    </w:p>
    <w:p>
      <w:pPr>
        <w:spacing w:after="0" w:line="70" w:lineRule="exact"/>
        <w:rPr>
          <w:rFonts w:ascii="Arial" w:cs="Arial" w:eastAsia="Arial" w:hAnsi="Arial"/>
          <w:sz w:val="17"/>
          <w:szCs w:val="17"/>
          <w:color w:val="auto"/>
        </w:rPr>
      </w:pPr>
    </w:p>
    <w:p>
      <w:pPr>
        <w:ind w:left="440" w:right="80" w:firstLine="419"/>
        <w:spacing w:after="0" w:line="290" w:lineRule="auto"/>
        <w:tabs>
          <w:tab w:leader="none" w:pos="1108"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Lenders shall have received (a) audited financial statements of the Borrower for the three most recent fiscal years ending at least 90 days prior to the Verafin Acquisition Closing Date and (b)(i) unaudited consolidated financial statements of the Borrower for each interim quarterly period (excluding fiscal year end) ended after the latest fiscal year of the Borrower referred to in clause (a) above and at least 45 days prior to the Verafin Acquisition Closing Date, and (ii) unaudited consolidated financial statements for the same period of the prior fiscal year. The Lenders hereby acknowledge receipt of the audited financial statements referred to in clause (a) above for the 2017, 2018 and 2019 fiscal years and of the unaudited consolidated financial statements referred to in clause (b)(i) and (b)(ii) for all fiscal quarters of the Borrower ended on or prior to November 20, 2020. The Borrower’s filing of any required audited financial statements on Form 10-K or required unaudited financial statements on Form 10-Q, in each case, will satisfy the requirements under clauses (a) or (b), as applicable, of this paragraph.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201" w:name="page202"/>
    <w:bookmarkEnd w:id="201"/>
    <w:p>
      <w:pPr>
        <w:ind w:left="400" w:firstLine="419"/>
        <w:spacing w:after="0" w:line="289" w:lineRule="auto"/>
        <w:tabs>
          <w:tab w:leader="none" w:pos="1078" w:val="left"/>
        </w:tabs>
        <w:numPr>
          <w:ilvl w:val="0"/>
          <w:numId w:val="2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except as set forth in writing in Section 3.06 of the Company Disclosure Schedules (as defined in the Verafin Acquisition Agreement as in effect on the Verafin Acquisition Signing Date) or in another section of Article III of the Company Disclosure Schedules (as defined in the Verafin Acquisition Agreement as in effect on the Verafin Acquisition Signing Date) to the extent that the relevance thereof would be reasonably apparent on its face that such disclosure is applicable to such section of the Company Disclosure Schedules (as defined in the Verafin Acquisition Agreement as in effect on the Verafin Acquisition Signing Date), during the period from December 31, 2019 to the date of the Verafin Acquisition Agreement, there has not been any change, effect, event, circumstance, condition, occurrence, state of facts or development that has had, or would reasonably be expected to have, either individually or in the aggregate, a Material Adverse Effect (as defined in the Verafin Acquisition Agreement as in effect on the Verafin Acquisition Signing Date) and (ii) there shall not have been a Material Adverse Effect (as defined in the Verafin Acquisition Agreement as in effect on the Verafin Acquisition Signing Date) since the date of the Verafin Acquisition Agreement;</w:t>
      </w:r>
    </w:p>
    <w:p>
      <w:pPr>
        <w:spacing w:after="0" w:line="58" w:lineRule="exact"/>
        <w:rPr>
          <w:rFonts w:ascii="Arial" w:cs="Arial" w:eastAsia="Arial" w:hAnsi="Arial"/>
          <w:sz w:val="16"/>
          <w:szCs w:val="16"/>
          <w:color w:val="auto"/>
        </w:rPr>
      </w:pPr>
    </w:p>
    <w:p>
      <w:pPr>
        <w:ind w:left="400" w:right="420" w:firstLine="419"/>
        <w:spacing w:after="0" w:line="286" w:lineRule="auto"/>
        <w:tabs>
          <w:tab w:leader="none" w:pos="1068"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Specified Representations shall be true and correct in all material respects after giving effect to the making of the Specified Borrowing (except to the extent any such representation or warranty expressly relates to an earlier date, in which case such representation or warranty shall be true and correct in all material respects (or in all respects, as applicable) as of such earlier date);</w:t>
      </w:r>
    </w:p>
    <w:p>
      <w:pPr>
        <w:spacing w:after="0" w:line="57" w:lineRule="exact"/>
        <w:rPr>
          <w:rFonts w:ascii="Arial" w:cs="Arial" w:eastAsia="Arial" w:hAnsi="Arial"/>
          <w:sz w:val="17"/>
          <w:szCs w:val="17"/>
          <w:color w:val="auto"/>
        </w:rPr>
      </w:pPr>
    </w:p>
    <w:p>
      <w:pPr>
        <w:ind w:left="400" w:right="160" w:firstLine="419"/>
        <w:spacing w:after="0" w:line="277" w:lineRule="auto"/>
        <w:tabs>
          <w:tab w:leader="none" w:pos="104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Specified Acquisition Agreement Representations shall be true and correct to the extent required by the definition thereof, as of the Verafin Acquisition Closing Date;</w:t>
      </w:r>
    </w:p>
    <w:p>
      <w:pPr>
        <w:spacing w:after="0" w:line="62" w:lineRule="exact"/>
        <w:rPr>
          <w:rFonts w:ascii="Arial" w:cs="Arial" w:eastAsia="Arial" w:hAnsi="Arial"/>
          <w:sz w:val="18"/>
          <w:szCs w:val="18"/>
          <w:color w:val="auto"/>
        </w:rPr>
      </w:pPr>
    </w:p>
    <w:p>
      <w:pPr>
        <w:ind w:left="400" w:right="460" w:firstLine="419"/>
        <w:spacing w:after="0" w:line="277" w:lineRule="auto"/>
        <w:tabs>
          <w:tab w:leader="none" w:pos="107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Administrative Agent shall have received a duly completed and executed Solvency Certificate executed by the Chief Financial Officer (or another authorized financial officer); and</w:t>
      </w:r>
    </w:p>
    <w:p>
      <w:pPr>
        <w:spacing w:after="0" w:line="62" w:lineRule="exact"/>
        <w:rPr>
          <w:rFonts w:ascii="Arial" w:cs="Arial" w:eastAsia="Arial" w:hAnsi="Arial"/>
          <w:sz w:val="18"/>
          <w:szCs w:val="18"/>
          <w:color w:val="auto"/>
        </w:rPr>
      </w:pPr>
    </w:p>
    <w:p>
      <w:pPr>
        <w:ind w:left="400" w:firstLine="419"/>
        <w:spacing w:after="0" w:line="259" w:lineRule="auto"/>
        <w:tabs>
          <w:tab w:leader="none" w:pos="107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prior to, or substantially concurrently with, the Specified Borrowing, all principal, interest and fees due under that certain Credit Agreement, dated as of September 13, 2019, among Verafin, the lenders and other parties from time to time party thereto, and Wells Fargo Capital Finance Corporation Canada, as administrative agent, shall have been paid and all commitments thereunder shall have been terminated (the “</w:t>
      </w:r>
      <w:r>
        <w:rPr>
          <w:rFonts w:ascii="Arial" w:cs="Arial" w:eastAsia="Arial" w:hAnsi="Arial"/>
          <w:sz w:val="18"/>
          <w:szCs w:val="18"/>
          <w:u w:val="single" w:color="auto"/>
          <w:color w:val="auto"/>
        </w:rPr>
        <w:t>Verafin Refinancing</w:t>
      </w:r>
      <w:r>
        <w:rPr>
          <w:rFonts w:ascii="Arial" w:cs="Arial" w:eastAsia="Arial" w:hAnsi="Arial"/>
          <w:sz w:val="18"/>
          <w:szCs w:val="18"/>
          <w:color w:val="auto"/>
        </w:rPr>
        <w:t>”).</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Actions Between Closing Date and Verafin Acquisition Closing Date</w:t>
      </w:r>
      <w:r>
        <w:rPr>
          <w:rFonts w:ascii="Arial" w:cs="Arial" w:eastAsia="Arial" w:hAnsi="Arial"/>
          <w:sz w:val="18"/>
          <w:szCs w:val="18"/>
          <w:color w:val="auto"/>
        </w:rPr>
        <w:t>.</w:t>
      </w:r>
    </w:p>
    <w:p>
      <w:pPr>
        <w:spacing w:after="0" w:line="117" w:lineRule="exact"/>
        <w:rPr>
          <w:sz w:val="20"/>
          <w:szCs w:val="20"/>
          <w:color w:val="auto"/>
        </w:rPr>
      </w:pPr>
    </w:p>
    <w:p>
      <w:pPr>
        <w:ind w:left="-40" w:right="40" w:firstLine="436"/>
        <w:spacing w:after="0" w:line="271" w:lineRule="auto"/>
        <w:tabs>
          <w:tab w:leader="none" w:pos="645" w:val="left"/>
        </w:tabs>
        <w:numPr>
          <w:ilvl w:val="0"/>
          <w:numId w:val="214"/>
        </w:numPr>
        <w:rPr>
          <w:rFonts w:ascii="Arial" w:cs="Arial" w:eastAsia="Arial" w:hAnsi="Arial"/>
          <w:sz w:val="17"/>
          <w:szCs w:val="17"/>
          <w:color w:val="auto"/>
        </w:rPr>
      </w:pPr>
      <w:r>
        <w:rPr>
          <w:rFonts w:ascii="Arial" w:cs="Arial" w:eastAsia="Arial" w:hAnsi="Arial"/>
          <w:sz w:val="17"/>
          <w:szCs w:val="17"/>
          <w:color w:val="auto"/>
        </w:rPr>
        <w:t>During the period from and including the Closing Date to and including the earliest of (i) the Verafin Acquisition Closing Date (after giving effect to the funding of any Specified Borrowing on such date requested by the Borrower), (ii) 11:59:59 p.m., New York City time, on the fifth (5</w:t>
      </w:r>
      <w:r>
        <w:rPr>
          <w:rFonts w:ascii="Arial" w:cs="Arial" w:eastAsia="Arial" w:hAnsi="Arial"/>
          <w:sz w:val="14"/>
          <w:szCs w:val="14"/>
          <w:color w:val="auto"/>
        </w:rPr>
        <w:t>th</w:t>
      </w:r>
      <w:r>
        <w:rPr>
          <w:rFonts w:ascii="Arial" w:cs="Arial" w:eastAsia="Arial" w:hAnsi="Arial"/>
          <w:sz w:val="17"/>
          <w:szCs w:val="17"/>
          <w:color w:val="auto"/>
        </w:rPr>
        <w:t>) business day after the Specified Outside Date and (iii) the valid termination of the Verafin Acquisition Agreement in accordance with its terms prior to the Verafin Acquisition Closing Date (the “</w:t>
      </w:r>
      <w:r>
        <w:rPr>
          <w:rFonts w:ascii="Arial" w:cs="Arial" w:eastAsia="Arial" w:hAnsi="Arial"/>
          <w:sz w:val="17"/>
          <w:szCs w:val="17"/>
          <w:u w:val="single" w:color="auto"/>
          <w:color w:val="auto"/>
        </w:rPr>
        <w:t>Certain Funds Period</w:t>
      </w:r>
      <w:r>
        <w:rPr>
          <w:rFonts w:ascii="Arial" w:cs="Arial" w:eastAsia="Arial" w:hAnsi="Arial"/>
          <w:sz w:val="17"/>
          <w:szCs w:val="17"/>
          <w:color w:val="auto"/>
        </w:rPr>
        <w:t>”), and notwithstanding (i) that any representation made in this Agreement or any other Loan Document (including any representation made on the Closing Date (excluding, for the avoidance of doubt, the Specified Representations and/or Specified Acquisition Agreement Representations made on the Verafin Acquisition Closing Date as a condition to the making of the Specified Borrowing)) was incorrect, (ii) any failure by the Borrower or its Subsidiaries to comply with the affirmative covenants, negative covenants, financial covenant in, or other terms of, this Agreement or the other Loan Documents or the existence of 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20"/>
          </w:cols>
          <w:pgMar w:left="480" w:top="274" w:right="499" w:bottom="1440" w:gutter="0" w:footer="0" w:header="0"/>
        </w:sectPr>
      </w:pPr>
    </w:p>
    <w:bookmarkStart w:id="202" w:name="page203"/>
    <w:bookmarkEnd w:id="202"/>
    <w:p>
      <w:pPr>
        <w:ind w:left="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Default or Event of Default, (iii) any provision to the contrary in this Agreement or any other Loan Document or otherwise or (iv) that any condition to the occurrence of the Closing Date may subsequently be determined not to have been satisfied, neither the Administrative Agent nor any Lender shall be entitled to (1) cancel any of its Commitments, (2) rescind, terminate or cancel the Loan Documents or its Commitments or exercise any right or remedy or make or enforce any claim under the Loan Documents it may otherwise have to the extent to do so would prevent, limit or delay the making of its Loan constituting a portion of the Specified Borrowing on the Verafin Acquisition Closing Date, (3) refuse to participate in making its Loan constituting a portion of the Specified Borrowing on the Verafin Acquisition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applicable conditions set forth in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of this Agreement have been satisfied or waived or (4) exercise any right of set-off or counterclaim in respect of its Loan to the extent to do so would prevent, limit or delay the making of its Loan constituting a portion of the Specified Borrowing on the Verafin Acquisition Closing Date.</w:t>
      </w:r>
    </w:p>
    <w:p>
      <w:pPr>
        <w:spacing w:after="0" w:line="57" w:lineRule="exact"/>
        <w:rPr>
          <w:sz w:val="20"/>
          <w:szCs w:val="20"/>
          <w:color w:val="auto"/>
        </w:rPr>
      </w:pPr>
    </w:p>
    <w:p>
      <w:pPr>
        <w:ind w:left="4" w:right="180" w:firstLine="436"/>
        <w:spacing w:after="0" w:line="287" w:lineRule="auto"/>
        <w:tabs>
          <w:tab w:leader="none" w:pos="699" w:val="left"/>
        </w:tabs>
        <w:numPr>
          <w:ilvl w:val="1"/>
          <w:numId w:val="215"/>
        </w:numPr>
        <w:rPr>
          <w:rFonts w:ascii="Arial" w:cs="Arial" w:eastAsia="Arial" w:hAnsi="Arial"/>
          <w:sz w:val="16"/>
          <w:szCs w:val="16"/>
          <w:color w:val="auto"/>
        </w:rPr>
      </w:pPr>
      <w:r>
        <w:rPr>
          <w:rFonts w:ascii="Arial" w:cs="Arial" w:eastAsia="Arial" w:hAnsi="Arial"/>
          <w:sz w:val="16"/>
          <w:szCs w:val="16"/>
          <w:color w:val="auto"/>
        </w:rPr>
        <w:t xml:space="preserve">For the avoidance of doubt, (i) the rights and entitlements of the Lenders and the Administrative Agent to refuse to participate in making a Loan on the Verafin Acquisition Closing Date shall not be limited in the event that any applicable condition set forth in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is not satisfied or waived on the Verafin Acquisition Closing Date (with respect to the making of Loans constituting a portion of the Specified Borrowing) and</w:t>
      </w:r>
    </w:p>
    <w:p>
      <w:pPr>
        <w:spacing w:after="0" w:line="2" w:lineRule="exact"/>
        <w:rPr>
          <w:rFonts w:ascii="Arial" w:cs="Arial" w:eastAsia="Arial" w:hAnsi="Arial"/>
          <w:sz w:val="16"/>
          <w:szCs w:val="16"/>
          <w:color w:val="auto"/>
        </w:rPr>
      </w:pPr>
    </w:p>
    <w:p>
      <w:pPr>
        <w:ind w:left="4" w:right="580" w:hanging="4"/>
        <w:spacing w:after="0" w:line="290" w:lineRule="auto"/>
        <w:tabs>
          <w:tab w:leader="none" w:pos="269" w:val="left"/>
        </w:tabs>
        <w:numPr>
          <w:ilvl w:val="0"/>
          <w:numId w:val="216"/>
        </w:numPr>
        <w:rPr>
          <w:rFonts w:ascii="Arial" w:cs="Arial" w:eastAsia="Arial" w:hAnsi="Arial"/>
          <w:sz w:val="17"/>
          <w:szCs w:val="17"/>
          <w:color w:val="auto"/>
        </w:rPr>
      </w:pPr>
      <w:r>
        <w:rPr>
          <w:rFonts w:ascii="Arial" w:cs="Arial" w:eastAsia="Arial" w:hAnsi="Arial"/>
          <w:sz w:val="17"/>
          <w:szCs w:val="17"/>
          <w:color w:val="auto"/>
        </w:rPr>
        <w:t>immediately after the expiration of the Certain Funds Period, all of the rights, remedies and entitlements of the Administrative Agent and the Lenders shall be available notwithstanding that such rights were not available prior to such time as a result of the foregoing.</w:t>
      </w:r>
    </w:p>
    <w:p>
      <w:pPr>
        <w:spacing w:after="0" w:line="37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ind w:left="4" w:right="120" w:firstLine="440"/>
        <w:spacing w:after="0" w:line="257" w:lineRule="auto"/>
        <w:rPr>
          <w:sz w:val="20"/>
          <w:szCs w:val="20"/>
          <w:color w:val="auto"/>
        </w:rPr>
      </w:pPr>
      <w:r>
        <w:rPr>
          <w:rFonts w:ascii="Arial" w:cs="Arial" w:eastAsia="Arial" w:hAnsi="Arial"/>
          <w:sz w:val="18"/>
          <w:szCs w:val="18"/>
          <w:color w:val="auto"/>
        </w:rPr>
        <w:t>Beginning on the Closing Date after giving effect to the Loans made on the Closing Date and continuing thereafter until the Commitments have expired or been terminated and the principal of and interest on each Loan and all fees, expenses and other amounts payable under any Loan Document (other than contingent amounts not yet due) shall have been paid in full and all Letters of Credit shall have expired, been terminated or been Cash Collateralized on terms reasonably acceptable to the Issuing Banks and all LC Disbursements shall have been reimbursed, the Borrower covenants and agrees with the Lenders that:</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Financial Statements and Other Information</w:t>
      </w:r>
      <w:r>
        <w:rPr>
          <w:rFonts w:ascii="Arial" w:cs="Arial" w:eastAsia="Arial" w:hAnsi="Arial"/>
          <w:sz w:val="17"/>
          <w:szCs w:val="17"/>
          <w:color w:val="auto"/>
        </w:rPr>
        <w:t>. The Borrower will furnish to the Administrative Agent on behalf of each Lender:</w:t>
      </w:r>
    </w:p>
    <w:p>
      <w:pPr>
        <w:spacing w:after="0" w:line="129" w:lineRule="exact"/>
        <w:rPr>
          <w:sz w:val="20"/>
          <w:szCs w:val="20"/>
          <w:color w:val="auto"/>
        </w:rPr>
      </w:pPr>
    </w:p>
    <w:p>
      <w:pPr>
        <w:ind w:left="444" w:right="20" w:firstLine="419"/>
        <w:spacing w:after="0" w:line="272" w:lineRule="auto"/>
        <w:tabs>
          <w:tab w:leader="none" w:pos="1112" w:val="left"/>
        </w:tabs>
        <w:numPr>
          <w:ilvl w:val="0"/>
          <w:numId w:val="217"/>
        </w:numPr>
        <w:rPr>
          <w:rFonts w:ascii="Arial" w:cs="Arial" w:eastAsia="Arial" w:hAnsi="Arial"/>
          <w:sz w:val="17"/>
          <w:szCs w:val="17"/>
          <w:color w:val="auto"/>
        </w:rPr>
      </w:pPr>
      <w:r>
        <w:rPr>
          <w:rFonts w:ascii="Arial" w:cs="Arial" w:eastAsia="Arial" w:hAnsi="Arial"/>
          <w:sz w:val="17"/>
          <w:szCs w:val="17"/>
          <w:color w:val="auto"/>
        </w:rPr>
        <w:t>within 90 days (or, if earlier, as soon as filed with the SEC) after the end of each fiscal year of the Borrower, commencing with the fiscal year ending December 31, 2020, its audited consolidated balance sheet and audited consolidated statements of income, changes in equity and cash flows as of the end of and for such year, and related notes thereto, setting forth in each case in comparative form the figures for the previous fiscal year, all reported on by Ernst &amp; Young LLP or other independent public accountants of recognized national standing (without a “going concern” or like qualification or exception or any qualification or exception as to the scope of such audit) to the effect that such consolidated financial statements present fairly in all material respects the financial condition and results of operations of the Borrower and the Subsidiaries on a consolidated basis in accordance with GAAP consistently applied;</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84"/>
          </w:cols>
          <w:pgMar w:left="436" w:top="274" w:right="479" w:bottom="1440" w:gutter="0" w:footer="0" w:header="0"/>
        </w:sectPr>
      </w:pPr>
    </w:p>
    <w:bookmarkStart w:id="203" w:name="page204"/>
    <w:bookmarkEnd w:id="203"/>
    <w:p>
      <w:pPr>
        <w:ind w:left="440" w:right="20" w:firstLine="419"/>
        <w:spacing w:after="0" w:line="291" w:lineRule="auto"/>
        <w:tabs>
          <w:tab w:leader="none" w:pos="1118" w:val="left"/>
        </w:tabs>
        <w:numPr>
          <w:ilvl w:val="0"/>
          <w:numId w:val="2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within 45 days (or, if earlier, as soon as filed with the SEC) after the end of each of the first three fiscal quarters of each fiscal year of the Borrower, commencing with the fiscal quarter ending March 31, 2021, its unaudited consolidated balance sheet as of the end of such fiscal quarter, unaudited consolidated statement of income as of the end of and for such fiscal quarter and the then elapsed portion of the fiscal year and unaudited statement of cash flows as of the end of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and results of operations of the Borrower and the Subsidiaries on a consolidated basis in accordance with GAAP consistently applied, subject to normal year-end audit adjustments and the absence of footnotes;</w:t>
      </w:r>
    </w:p>
    <w:p>
      <w:pPr>
        <w:spacing w:after="0" w:line="58" w:lineRule="exact"/>
        <w:rPr>
          <w:rFonts w:ascii="Arial" w:cs="Arial" w:eastAsia="Arial" w:hAnsi="Arial"/>
          <w:sz w:val="16"/>
          <w:szCs w:val="16"/>
          <w:color w:val="auto"/>
        </w:rPr>
      </w:pPr>
    </w:p>
    <w:p>
      <w:pPr>
        <w:ind w:left="440" w:firstLine="419"/>
        <w:spacing w:after="0" w:line="254" w:lineRule="auto"/>
        <w:tabs>
          <w:tab w:leader="none" w:pos="110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concurrently with any delivery of financial statements under paragraph (a) or (b) above, a certificate of a Financial Officer (i) stating that, except as set forth in such certificate, such Financial Officer has no knowledge of any Default existing as of such date and, if a Default does exist, specifying the details thereof and any action taken or proposed to be taken with respect thereto, (ii) setting forth reasonably detailed calculations (including the amounts representing each clause set forth in the definition of “Consolidated EBITDA”) demonstrating compliance with the covenant contained in Section 6.06 and (iii) to the extent that any change in GAAP or application thereof has a material impact on such financial statements, stating whether any change in GAAP or in the application thereof has occurred since the date of the Borrower’s audited financial statements referred to in Section 3.04 and, if any such change has occurred, specifying the effect of such change on the financial statements accompanying such certificate;</w:t>
      </w:r>
    </w:p>
    <w:p>
      <w:pPr>
        <w:spacing w:after="0" w:line="83" w:lineRule="exact"/>
        <w:rPr>
          <w:rFonts w:ascii="Arial" w:cs="Arial" w:eastAsia="Arial" w:hAnsi="Arial"/>
          <w:sz w:val="18"/>
          <w:szCs w:val="18"/>
          <w:color w:val="auto"/>
        </w:rPr>
      </w:pPr>
    </w:p>
    <w:p>
      <w:pPr>
        <w:ind w:left="440" w:right="560" w:firstLine="419"/>
        <w:spacing w:after="0" w:line="263" w:lineRule="auto"/>
        <w:tabs>
          <w:tab w:leader="none" w:pos="111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reports, proxy statements and other material filings (as reasonably determined by the Borrower) filed by the Borrower or any Subsidiary with the SEC or with any national securities exchange, or distributed by the Borrower to the holders of its Equity Interests generally;</w:t>
      </w:r>
    </w:p>
    <w:p>
      <w:pPr>
        <w:spacing w:after="0" w:line="75" w:lineRule="exact"/>
        <w:rPr>
          <w:rFonts w:ascii="Arial" w:cs="Arial" w:eastAsia="Arial" w:hAnsi="Arial"/>
          <w:sz w:val="18"/>
          <w:szCs w:val="18"/>
          <w:color w:val="auto"/>
        </w:rPr>
      </w:pPr>
    </w:p>
    <w:p>
      <w:pPr>
        <w:ind w:left="440" w:right="120" w:firstLine="419"/>
        <w:spacing w:after="0" w:line="263" w:lineRule="auto"/>
        <w:tabs>
          <w:tab w:leader="none" w:pos="110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Borrower or any Subsidiary, or compliance with the terms of any Loan Document, as the Administrative Agent, any Arrangers or any Lenders may reasonably request; and</w:t>
      </w:r>
    </w:p>
    <w:p>
      <w:pPr>
        <w:spacing w:after="0" w:line="75" w:lineRule="exact"/>
        <w:rPr>
          <w:rFonts w:ascii="Arial" w:cs="Arial" w:eastAsia="Arial" w:hAnsi="Arial"/>
          <w:sz w:val="18"/>
          <w:szCs w:val="18"/>
          <w:color w:val="auto"/>
        </w:rPr>
      </w:pPr>
    </w:p>
    <w:p>
      <w:pPr>
        <w:ind w:left="440" w:right="280" w:firstLine="419"/>
        <w:spacing w:after="0" w:line="263" w:lineRule="auto"/>
        <w:tabs>
          <w:tab w:leader="none" w:pos="108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promptly following any request therefor, information and documentation reasonably requested by the Administrative Agent or any Lender for purposes of compliance with applicable “know your customer” and anti-money laundering rules and regulations, including, without limitation, the PATRIOT Act and the Beneficial Ownership Regulation.</w:t>
      </w:r>
    </w:p>
    <w:p>
      <w:pPr>
        <w:spacing w:after="0" w:line="184"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 xml:space="preserve">Information required to be delivered pursuant to clauses (a), (b) and (d) shall be deemed to have been delivered on the date on which the Borrower provides notice to the Administrative Agent and the Lenders that such information has been posted on the Borrower’s website on the Internet at http://ir.nasdaq.com/sec.cfm, at www.sec.gov/edgar/searchedgar/webusers.htm or at another website identified in such notice and accessible by the Lenders without charge;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notice may be included in a certificate delivered pursuant to clause (c).</w:t>
      </w:r>
    </w:p>
    <w:p>
      <w:pPr>
        <w:spacing w:after="0" w:line="171"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The Borrower hereby acknowledges that (a) the Administrative Agent and/or the Arrangers will make available to the Lenders and the Issuing Banks materials and/or information provided by or on behalf of the Borrower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IntraLinks or another similar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may be “public-side” Lenders (</w:t>
      </w:r>
      <w:r>
        <w:rPr>
          <w:rFonts w:ascii="Arial" w:cs="Arial" w:eastAsia="Arial" w:hAnsi="Arial"/>
          <w:sz w:val="18"/>
          <w:szCs w:val="18"/>
          <w:u w:val="single" w:color="auto"/>
          <w:color w:val="auto"/>
        </w:rPr>
        <w:t>i.e</w:t>
      </w:r>
      <w:r>
        <w:rPr>
          <w:rFonts w:ascii="Arial" w:cs="Arial" w:eastAsia="Arial" w:hAnsi="Arial"/>
          <w:sz w:val="18"/>
          <w:szCs w:val="18"/>
          <w:color w:val="auto"/>
        </w:rPr>
        <w:t>., Lenders that do not wish to receive material non-public information with respect to the Borrower, its Affiliates or their respective securities) (each, a “</w:t>
      </w:r>
      <w:r>
        <w:rPr>
          <w:rFonts w:ascii="Arial" w:cs="Arial" w:eastAsia="Arial" w:hAnsi="Arial"/>
          <w:sz w:val="18"/>
          <w:szCs w:val="18"/>
          <w:u w:val="single" w:color="auto"/>
          <w:color w:val="auto"/>
        </w:rPr>
        <w:t>Public</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w:t>
      </w:r>
      <w:r>
        <w:rPr>
          <w:rFonts w:ascii="Arial" w:cs="Arial" w:eastAsia="Arial" w:hAnsi="Arial"/>
          <w:sz w:val="18"/>
          <w:szCs w:val="18"/>
          <w:color w:val="auto"/>
        </w:rPr>
        <w:t>”). The Borrower hereby agrees that it will use commercially reasonable efforts to identify that portion of the Borrower Materials, if any, that may be distributed to the Public Lenders (it being understood and agreed that, unless otherwise agreed by the Borrower in writing, the Borrower shall be under no obligation to provide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4" w:right="459" w:bottom="1440" w:gutter="0" w:footer="0" w:header="0"/>
        </w:sectPr>
      </w:pPr>
    </w:p>
    <w:bookmarkStart w:id="204" w:name="page205"/>
    <w:bookmarkEnd w:id="204"/>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 Materials suitable for distribution to any Public Lender)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Arrangers, the Issuing Banks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such Borrower Materials constitute Information, they shall be treated as set forth in Section 9.12); (y) all Borrower Materials marked “PUBLIC” by the Borrower are permitted to be made available through a portion of the Platform designated “Public Investor”; and (z) the Administrative Agent and the Arrangers shall be entitled to treat any Borrower Materials that are not marked “PUBLIC” as being suitable only for posting on a portion of the Platform not designated “Public Investor.”</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Notices of Material Events</w:t>
      </w:r>
      <w:r>
        <w:rPr>
          <w:rFonts w:ascii="Arial" w:cs="Arial" w:eastAsia="Arial" w:hAnsi="Arial"/>
          <w:sz w:val="17"/>
          <w:szCs w:val="17"/>
          <w:color w:val="auto"/>
        </w:rPr>
        <w:t>. The Borrower will furnish to the Administrative Agent (for distribution to each Lender through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prompt written notice of the following promptly after any Responsible Officer of the Borrower obtains notice thereof:</w:t>
      </w:r>
    </w:p>
    <w:p>
      <w:pPr>
        <w:spacing w:after="0" w:line="103" w:lineRule="exact"/>
        <w:rPr>
          <w:sz w:val="20"/>
          <w:szCs w:val="20"/>
          <w:color w:val="auto"/>
        </w:rPr>
      </w:pPr>
    </w:p>
    <w:p>
      <w:pPr>
        <w:ind w:left="1100" w:hanging="241"/>
        <w:spacing w:after="0"/>
        <w:tabs>
          <w:tab w:leader="none" w:pos="11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117" w:lineRule="exact"/>
        <w:rPr>
          <w:rFonts w:ascii="Arial" w:cs="Arial" w:eastAsia="Arial" w:hAnsi="Arial"/>
          <w:sz w:val="18"/>
          <w:szCs w:val="18"/>
          <w:color w:val="auto"/>
        </w:rPr>
      </w:pPr>
    </w:p>
    <w:p>
      <w:pPr>
        <w:ind w:left="440" w:right="100" w:firstLine="419"/>
        <w:spacing w:after="0" w:line="277" w:lineRule="auto"/>
        <w:tabs>
          <w:tab w:leader="none" w:pos="111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against or affecting the Borrower or any of its Subsidiaries that would reasonably be expected to have a Material Adverse Effect;</w:t>
      </w:r>
    </w:p>
    <w:p>
      <w:pPr>
        <w:spacing w:after="0" w:line="62" w:lineRule="exact"/>
        <w:rPr>
          <w:rFonts w:ascii="Arial" w:cs="Arial" w:eastAsia="Arial" w:hAnsi="Arial"/>
          <w:sz w:val="18"/>
          <w:szCs w:val="18"/>
          <w:color w:val="auto"/>
        </w:rPr>
      </w:pPr>
    </w:p>
    <w:p>
      <w:pPr>
        <w:ind w:left="1100" w:hanging="241"/>
        <w:spacing w:after="0"/>
        <w:tabs>
          <w:tab w:leader="none" w:pos="110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within three Business Days after the occurrence of any ERISA Event that would reasonably be expected to have a Material Adverse</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Effect;</w:t>
      </w:r>
    </w:p>
    <w:p>
      <w:pPr>
        <w:spacing w:after="0" w:line="102" w:lineRule="exact"/>
        <w:rPr>
          <w:rFonts w:ascii="Arial" w:cs="Arial" w:eastAsia="Arial" w:hAnsi="Arial"/>
          <w:sz w:val="17"/>
          <w:szCs w:val="17"/>
          <w:color w:val="auto"/>
        </w:rPr>
      </w:pPr>
    </w:p>
    <w:p>
      <w:pPr>
        <w:ind w:left="1120" w:hanging="261"/>
        <w:spacing w:after="0"/>
        <w:tabs>
          <w:tab w:leader="none" w:pos="11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within five Business Days after any public announcements regarding a change in the Debt Rating; and</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other development that results in, or would reasonably be expected to have, a Material Adverse Effect.</w:t>
      </w:r>
    </w:p>
    <w:p>
      <w:pPr>
        <w:spacing w:after="0" w:line="22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Each notice delivered under this Section 5.02 shall be accompanied by a written statement of a Responsible Officer of the Borrower setting forth the details of the event or development requiring such notice and any action taken or proposed to be taken with respect thereto.</w:t>
      </w:r>
    </w:p>
    <w:p>
      <w:pPr>
        <w:spacing w:after="0" w:line="14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xml:space="preserve">. The Borrower will, and will cause each Material Subsidiary to, do or cause to be done all things necessary to obtain, preserve, renew and keep in full force and effect (a) its legal existence and (b) the rights, licenses, permits, privileges, franchises, patents, copyrights, trademarks and trade names material to the conduct of its business, except, in the case of this clause (b), to the extent that failure to do so would not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transaction permitted under Section 6.03 or 6.05.</w:t>
      </w:r>
    </w:p>
    <w:p>
      <w:pPr>
        <w:spacing w:after="0" w:line="188"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Borrower will, and will cause each Material Subsidiary to, pay its Tax liabilities that, if unpaid, would result in a Lien on any of its assets or properties, before the same shall become delinquent or in default, except (a) where (1) the validity or amount thereof is being contested in good faith by appropriate proceedings and (2) the Borrower or such Material Subsidiary has set aside on its books adequate reserves with respect thereto in accordance with GAAP, or (b) for any failures to pay that would not reasonably be expected to have a Material Adverse Effect.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205" w:name="page206"/>
    <w:bookmarkEnd w:id="205"/>
    <w:p>
      <w:pPr>
        <w:ind w:right="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5.05 </w:t>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 The Borrower will, and will cause each Material Subsidiary to, keep and maintain all tangible property material to the conduct of its business in good working order and condition, ordinary wear and tear excepted, except (a) pursuant to transactions permitted by Section 6.03 or 6.05 or (b) where the failure to do so would not reasonably be expected to have a Material Adverse Effect.</w:t>
      </w:r>
    </w:p>
    <w:p>
      <w:pPr>
        <w:spacing w:after="0" w:line="149"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Insurance</w:t>
      </w:r>
      <w:r>
        <w:rPr>
          <w:rFonts w:ascii="Arial" w:cs="Arial" w:eastAsia="Arial" w:hAnsi="Arial"/>
          <w:sz w:val="18"/>
          <w:szCs w:val="18"/>
          <w:color w:val="auto"/>
        </w:rPr>
        <w:t>. The Borrower will, and will cause each Material Subsidiary to, maintain in all material respects, with insurance companies believed by the Borrower to be financially sound and reputable, (a) insurance in such amounts and against at least such risks as is customarily maintained by companies engaged in the same or similar businesses operating in the same or similar locations and (b) all other insurance as may be required by law. The Borrower will furnish to the Lenders, upon request of the Administrative Agent, information in reasonable detail as to the insurance so maintained.</w:t>
      </w:r>
    </w:p>
    <w:p>
      <w:pPr>
        <w:spacing w:after="0" w:line="18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Books and Records; Inspection and Audit Rights</w:t>
      </w:r>
      <w:r>
        <w:rPr>
          <w:rFonts w:ascii="Arial" w:cs="Arial" w:eastAsia="Arial" w:hAnsi="Arial"/>
          <w:sz w:val="17"/>
          <w:szCs w:val="17"/>
          <w:color w:val="auto"/>
        </w:rPr>
        <w:t>. The Borrower will, and will cause each Subsidiary to, keep proper books of record and account in a manner sufficient to (a) permit the preparation of financial statements in accordance with GAAP and (b) calculate the financial covenant set forth in Section 6.06. Subject to Section 9.12, at reasonable times and as often as reasonably requested during the pendency of a Default or Event of Default, the Borrower will, and will cause each Subsidiary to, permit any representatives designated by the Administrative Agent or any Lender (which shall be coordinated through the Administrative Agent), upon reasonable prior notice, to visit and inspect its properties, to examine and make extracts from its books and records, and to discuss its affairs, finances and condition with its officers and independent accountants (and the Borrower shall be afforded the opportunity to participate in any discussions with such officers and independent accountants). Notwithstanding anything to the contrary in this Section 5.07, none of the Borrower or its Subsidiaries will be required to disclose, permit the inspection, examination or making of extracts, or discussion of, any documents, information or other matter that (i) in respect of which disclosure to the Administrative Agent (or, as applicable, any Lender or any of their respective designated representatives) is then prohibited by law, rule or regulation or any agreement binding on the Borrower or any of its Subsidiaries, (ii) consists of non-financial trade secrets or proprietary computer programs, client and vendor proprietary information, source code, proprietary technology and similar proprietary information or (iii) is subject to attorney-client or similar privilege or constitutes attorney work-product.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77" w:lineRule="auto"/>
        <w:tabs>
          <w:tab w:leader="none" w:pos="68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Borrower will, and will cause each Subsidiary to, comply with all Requirements of Law with respect to it or its property, except where the failure to do so would not reasonably be expected to have a Material Adverse Effect.</w:t>
      </w:r>
    </w:p>
    <w:p>
      <w:pPr>
        <w:spacing w:after="0" w:line="62" w:lineRule="exact"/>
        <w:rPr>
          <w:rFonts w:ascii="Arial" w:cs="Arial" w:eastAsia="Arial" w:hAnsi="Arial"/>
          <w:sz w:val="18"/>
          <w:szCs w:val="18"/>
          <w:color w:val="auto"/>
        </w:rPr>
      </w:pPr>
    </w:p>
    <w:p>
      <w:pPr>
        <w:ind w:right="200" w:firstLine="436"/>
        <w:spacing w:after="0" w:line="342" w:lineRule="auto"/>
        <w:tabs>
          <w:tab w:leader="none" w:pos="695"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Borrower will maintain in effect and enforce policies and procedures reasonably designed to achieve compliance in all material respects by the Borrower, its Subsidiaries and their respective directors, officers, employees and agents with Anti-Corruption Laws and applicable Sanctions.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NEGATIVE COVENANTS</w:t>
      </w:r>
    </w:p>
    <w:p>
      <w:pPr>
        <w:spacing w:after="0" w:line="225"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Beginning on the Closing Date after giving effect to the Loans made on the Closing Date and continuing thereafter until the Commitments have expired or been terminated and the principal of and interest on each Loan and all fees, expenses and other amounts payable (other than contingent amounts not yet due) under any Loan Document have been paid in full and all Letters of Credit have expired, been terminated or been Cash Collateralized on terms reasonably acceptable to the Issuing Banks, the Borrower covenants and agrees with the Lenders that: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6.01 </w:t>
      </w:r>
      <w:r>
        <w:rPr>
          <w:rFonts w:ascii="Arial" w:cs="Arial" w:eastAsia="Arial" w:hAnsi="Arial"/>
          <w:sz w:val="18"/>
          <w:szCs w:val="18"/>
          <w:u w:val="single" w:color="auto"/>
          <w:color w:val="auto"/>
        </w:rPr>
        <w:t>Indebtedness of Subsidiaries</w:t>
      </w:r>
      <w:r>
        <w:rPr>
          <w:rFonts w:ascii="Arial" w:cs="Arial" w:eastAsia="Arial" w:hAnsi="Arial"/>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Borrower will not permit any Subsidiary to create, incur, assume or permit to exist any Funded Indebtedness other than:</w:t>
      </w:r>
    </w:p>
    <w:p>
      <w:pPr>
        <w:spacing w:after="0" w:line="117" w:lineRule="exact"/>
        <w:rPr>
          <w:sz w:val="20"/>
          <w:szCs w:val="20"/>
          <w:color w:val="auto"/>
        </w:rPr>
      </w:pPr>
    </w:p>
    <w:p>
      <w:pPr>
        <w:ind w:left="640" w:hanging="221"/>
        <w:spacing w:after="0"/>
        <w:tabs>
          <w:tab w:leader="none" w:pos="6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Indebtedness of any Subsidiary to the Borrower or any other Subsidiary;</w:t>
      </w:r>
    </w:p>
    <w:p>
      <w:pPr>
        <w:spacing w:after="0" w:line="117" w:lineRule="exact"/>
        <w:rPr>
          <w:rFonts w:ascii="Arial" w:cs="Arial" w:eastAsia="Arial" w:hAnsi="Arial"/>
          <w:sz w:val="18"/>
          <w:szCs w:val="18"/>
          <w:color w:val="auto"/>
        </w:rPr>
      </w:pPr>
    </w:p>
    <w:p>
      <w:pPr>
        <w:ind w:right="460" w:firstLine="419"/>
        <w:spacing w:after="0" w:line="277" w:lineRule="auto"/>
        <w:tabs>
          <w:tab w:leader="none" w:pos="68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Guarantees by any Subsidiary of Indebtedness of any other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Indebtedness so Guaranteed is otherwise permitted by this Section 6.01;</w:t>
      </w:r>
    </w:p>
    <w:p>
      <w:pPr>
        <w:spacing w:after="0" w:line="62" w:lineRule="exact"/>
        <w:rPr>
          <w:rFonts w:ascii="Arial" w:cs="Arial" w:eastAsia="Arial" w:hAnsi="Arial"/>
          <w:sz w:val="18"/>
          <w:szCs w:val="18"/>
          <w:color w:val="auto"/>
        </w:rPr>
      </w:pPr>
    </w:p>
    <w:p>
      <w:pPr>
        <w:ind w:right="20" w:firstLine="419"/>
        <w:spacing w:after="0" w:line="259" w:lineRule="auto"/>
        <w:tabs>
          <w:tab w:leader="none" w:pos="73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other Indebtedness of the Subsidiaries in an aggregate principal amount not exceeding the greater of (x) $450,000,000 at any time outstanding and (y) 30% of Consolidated EBITDA for the four consecutive fiscal quarter period of the Borrower most-recently ended on or prior to the most recent date any Indebtedness is incurred in reliance on this clause (iii) for which financial statements have been or were required to be delivered pursuant to paragraph (a) or (b) of Section 5.01;</w:t>
      </w:r>
    </w:p>
    <w:p>
      <w:pPr>
        <w:spacing w:after="0" w:line="78" w:lineRule="exact"/>
        <w:rPr>
          <w:rFonts w:ascii="Arial" w:cs="Arial" w:eastAsia="Arial" w:hAnsi="Arial"/>
          <w:sz w:val="18"/>
          <w:szCs w:val="18"/>
          <w:color w:val="auto"/>
        </w:rPr>
      </w:pPr>
    </w:p>
    <w:p>
      <w:pPr>
        <w:ind w:right="20" w:firstLine="419"/>
        <w:spacing w:after="0" w:line="263" w:lineRule="auto"/>
        <w:tabs>
          <w:tab w:leader="none" w:pos="72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Indebtedness owed to any Person (including obligations in respect of letters of credit for the benefit of such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75" w:lineRule="exact"/>
        <w:rPr>
          <w:rFonts w:ascii="Arial" w:cs="Arial" w:eastAsia="Arial" w:hAnsi="Arial"/>
          <w:sz w:val="18"/>
          <w:szCs w:val="18"/>
          <w:color w:val="auto"/>
        </w:rPr>
      </w:pPr>
    </w:p>
    <w:p>
      <w:pPr>
        <w:ind w:right="40" w:firstLine="419"/>
        <w:spacing w:after="0" w:line="263" w:lineRule="auto"/>
        <w:tabs>
          <w:tab w:leader="none" w:pos="67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Indebtedness of any Subsidiary in respect of performance bonds, bid bonds, appeal bonds, surety bonds, performance and completion guarantees and similar obligations (other than in respect of other Indebtedness for borrowed money), in each case provided in the ordinary course of business;</w:t>
      </w:r>
    </w:p>
    <w:p>
      <w:pPr>
        <w:spacing w:after="0" w:line="75" w:lineRule="exact"/>
        <w:rPr>
          <w:rFonts w:ascii="Arial" w:cs="Arial" w:eastAsia="Arial" w:hAnsi="Arial"/>
          <w:sz w:val="18"/>
          <w:szCs w:val="18"/>
          <w:color w:val="auto"/>
        </w:rPr>
      </w:pPr>
    </w:p>
    <w:p>
      <w:pPr>
        <w:ind w:left="720" w:hanging="301"/>
        <w:spacing w:after="0"/>
        <w:tabs>
          <w:tab w:leader="none" w:pos="7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Indebtedness of a Subsidiary in respect of non-speculative Swap Agreements relating to the business or operations of such Subsidiary;</w:t>
      </w:r>
    </w:p>
    <w:p>
      <w:pPr>
        <w:spacing w:after="0" w:line="140" w:lineRule="exact"/>
        <w:rPr>
          <w:rFonts w:ascii="Arial" w:cs="Arial" w:eastAsia="Arial" w:hAnsi="Arial"/>
          <w:sz w:val="16"/>
          <w:szCs w:val="16"/>
          <w:color w:val="auto"/>
        </w:rPr>
      </w:pPr>
    </w:p>
    <w:p>
      <w:pPr>
        <w:ind w:right="260" w:firstLine="419"/>
        <w:spacing w:after="0" w:line="277" w:lineRule="auto"/>
        <w:tabs>
          <w:tab w:leader="none" w:pos="77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financial institution of a check or similar instrument drawn against insufficient funds in the ordinary course of business, so long as such Indebtedness is repaid within ten Business Days;</w:t>
      </w:r>
    </w:p>
    <w:p>
      <w:pPr>
        <w:spacing w:after="0" w:line="62" w:lineRule="exact"/>
        <w:rPr>
          <w:rFonts w:ascii="Arial" w:cs="Arial" w:eastAsia="Arial" w:hAnsi="Arial"/>
          <w:sz w:val="18"/>
          <w:szCs w:val="18"/>
          <w:color w:val="auto"/>
        </w:rPr>
      </w:pPr>
    </w:p>
    <w:p>
      <w:pPr>
        <w:ind w:firstLine="419"/>
        <w:spacing w:after="0" w:line="279" w:lineRule="auto"/>
        <w:tabs>
          <w:tab w:leader="none" w:pos="828" w:val="left"/>
        </w:tabs>
        <w:numPr>
          <w:ilvl w:val="0"/>
          <w:numId w:val="221"/>
        </w:numPr>
        <w:rPr>
          <w:rFonts w:ascii="Arial" w:cs="Arial" w:eastAsia="Arial" w:hAnsi="Arial"/>
          <w:sz w:val="17"/>
          <w:szCs w:val="17"/>
          <w:color w:val="auto"/>
        </w:rPr>
      </w:pPr>
      <w:r>
        <w:rPr>
          <w:rFonts w:ascii="Arial" w:cs="Arial" w:eastAsia="Arial" w:hAnsi="Arial"/>
          <w:sz w:val="17"/>
          <w:szCs w:val="17"/>
          <w:color w:val="auto"/>
        </w:rPr>
        <w:t xml:space="preserve">Indebtedness in respect of letters of credit, guarantees, counter-indemnities and short term facilities incurred by any Subsidiary engaged in Clearing Operations in connection with the ordinary clearing, depository and settlement procedures (including, without limitation, any letter of credit or guarantees provided to any central securities depositories or external custodians) relating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advances thereunder are repaid within 10 days following the date of such advance or any drawing under any letter of credit or guarantee;</w:t>
      </w:r>
    </w:p>
    <w:p>
      <w:pPr>
        <w:spacing w:after="0" w:line="63" w:lineRule="exact"/>
        <w:rPr>
          <w:rFonts w:ascii="Arial" w:cs="Arial" w:eastAsia="Arial" w:hAnsi="Arial"/>
          <w:sz w:val="17"/>
          <w:szCs w:val="17"/>
          <w:color w:val="auto"/>
        </w:rPr>
      </w:pPr>
    </w:p>
    <w:p>
      <w:pPr>
        <w:ind w:right="120" w:firstLine="419"/>
        <w:spacing w:after="0" w:line="259" w:lineRule="auto"/>
        <w:tabs>
          <w:tab w:leader="none" w:pos="72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any Indebtedness of any Clearing House incurred in connection with arrangements related to any Clearing Operations where such Indebtedness arises under the rules, normal procedures, agreements or legislation governing the Clearing Operations or such Clearing House;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loans, advances or other outstanding Indebtedness thereunder are repaid within 10 days following the date on which such loan or advance was made or any other such Indebtedness was incurred;</w:t>
      </w:r>
    </w:p>
    <w:p>
      <w:pPr>
        <w:spacing w:after="0" w:line="11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500"/>
          </w:cols>
          <w:pgMar w:left="880" w:top="274" w:right="519" w:bottom="1440" w:gutter="0" w:footer="0" w:header="0"/>
        </w:sectPr>
      </w:pPr>
    </w:p>
    <w:bookmarkStart w:id="207" w:name="page208"/>
    <w:bookmarkEnd w:id="207"/>
    <w:p>
      <w:pPr>
        <w:ind w:left="4" w:right="60" w:firstLine="419"/>
        <w:spacing w:after="0" w:line="259" w:lineRule="auto"/>
        <w:tabs>
          <w:tab w:leader="none" w:pos="681" w:val="left"/>
        </w:tabs>
        <w:numPr>
          <w:ilvl w:val="1"/>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Indebtedness arising as a result of short-term sale and repurchase transactions entered into by a Subsidiary on market terms and in respect of marketable securities held for investment purposes where the applicable Subsidiary enters into back to back, foreign exchange, swap or derivative transaction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such Indebtedness doesn’t exceed the principal amount of the securities sold;</w:t>
      </w:r>
    </w:p>
    <w:p>
      <w:pPr>
        <w:spacing w:after="0" w:line="78" w:lineRule="exact"/>
        <w:rPr>
          <w:rFonts w:ascii="Arial" w:cs="Arial" w:eastAsia="Arial" w:hAnsi="Arial"/>
          <w:sz w:val="18"/>
          <w:szCs w:val="18"/>
          <w:color w:val="auto"/>
        </w:rPr>
      </w:pPr>
    </w:p>
    <w:p>
      <w:pPr>
        <w:ind w:left="4" w:right="540" w:firstLine="419"/>
        <w:spacing w:after="0" w:line="277" w:lineRule="auto"/>
        <w:tabs>
          <w:tab w:leader="none" w:pos="73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Indebtedness incurred in connection with the administration of the UK ESOP Program in the ordinary course of business and not outstanding longer than seven days;</w:t>
      </w:r>
    </w:p>
    <w:p>
      <w:pPr>
        <w:spacing w:after="0" w:line="62" w:lineRule="exact"/>
        <w:rPr>
          <w:rFonts w:ascii="Arial" w:cs="Arial" w:eastAsia="Arial" w:hAnsi="Arial"/>
          <w:sz w:val="18"/>
          <w:szCs w:val="18"/>
          <w:color w:val="auto"/>
        </w:rPr>
      </w:pPr>
    </w:p>
    <w:p>
      <w:pPr>
        <w:ind w:left="4" w:right="20" w:firstLine="419"/>
        <w:spacing w:after="0" w:line="259" w:lineRule="auto"/>
        <w:tabs>
          <w:tab w:leader="none" w:pos="78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Indebtedness of Regulated Subsidiaries or any direct or indirect parent of any such Regulated Subsidiary incurred to satisfy such Regulated Subsidiary’s determination of any requirement imposed at any time or from time to time by any Governmental Authority in an aggregate principal amount not to exceed $250,000,000 at any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Indebtedness is not outstanding for longer than 30 days;</w:t>
      </w:r>
    </w:p>
    <w:p>
      <w:pPr>
        <w:spacing w:after="0" w:line="78" w:lineRule="exact"/>
        <w:rPr>
          <w:rFonts w:ascii="Arial" w:cs="Arial" w:eastAsia="Arial" w:hAnsi="Arial"/>
          <w:sz w:val="18"/>
          <w:szCs w:val="18"/>
          <w:color w:val="auto"/>
        </w:rPr>
      </w:pPr>
    </w:p>
    <w:p>
      <w:pPr>
        <w:ind w:left="824" w:hanging="401"/>
        <w:spacing w:after="0"/>
        <w:tabs>
          <w:tab w:leader="none" w:pos="82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in the ordinary course of business;</w:t>
      </w:r>
    </w:p>
    <w:p>
      <w:pPr>
        <w:spacing w:after="0" w:line="117" w:lineRule="exact"/>
        <w:rPr>
          <w:rFonts w:ascii="Arial" w:cs="Arial" w:eastAsia="Arial" w:hAnsi="Arial"/>
          <w:sz w:val="18"/>
          <w:szCs w:val="18"/>
          <w:color w:val="auto"/>
        </w:rPr>
      </w:pPr>
    </w:p>
    <w:p>
      <w:pPr>
        <w:ind w:left="4" w:right="140" w:firstLine="419"/>
        <w:spacing w:after="0" w:line="277" w:lineRule="auto"/>
        <w:tabs>
          <w:tab w:leader="none" w:pos="82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Indebtedness of any Subsidiary consisting of purchase money Indebtedness and Capital Lease Obligations not to exceed $50,000,000 outstanding at any time;</w:t>
      </w:r>
    </w:p>
    <w:p>
      <w:pPr>
        <w:spacing w:after="0" w:line="62" w:lineRule="exact"/>
        <w:rPr>
          <w:rFonts w:ascii="Arial" w:cs="Arial" w:eastAsia="Arial" w:hAnsi="Arial"/>
          <w:sz w:val="18"/>
          <w:szCs w:val="18"/>
          <w:color w:val="auto"/>
        </w:rPr>
      </w:pPr>
    </w:p>
    <w:p>
      <w:pPr>
        <w:ind w:left="4" w:right="20" w:firstLine="419"/>
        <w:spacing w:after="0" w:line="263" w:lineRule="auto"/>
        <w:tabs>
          <w:tab w:leader="none" w:pos="77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Indebtedness arising from agreements of any Subsidiary providing for indemnification, adjustment of purchase or acquisition price or similar obligations, in each case, incurred or assumed in connection with any Acquisition or the disposition of any business, assets or a Subsidiary not prohibited by this Agreement;</w:t>
      </w:r>
    </w:p>
    <w:p>
      <w:pPr>
        <w:spacing w:after="0" w:line="75" w:lineRule="exact"/>
        <w:rPr>
          <w:rFonts w:ascii="Arial" w:cs="Arial" w:eastAsia="Arial" w:hAnsi="Arial"/>
          <w:sz w:val="18"/>
          <w:szCs w:val="18"/>
          <w:color w:val="auto"/>
        </w:rPr>
      </w:pPr>
    </w:p>
    <w:p>
      <w:pPr>
        <w:ind w:left="824" w:hanging="401"/>
        <w:spacing w:after="0"/>
        <w:tabs>
          <w:tab w:leader="none" w:pos="824" w:val="left"/>
        </w:tabs>
        <w:numPr>
          <w:ilvl w:val="1"/>
          <w:numId w:val="222"/>
        </w:numPr>
        <w:rPr>
          <w:rFonts w:ascii="Arial" w:cs="Arial" w:eastAsia="Arial" w:hAnsi="Arial"/>
          <w:sz w:val="17"/>
          <w:szCs w:val="17"/>
          <w:color w:val="auto"/>
        </w:rPr>
      </w:pPr>
      <w:r>
        <w:rPr>
          <w:rFonts w:ascii="Arial" w:cs="Arial" w:eastAsia="Arial" w:hAnsi="Arial"/>
          <w:sz w:val="17"/>
          <w:szCs w:val="17"/>
          <w:color w:val="auto"/>
        </w:rPr>
        <w:t>Indebtedness supported by a Letter of Credit, in a principal amount not in excess of the stated amount of such Letter of Credit;</w:t>
      </w:r>
    </w:p>
    <w:p>
      <w:pPr>
        <w:spacing w:after="0" w:line="128" w:lineRule="exact"/>
        <w:rPr>
          <w:rFonts w:ascii="Arial" w:cs="Arial" w:eastAsia="Arial" w:hAnsi="Arial"/>
          <w:sz w:val="17"/>
          <w:szCs w:val="17"/>
          <w:color w:val="auto"/>
        </w:rPr>
      </w:pPr>
    </w:p>
    <w:p>
      <w:pPr>
        <w:ind w:left="4" w:firstLine="419"/>
        <w:spacing w:after="0" w:line="285" w:lineRule="auto"/>
        <w:tabs>
          <w:tab w:leader="none" w:pos="871"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 Indebtedness of any Person that is merged or consolidated with and into any Subsidiary or of any Person that otherwise becomes a Subsidiary after the Closing Date; provided that (x) such Indebtedness exists at the time such Person becomes a Subsidiary and is not created in contemplation of or in connection with such Person becoming a Subsidiary and (y) immediately after giving effect to the consummation of such merger or consolidation or such Person otherwise becoming a Subsidiary, the Borrower would be in compliance on a Pro Forma Basis with the covenant set forth in Section 6.06 as of the most recent test date for which financial statements have been delivered pursuant to paragraph (a) or</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of Section 5.01, and (B) extensions, renewals, replacements and refinancings of any Indebtedness outstanding pursuant to this</w:t>
      </w:r>
    </w:p>
    <w:p>
      <w:pPr>
        <w:spacing w:after="0" w:line="9" w:lineRule="exact"/>
        <w:rPr>
          <w:sz w:val="20"/>
          <w:szCs w:val="20"/>
          <w:color w:val="auto"/>
        </w:rPr>
      </w:pPr>
    </w:p>
    <w:p>
      <w:pPr>
        <w:ind w:left="4" w:right="80"/>
        <w:spacing w:after="0" w:line="295" w:lineRule="auto"/>
        <w:rPr>
          <w:sz w:val="20"/>
          <w:szCs w:val="20"/>
          <w:color w:val="auto"/>
        </w:rPr>
      </w:pPr>
      <w:r>
        <w:rPr>
          <w:rFonts w:ascii="Arial" w:cs="Arial" w:eastAsia="Arial" w:hAnsi="Arial"/>
          <w:sz w:val="16"/>
          <w:szCs w:val="16"/>
          <w:color w:val="auto"/>
        </w:rPr>
        <w:t xml:space="preserve">Section 6.01(xvii);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Indebtedness outstanding pursuant to this subclause (B) shall not exceed the greater of (i) an aggregate principal amount of $150,000,000 at any time outstanding and (ii) 10% of Consolidated EBITDA for the four consecutive fiscal quarter period of the Borrower most-recently ended on or prior to the most recent date any Indebtedness is incurred in reliance on this subclause (B) for which financial statements have been or were required to be delivered pursuant to paragraph (a) or (b) of Section 5.01; and</w:t>
      </w:r>
    </w:p>
    <w:p>
      <w:pPr>
        <w:spacing w:after="0" w:line="53" w:lineRule="exact"/>
        <w:rPr>
          <w:sz w:val="20"/>
          <w:szCs w:val="20"/>
          <w:color w:val="auto"/>
        </w:rPr>
      </w:pPr>
    </w:p>
    <w:p>
      <w:pPr>
        <w:ind w:left="4" w:right="40" w:firstLine="419"/>
        <w:spacing w:after="0" w:line="255" w:lineRule="auto"/>
        <w:tabs>
          <w:tab w:leader="none" w:pos="92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Indebtedness arising from repurchase agreements, reverse repurchase agreements, sell buy back and buy sell back agreements, securities lending and borrowing agreements and any other similar agreement or transaction (including Swap Agreements) entered into by the Borrower or such Subsidiary in the ordinary course of its clearing, depository and settlement operations, or matters reasonably related or incidental thereto, or in the management of its liabilities;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such Indebtedness outstanding at any time does not exceed the market value of the securities or other assets sold, loaned or borrowed or otherwise subject to such applicable agreement or transaction at such time.</w:t>
      </w:r>
    </w:p>
    <w:p>
      <w:pPr>
        <w:spacing w:after="0" w:line="125"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544"/>
          </w:cols>
          <w:pgMar w:left="876" w:top="274" w:right="479" w:bottom="1440" w:gutter="0" w:footer="0" w:header="0"/>
        </w:sectPr>
      </w:pPr>
    </w:p>
    <w:bookmarkStart w:id="208" w:name="page209"/>
    <w:bookmarkEnd w:id="208"/>
    <w:p>
      <w:pPr>
        <w:ind w:right="60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6.02 </w:t>
      </w:r>
      <w:r>
        <w:rPr>
          <w:rFonts w:ascii="Arial" w:cs="Arial" w:eastAsia="Arial" w:hAnsi="Arial"/>
          <w:sz w:val="17"/>
          <w:szCs w:val="17"/>
          <w:u w:val="single" w:color="auto"/>
          <w:color w:val="auto"/>
        </w:rPr>
        <w:t>Liens</w:t>
      </w:r>
      <w:r>
        <w:rPr>
          <w:rFonts w:ascii="Arial" w:cs="Arial" w:eastAsia="Arial" w:hAnsi="Arial"/>
          <w:sz w:val="17"/>
          <w:szCs w:val="17"/>
          <w:color w:val="auto"/>
        </w:rPr>
        <w:t>. The Borrower will not, nor will it permit any Subsidiary to, create, incur, assume or permit to exist any Lien on any property or asset now owned or hereafter acquired by it to secure any Indebtedness of the Borrower or any Subsidiary, except:</w:t>
      </w:r>
    </w:p>
    <w:p>
      <w:pPr>
        <w:spacing w:after="0" w:line="38" w:lineRule="exact"/>
        <w:rPr>
          <w:sz w:val="20"/>
          <w:szCs w:val="20"/>
          <w:color w:val="auto"/>
        </w:rPr>
      </w:pPr>
    </w:p>
    <w:p>
      <w:pPr>
        <w:ind w:left="1100" w:hanging="241"/>
        <w:spacing w:after="0"/>
        <w:tabs>
          <w:tab w:leader="none" w:pos="11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117" w:lineRule="exact"/>
        <w:rPr>
          <w:rFonts w:ascii="Arial" w:cs="Arial" w:eastAsia="Arial" w:hAnsi="Arial"/>
          <w:sz w:val="18"/>
          <w:szCs w:val="18"/>
          <w:color w:val="auto"/>
        </w:rPr>
      </w:pPr>
    </w:p>
    <w:p>
      <w:pPr>
        <w:ind w:left="440" w:firstLine="419"/>
        <w:spacing w:after="0" w:line="255" w:lineRule="auto"/>
        <w:tabs>
          <w:tab w:leader="none" w:pos="111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any Lien on any property or asset of the Borrower or any Subsidiary existing on the Closing Date and set forth in </w:t>
      </w:r>
      <w:r>
        <w:rPr>
          <w:rFonts w:ascii="Arial" w:cs="Arial" w:eastAsia="Arial" w:hAnsi="Arial"/>
          <w:sz w:val="18"/>
          <w:szCs w:val="18"/>
          <w:u w:val="single" w:color="auto"/>
          <w:color w:val="auto"/>
        </w:rPr>
        <w:t>Schedule 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Lien shall not apply to any other property or asset of the Borrower or any Subsidiary and (B) such Lien shall secure only those obligations that it secures on the date hereof and refinancings, extensions, renewals and replacements thereof so long as the principal amount of such refinancings, extensions, renewals and replacements does not exceed the principal amount of the obligations being refinanced, extended, renewed or replaced (plus any accrued but unpaid interest and premium or penalty payable by the terms of such obligations thereon and reasonable fees and expenses associated therewith);</w:t>
      </w:r>
    </w:p>
    <w:p>
      <w:pPr>
        <w:spacing w:after="0" w:line="84" w:lineRule="exact"/>
        <w:rPr>
          <w:rFonts w:ascii="Arial" w:cs="Arial" w:eastAsia="Arial" w:hAnsi="Arial"/>
          <w:sz w:val="18"/>
          <w:szCs w:val="18"/>
          <w:color w:val="auto"/>
        </w:rPr>
      </w:pPr>
    </w:p>
    <w:p>
      <w:pPr>
        <w:ind w:left="440" w:right="60" w:firstLine="419"/>
        <w:spacing w:after="0" w:line="270" w:lineRule="auto"/>
        <w:tabs>
          <w:tab w:leader="none" w:pos="1108"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any Lien existing on any property or asset prior to the acquisition thereof by the Borrower or any Subsidiary or existing on any property or asset of any Person that becomes a Subsidiary after the date hereof prior to the time such Person becomes a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Lien is not created in contemplation of or in connection with such acquisition or such Person becoming a Subsidiary, as the case may be, (B) such Lien shall not apply to any other property or asset of the Borrower or any Subsidiary other than proceeds of such property or asset and (C) such Lien shall secure only those obligations that it secures on the date of such acquisition or the date such Person becomes a Subsidiary, as the case may be, and refinancings, extensions, renewals and replacements thereof so long as the principal amount of such refinancings, extensions, renewals and replacements does not exceed the principal amount of the obligations being refinanced, extended, renewed or replaced (plus any accrued but unpaid interest and premium or penalty payable by the terms of such obligations thereon and reasonable fees and expenses associated therewith);</w:t>
      </w:r>
    </w:p>
    <w:p>
      <w:pPr>
        <w:spacing w:after="0" w:line="72" w:lineRule="exact"/>
        <w:rPr>
          <w:rFonts w:ascii="Arial" w:cs="Arial" w:eastAsia="Arial" w:hAnsi="Arial"/>
          <w:sz w:val="17"/>
          <w:szCs w:val="17"/>
          <w:color w:val="auto"/>
        </w:rPr>
      </w:pPr>
    </w:p>
    <w:p>
      <w:pPr>
        <w:ind w:left="440" w:right="20" w:firstLine="419"/>
        <w:spacing w:after="0" w:line="259" w:lineRule="auto"/>
        <w:tabs>
          <w:tab w:leader="none" w:pos="111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Liens on fixed or capital assets acquired, constructed or improved (including any such assets made the subject of a Capital Lease Obligation incurred) by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Indebtedness secured thereby does not exceed the cost of acquiring, constructing or improving such fixed or capital asset and (B) such Liens shall not apply to any other property or assets of the Borrower or any Subsidiary other than proceeds of such property or assets;</w:t>
      </w:r>
    </w:p>
    <w:p>
      <w:pPr>
        <w:spacing w:after="0" w:line="78" w:lineRule="exact"/>
        <w:rPr>
          <w:rFonts w:ascii="Arial" w:cs="Arial" w:eastAsia="Arial" w:hAnsi="Arial"/>
          <w:sz w:val="18"/>
          <w:szCs w:val="18"/>
          <w:color w:val="auto"/>
        </w:rPr>
      </w:pPr>
    </w:p>
    <w:p>
      <w:pPr>
        <w:ind w:left="440" w:right="220" w:firstLine="419"/>
        <w:spacing w:after="0" w:line="277" w:lineRule="auto"/>
        <w:tabs>
          <w:tab w:leader="none" w:pos="110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Liens of a collecting bank arising in the ordinary course of business under Section 4-208 of the Uniform Commercial Code in effect in the relevant jurisdiction covering only the items being collected upon;</w:t>
      </w:r>
    </w:p>
    <w:p>
      <w:pPr>
        <w:spacing w:after="0" w:line="62" w:lineRule="exact"/>
        <w:rPr>
          <w:rFonts w:ascii="Arial" w:cs="Arial" w:eastAsia="Arial" w:hAnsi="Arial"/>
          <w:sz w:val="18"/>
          <w:szCs w:val="18"/>
          <w:color w:val="auto"/>
        </w:rPr>
      </w:pPr>
    </w:p>
    <w:p>
      <w:pPr>
        <w:ind w:left="440" w:right="600" w:firstLine="419"/>
        <w:spacing w:after="0" w:line="277" w:lineRule="auto"/>
        <w:tabs>
          <w:tab w:leader="none" w:pos="108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Liens representing any interest or title of a licensor, lessor or sublicensor or sublessor under any lease or license permitted by this Agreement;</w:t>
      </w:r>
    </w:p>
    <w:p>
      <w:pPr>
        <w:spacing w:after="0" w:line="62" w:lineRule="exact"/>
        <w:rPr>
          <w:rFonts w:ascii="Arial" w:cs="Arial" w:eastAsia="Arial" w:hAnsi="Arial"/>
          <w:sz w:val="18"/>
          <w:szCs w:val="18"/>
          <w:color w:val="auto"/>
        </w:rPr>
      </w:pPr>
    </w:p>
    <w:p>
      <w:pPr>
        <w:ind w:left="440" w:right="540" w:firstLine="419"/>
        <w:spacing w:after="0" w:line="257" w:lineRule="auto"/>
        <w:tabs>
          <w:tab w:leader="none" w:pos="111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Liens not otherwise permitted by this Section 6.02 to the extent that the aggregate outstanding principal amount of the obligations secured thereby does not exceed the greater of (i) $225,000,000 at any time outstanding and (ii) 15% of Consolidated EBITDA for the four consecutive fiscal quarter period of the Borrower most-recently ended on or prior to the most recent date any Lien is created or incurred in reliance on this clause (g) for which financial statements have been or were required to be delivered pursuant to paragraph (a) or (b) of Section 5.01;</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209" w:name="page210"/>
    <w:bookmarkEnd w:id="209"/>
    <w:p>
      <w:pPr>
        <w:ind w:right="240" w:firstLine="419"/>
        <w:spacing w:after="0" w:line="277" w:lineRule="auto"/>
        <w:tabs>
          <w:tab w:leader="none" w:pos="678"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granted by a Subsidiary in favor of the Borrower or another Subsidiary in respect of Indebtedness or other obligations owed by such Subsidiary to the Borrower or such other Subsidiary;</w:t>
      </w:r>
    </w:p>
    <w:p>
      <w:pPr>
        <w:spacing w:after="0" w:line="62" w:lineRule="exact"/>
        <w:rPr>
          <w:rFonts w:ascii="Arial" w:cs="Arial" w:eastAsia="Arial" w:hAnsi="Arial"/>
          <w:sz w:val="18"/>
          <w:szCs w:val="18"/>
          <w:color w:val="auto"/>
        </w:rPr>
      </w:pPr>
    </w:p>
    <w:p>
      <w:pPr>
        <w:ind w:right="360" w:firstLine="419"/>
        <w:spacing w:after="0" w:line="277" w:lineRule="auto"/>
        <w:tabs>
          <w:tab w:leader="none" w:pos="63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Indebtedness consisting of the financing of insurance premiums in the ordinary course of business;</w:t>
      </w:r>
    </w:p>
    <w:p>
      <w:pPr>
        <w:spacing w:after="0" w:line="62" w:lineRule="exact"/>
        <w:rPr>
          <w:rFonts w:ascii="Arial" w:cs="Arial" w:eastAsia="Arial" w:hAnsi="Arial"/>
          <w:sz w:val="18"/>
          <w:szCs w:val="18"/>
          <w:color w:val="auto"/>
        </w:rPr>
      </w:pPr>
    </w:p>
    <w:p>
      <w:pPr>
        <w:ind w:right="60" w:firstLine="419"/>
        <w:spacing w:after="0" w:line="277" w:lineRule="auto"/>
        <w:tabs>
          <w:tab w:leader="none" w:pos="63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Liens granted by a Subsidiary to secure obligations that do not constitute Indebtedness and are incurred in connection with the exchange and clearing operations of such Subsidiary in the ordinary course of business;</w:t>
      </w:r>
    </w:p>
    <w:p>
      <w:pPr>
        <w:spacing w:after="0" w:line="62" w:lineRule="exact"/>
        <w:rPr>
          <w:rFonts w:ascii="Arial" w:cs="Arial" w:eastAsia="Arial" w:hAnsi="Arial"/>
          <w:sz w:val="18"/>
          <w:szCs w:val="18"/>
          <w:color w:val="auto"/>
        </w:rPr>
      </w:pPr>
    </w:p>
    <w:p>
      <w:pPr>
        <w:ind w:right="400" w:firstLine="419"/>
        <w:spacing w:after="0" w:line="277" w:lineRule="auto"/>
        <w:tabs>
          <w:tab w:leader="none" w:pos="67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Liens solely on earnest money deposits made by the Borrower or any Subsidiary in connection with any letter of intent or purchase agreement in respect of any Acquisition or other Investment;</w:t>
      </w:r>
    </w:p>
    <w:p>
      <w:pPr>
        <w:spacing w:after="0" w:line="62" w:lineRule="exact"/>
        <w:rPr>
          <w:rFonts w:ascii="Arial" w:cs="Arial" w:eastAsia="Arial" w:hAnsi="Arial"/>
          <w:sz w:val="18"/>
          <w:szCs w:val="18"/>
          <w:color w:val="auto"/>
        </w:rPr>
      </w:pPr>
    </w:p>
    <w:p>
      <w:pPr>
        <w:ind w:right="200" w:firstLine="419"/>
        <w:spacing w:after="0" w:line="277" w:lineRule="auto"/>
        <w:tabs>
          <w:tab w:leader="none" w:pos="63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Liens securing obligations in respect of non-speculative Swap Agreements relating to the business or operations of the Borrower or its Subsidiaries;</w:t>
      </w:r>
    </w:p>
    <w:p>
      <w:pPr>
        <w:spacing w:after="0" w:line="62" w:lineRule="exact"/>
        <w:rPr>
          <w:rFonts w:ascii="Arial" w:cs="Arial" w:eastAsia="Arial" w:hAnsi="Arial"/>
          <w:sz w:val="18"/>
          <w:szCs w:val="18"/>
          <w:color w:val="auto"/>
        </w:rPr>
      </w:pPr>
    </w:p>
    <w:p>
      <w:pPr>
        <w:ind w:firstLine="419"/>
        <w:spacing w:after="0" w:line="255" w:lineRule="auto"/>
        <w:tabs>
          <w:tab w:leader="none" w:pos="72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Liens arising in connection with the operations of the Borrower or any Subsidiary relating to clearing, depository, matched principal, regulated exchange or settlement activities or the management of liabilities, in each case, in the ordinary course of business, including, without limitation, (i) Liens on securities sold by the Borrower or any of the Borrower’s Subsidiaries in repurchase agreements, reverse repurchase agreements, sell buy back and buy sell back agreements, securities lending and borrowing agreements and any other similar agreement or transaction and (ii) Liens on cash, Cash Equivalents and Permitted Investments to secure permitted Indebtedness incurred in connection with such activities;</w:t>
      </w:r>
    </w:p>
    <w:p>
      <w:pPr>
        <w:spacing w:after="0" w:line="84" w:lineRule="exact"/>
        <w:rPr>
          <w:rFonts w:ascii="Arial" w:cs="Arial" w:eastAsia="Arial" w:hAnsi="Arial"/>
          <w:sz w:val="18"/>
          <w:szCs w:val="18"/>
          <w:color w:val="auto"/>
        </w:rPr>
      </w:pPr>
    </w:p>
    <w:p>
      <w:pPr>
        <w:ind w:left="680" w:hanging="261"/>
        <w:spacing w:after="0"/>
        <w:tabs>
          <w:tab w:leader="none" w:pos="6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Liens arising from the sale of accounts receivable for which fair equivalent value is received;</w:t>
      </w:r>
    </w:p>
    <w:p>
      <w:pPr>
        <w:spacing w:after="0" w:line="117" w:lineRule="exact"/>
        <w:rPr>
          <w:rFonts w:ascii="Arial" w:cs="Arial" w:eastAsia="Arial" w:hAnsi="Arial"/>
          <w:sz w:val="18"/>
          <w:szCs w:val="18"/>
          <w:color w:val="auto"/>
        </w:rPr>
      </w:pPr>
    </w:p>
    <w:p>
      <w:pPr>
        <w:ind w:right="480" w:firstLine="419"/>
        <w:spacing w:after="0" w:line="263" w:lineRule="auto"/>
        <w:tabs>
          <w:tab w:leader="none" w:pos="67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Liens securing obligations of the Borrower or any Subsidiary of the Borrower in respect of any swap agreements or other hedging arrangements entered into (i) in the ordinary course of business and for non-speculative purposes or (ii) solely in order to serve clearing, depository, regulated exchange or settlement activities in respect thereof;</w:t>
      </w:r>
    </w:p>
    <w:p>
      <w:pPr>
        <w:spacing w:after="0" w:line="75" w:lineRule="exact"/>
        <w:rPr>
          <w:rFonts w:ascii="Arial" w:cs="Arial" w:eastAsia="Arial" w:hAnsi="Arial"/>
          <w:sz w:val="18"/>
          <w:szCs w:val="18"/>
          <w:color w:val="auto"/>
        </w:rPr>
      </w:pPr>
    </w:p>
    <w:p>
      <w:pPr>
        <w:ind w:right="120" w:firstLine="419"/>
        <w:spacing w:after="0" w:line="277" w:lineRule="auto"/>
        <w:tabs>
          <w:tab w:leader="none" w:pos="67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Liens created in connection with any share repurchase program in favor of any broker, dealer, custodian, trustee or agent administering or effecting transactions pursuant to a share repurchase program;</w:t>
      </w:r>
    </w:p>
    <w:p>
      <w:pPr>
        <w:spacing w:after="0" w:line="62" w:lineRule="exact"/>
        <w:rPr>
          <w:rFonts w:ascii="Arial" w:cs="Arial" w:eastAsia="Arial" w:hAnsi="Arial"/>
          <w:sz w:val="18"/>
          <w:szCs w:val="18"/>
          <w:color w:val="auto"/>
        </w:rPr>
      </w:pPr>
    </w:p>
    <w:p>
      <w:pPr>
        <w:ind w:right="140" w:firstLine="419"/>
        <w:spacing w:after="0" w:line="277" w:lineRule="auto"/>
        <w:tabs>
          <w:tab w:leader="none" w:pos="67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from and after the Verafin Acquisition Closing Date, Liens on the assets of Verafin or any of its Subsidiaries in favor of Royal Bank of Canada and certain of its affiliates, securing obligations in an amount not to exceed $2,000,000; and</w:t>
      </w:r>
    </w:p>
    <w:p>
      <w:pPr>
        <w:spacing w:after="0" w:line="62" w:lineRule="exact"/>
        <w:rPr>
          <w:rFonts w:ascii="Arial" w:cs="Arial" w:eastAsia="Arial" w:hAnsi="Arial"/>
          <w:sz w:val="18"/>
          <w:szCs w:val="18"/>
          <w:color w:val="auto"/>
        </w:rPr>
      </w:pPr>
    </w:p>
    <w:p>
      <w:pPr>
        <w:ind w:right="20" w:firstLine="419"/>
        <w:spacing w:after="0" w:line="277" w:lineRule="auto"/>
        <w:tabs>
          <w:tab w:leader="none" w:pos="64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from and after the Verafin Acquisition Closing Date, Liens arising from or created in connection with the Escrow Account (as defined in the Verafin Acquisition Agreement) or any arrangement with respect to the Verafin Acquisition consideration.</w:t>
      </w:r>
    </w:p>
    <w:p>
      <w:pPr>
        <w:spacing w:after="0" w:line="10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500"/>
          </w:cols>
          <w:pgMar w:left="880" w:top="274" w:right="519" w:bottom="1440" w:gutter="0" w:footer="0" w:header="0"/>
        </w:sectPr>
      </w:pPr>
    </w:p>
    <w:bookmarkStart w:id="210" w:name="page211"/>
    <w:bookmarkEnd w:id="210"/>
    <w:p>
      <w:pPr>
        <w:ind w:right="3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the purposes of this Section 6.02, the amount of any Lien shall be calculated to be the lower of (i) the amount of Indebtedness (which shall be calculated as the lesser of the stated principal amount thereof and the maximum principal amount thereof stated to be secured by such Lien) or other obligations secured by such Lien and (ii) the fair market value of the assets subject to such Lien at the time such Lien is granted.</w:t>
      </w:r>
    </w:p>
    <w:p>
      <w:pPr>
        <w:spacing w:after="0" w:line="14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xml:space="preserve">. The Borrower will not merge into or consolidate with any other Person, or permit any other Person to merge into or consolidate with it, except that so long as, at the time thereof and immediately after giving effect thereto, no Event of Default shall have occurred and be continuing or would result therefrom, any Person may merge into or consolidate with the Borrower in a transaction in which the Borrower is the surviving entity. Notwithstanding the foregoing, nothing in this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shall prohibit or restrict the consummation of the Specified Transaction.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Use of Proceeds and Letters of Credit</w:t>
      </w:r>
      <w:r>
        <w:rPr>
          <w:rFonts w:ascii="Arial" w:cs="Arial" w:eastAsia="Arial" w:hAnsi="Arial"/>
          <w:sz w:val="18"/>
          <w:szCs w:val="18"/>
          <w:color w:val="auto"/>
        </w:rPr>
        <w:t>.</w:t>
      </w:r>
    </w:p>
    <w:p>
      <w:pPr>
        <w:spacing w:after="0" w:line="117" w:lineRule="exact"/>
        <w:rPr>
          <w:sz w:val="20"/>
          <w:szCs w:val="20"/>
          <w:color w:val="auto"/>
        </w:rPr>
      </w:pPr>
    </w:p>
    <w:p>
      <w:pPr>
        <w:ind w:right="100" w:firstLine="436"/>
        <w:spacing w:after="0" w:line="273" w:lineRule="auto"/>
        <w:tabs>
          <w:tab w:leader="none" w:pos="685"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proceeds of the Revolving Loans on the Closing Date may be used, directly or indirectly, to consummate the Refinancing and to pay Transaction Costs and for general corporate purposes (including Acquisitions, repayments of Indebtedness and share repurchases). The proceeds of the Revolving Loans drawn after the Closing Date will be used only for general corporate purposes (including to finance the Verafin Acquisition, other Acquisitions, repayments of Indebtedness (including the Verafin Refinancing) and share repurchases, and to pay Transaction Costs). No part of the proceeds of any Loan will be used, whether directly or indirectly, (i) for any purpose that entails a violation of any of the Regulations of the Board, including Regulations T, U and X. Letters of Credit will be used only for general corporate purposes.</w:t>
      </w:r>
    </w:p>
    <w:p>
      <w:pPr>
        <w:spacing w:after="0" w:line="69" w:lineRule="exact"/>
        <w:rPr>
          <w:rFonts w:ascii="Arial" w:cs="Arial" w:eastAsia="Arial" w:hAnsi="Arial"/>
          <w:sz w:val="17"/>
          <w:szCs w:val="17"/>
          <w:color w:val="auto"/>
        </w:rPr>
      </w:pPr>
    </w:p>
    <w:p>
      <w:pPr>
        <w:ind w:firstLine="436"/>
        <w:spacing w:after="0" w:line="257" w:lineRule="auto"/>
        <w:tabs>
          <w:tab w:leader="none" w:pos="69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Borrower shall not directly or, to its knowledge, indirectly use the proceeds of any Borrowing or LC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Issuing Bank, or otherwise) of Sanctions.</w:t>
      </w:r>
    </w:p>
    <w:p>
      <w:pPr>
        <w:spacing w:after="0" w:line="79" w:lineRule="exact"/>
        <w:rPr>
          <w:rFonts w:ascii="Arial" w:cs="Arial" w:eastAsia="Arial" w:hAnsi="Arial"/>
          <w:sz w:val="18"/>
          <w:szCs w:val="18"/>
          <w:color w:val="auto"/>
        </w:rPr>
      </w:pPr>
    </w:p>
    <w:p>
      <w:pPr>
        <w:ind w:right="60" w:firstLine="436"/>
        <w:spacing w:after="0" w:line="263" w:lineRule="auto"/>
        <w:tabs>
          <w:tab w:leader="none" w:pos="68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Borrower shall not directly or, to its knowledge, indirectly use the proceeds of any Borrowing or LC Credit Extension for any purpose which would breach the United States Foreign Corrupt Practices Act of 1977 or the UK Bribery Act 2010, or breach other similar applicable legislation in other jurisdictions.</w:t>
      </w:r>
    </w:p>
    <w:p>
      <w:pPr>
        <w:spacing w:after="0" w:line="184" w:lineRule="exact"/>
        <w:rPr>
          <w:sz w:val="20"/>
          <w:szCs w:val="20"/>
          <w:color w:val="auto"/>
        </w:rPr>
      </w:pPr>
    </w:p>
    <w:p>
      <w:pPr>
        <w:ind w:right="440" w:firstLine="440"/>
        <w:spacing w:after="0" w:line="263"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Asset Sales</w:t>
      </w:r>
      <w:r>
        <w:rPr>
          <w:rFonts w:ascii="Arial" w:cs="Arial" w:eastAsia="Arial" w:hAnsi="Arial"/>
          <w:sz w:val="18"/>
          <w:szCs w:val="18"/>
          <w:color w:val="auto"/>
        </w:rPr>
        <w:t>. The Borrower will not, nor will it permit any Subsidiary to, sell, transfer, lease or otherwise dispose of all or substantially all of the assets of the Borrower and its Subsidiaries taken as a whole (the foregoing an “</w:t>
      </w:r>
      <w:r>
        <w:rPr>
          <w:rFonts w:ascii="Arial" w:cs="Arial" w:eastAsia="Arial" w:hAnsi="Arial"/>
          <w:sz w:val="18"/>
          <w:szCs w:val="18"/>
          <w:u w:val="single" w:color="auto"/>
          <w:color w:val="auto"/>
        </w:rPr>
        <w:t>Asset Sale</w:t>
      </w:r>
      <w:r>
        <w:rPr>
          <w:rFonts w:ascii="Arial" w:cs="Arial" w:eastAsia="Arial" w:hAnsi="Arial"/>
          <w:sz w:val="18"/>
          <w:szCs w:val="18"/>
          <w:color w:val="auto"/>
        </w:rPr>
        <w:t>”), other than an Asset Sale to the Borrower or any of its Subsidiaries.</w:t>
      </w:r>
    </w:p>
    <w:p>
      <w:pPr>
        <w:spacing w:after="0" w:line="18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Leverage Ratio</w:t>
      </w:r>
      <w:r>
        <w:rPr>
          <w:rFonts w:ascii="Arial" w:cs="Arial" w:eastAsia="Arial" w:hAnsi="Arial"/>
          <w:sz w:val="18"/>
          <w:szCs w:val="18"/>
          <w:color w:val="auto"/>
        </w:rPr>
        <w:t xml:space="preserve">. The Borrower will not permit the Leverage Ratio as of the last day of any period of four consecutive fiscal quarters of the Borrower (x) ending on or prior to any date other than the dates occurring during the periods described in clauses (y) and (z), to be greater than 3.50 to 1.00, (y) ending on or after the Verafin Acquisition Closing Date and on or prior to the last day of the fourth full fiscal quarter of the Borrower following the Verafin Acquisition Closing Date to be greater than 4.50:1.00 or (z) ending after the last day of the fourth full fiscal quarter of the Borrower following the Verafin Acquisition Closing Date and on or prior to the last day of the eighth full fiscal quarter of the Borrower following the Acquisition Closing Date to be greater than 4.00:1.00;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addition to the Verafin Acquisition, the Borrower shall be permitted, not more than one time during the term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60"/>
          </w:cols>
          <w:pgMar w:left="440" w:top="274" w:right="499" w:bottom="1440" w:gutter="0" w:footer="0" w:header="0"/>
        </w:sectPr>
      </w:pPr>
    </w:p>
    <w:bookmarkStart w:id="211" w:name="page212"/>
    <w:bookmarkEnd w:id="211"/>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Agreement, to allow the Leverage Ratio required under Section 6.06(x) to be increased to 4.00 to 1.00 in connection with an Acquisition for the period beginning on the closing date of such Acquisition until (and including) the last day of the fourth full fiscal quarter of the Borrower following the closing date of such Acquisition (an “</w:t>
      </w:r>
      <w:r>
        <w:rPr>
          <w:rFonts w:ascii="Arial" w:cs="Arial" w:eastAsia="Arial" w:hAnsi="Arial"/>
          <w:sz w:val="18"/>
          <w:szCs w:val="18"/>
          <w:u w:val="single" w:color="auto"/>
          <w:color w:val="auto"/>
        </w:rPr>
        <w:t>Acquisition Holiday</w:t>
      </w:r>
      <w:r>
        <w:rPr>
          <w:rFonts w:ascii="Arial" w:cs="Arial" w:eastAsia="Arial" w:hAnsi="Arial"/>
          <w:sz w:val="18"/>
          <w:szCs w:val="18"/>
          <w:color w:val="auto"/>
        </w:rPr>
        <w:t xml:space="preserve">”), so long as (A) on the last day of the fiscal quarter immediately preceding the consummation of (or, at the Borrower’s option, signing of the definitive agreement relating to) such Acquisition, the Leverage Ratio did not exceed 3.50 to 1.00 and (B) the Borrower is in compliance on a Pro Forma Basis with a maximum Leverage Ratio of 4.00 to 1.00 on the closing date of such Acquisition immediately after giving effect to such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 the Borrower shall provide notice in writing to the Administrative Agent of such Acquisition Holiday and a transaction description of such Acquisition (regarding the name of the Person or assets being acquired, the purchase price, the Leverage Ratio on a Pro Forma Basis and the acquired revenue (for the trailing four quarter period) and Consolidated EBITDA of such acquired Person or assets), (ii) at the end of any Acquisition Holiday, the Leverage Ratio permitted under Section 6.06(x) (if then applicable) shall revert to 3.50 to 1.00.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EVENTS OF 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 following events (any such event,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w:t>
      </w:r>
    </w:p>
    <w:p>
      <w:pPr>
        <w:spacing w:after="0" w:line="117" w:lineRule="exact"/>
        <w:rPr>
          <w:sz w:val="20"/>
          <w:szCs w:val="20"/>
          <w:color w:val="auto"/>
        </w:rPr>
      </w:pPr>
    </w:p>
    <w:p>
      <w:pPr>
        <w:ind w:left="440" w:firstLine="419"/>
        <w:spacing w:after="0" w:line="308" w:lineRule="auto"/>
        <w:tabs>
          <w:tab w:leader="none" w:pos="1108" w:val="left"/>
        </w:tabs>
        <w:numPr>
          <w:ilvl w:val="1"/>
          <w:numId w:val="228"/>
        </w:numPr>
        <w:rPr>
          <w:rFonts w:ascii="Arial" w:cs="Arial" w:eastAsia="Arial" w:hAnsi="Arial"/>
          <w:sz w:val="17"/>
          <w:szCs w:val="17"/>
          <w:color w:val="auto"/>
        </w:rPr>
      </w:pPr>
      <w:r>
        <w:rPr>
          <w:rFonts w:ascii="Arial" w:cs="Arial" w:eastAsia="Arial" w:hAnsi="Arial"/>
          <w:sz w:val="17"/>
          <w:szCs w:val="17"/>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38" w:lineRule="exact"/>
        <w:rPr>
          <w:rFonts w:ascii="Arial" w:cs="Arial" w:eastAsia="Arial" w:hAnsi="Arial"/>
          <w:sz w:val="17"/>
          <w:szCs w:val="17"/>
          <w:color w:val="auto"/>
        </w:rPr>
      </w:pPr>
    </w:p>
    <w:p>
      <w:pPr>
        <w:ind w:left="1120" w:hanging="261"/>
        <w:spacing w:after="0"/>
        <w:tabs>
          <w:tab w:leader="none" w:pos="112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the Borrower shall fail to pay any interest on any Loan or any fee or any other amount (other than an amount referred to in paragraph</w:t>
      </w:r>
    </w:p>
    <w:p>
      <w:pPr>
        <w:spacing w:after="0" w:line="46" w:lineRule="exact"/>
        <w:rPr>
          <w:rFonts w:ascii="Arial" w:cs="Arial" w:eastAsia="Arial" w:hAnsi="Arial"/>
          <w:sz w:val="16"/>
          <w:szCs w:val="16"/>
          <w:color w:val="auto"/>
        </w:rPr>
      </w:pPr>
    </w:p>
    <w:p>
      <w:pPr>
        <w:ind w:left="440" w:right="260" w:hanging="4"/>
        <w:spacing w:after="0" w:line="260" w:lineRule="auto"/>
        <w:tabs>
          <w:tab w:leader="none" w:pos="68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of this Article VII) payable under any Loan Document, when and as the same shall become due and payable, and such failure shall continue unremedied for a period of five Business Days;</w:t>
      </w:r>
    </w:p>
    <w:p>
      <w:pPr>
        <w:spacing w:after="0" w:line="77" w:lineRule="exact"/>
        <w:rPr>
          <w:rFonts w:ascii="Arial" w:cs="Arial" w:eastAsia="Arial" w:hAnsi="Arial"/>
          <w:sz w:val="18"/>
          <w:szCs w:val="18"/>
          <w:color w:val="auto"/>
        </w:rPr>
      </w:pPr>
    </w:p>
    <w:p>
      <w:pPr>
        <w:ind w:left="440" w:right="60" w:firstLine="419"/>
        <w:spacing w:after="0" w:line="257" w:lineRule="auto"/>
        <w:tabs>
          <w:tab w:leader="none" w:pos="1108"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the Borrower in or in connection with any Loan Document or any amendment or modification thereof or waiver thereunder, or in any report, certificate, financial statement or other document furnished pursuant to Article II, Article IV, Section 5.01 or Section 5.02 or any amendment or modification thereof or waiver thereunder, shall, if qualified by materiality, prove to have been incorrect or, if not so qualified, prove to have been incorrect in any material respect, in each case when made or deemed made;</w:t>
      </w:r>
    </w:p>
    <w:p>
      <w:pPr>
        <w:spacing w:after="0" w:line="79" w:lineRule="exact"/>
        <w:rPr>
          <w:rFonts w:ascii="Arial" w:cs="Arial" w:eastAsia="Arial" w:hAnsi="Arial"/>
          <w:sz w:val="18"/>
          <w:szCs w:val="18"/>
          <w:color w:val="auto"/>
        </w:rPr>
      </w:pPr>
    </w:p>
    <w:p>
      <w:pPr>
        <w:ind w:left="440" w:right="120" w:firstLine="419"/>
        <w:spacing w:after="0" w:line="277" w:lineRule="auto"/>
        <w:tabs>
          <w:tab w:leader="none" w:pos="1118"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Borrower shall fail to observe or perform any covenant, condition or agreement contained in Section 5.02(a), Section 5.03(a) (solely with respect to the legal existence of the Borrower) or in Article VI;</w:t>
      </w:r>
    </w:p>
    <w:p>
      <w:pPr>
        <w:spacing w:after="0" w:line="62" w:lineRule="exact"/>
        <w:rPr>
          <w:rFonts w:ascii="Arial" w:cs="Arial" w:eastAsia="Arial" w:hAnsi="Arial"/>
          <w:sz w:val="18"/>
          <w:szCs w:val="18"/>
          <w:color w:val="auto"/>
        </w:rPr>
      </w:pPr>
    </w:p>
    <w:p>
      <w:pPr>
        <w:ind w:left="440" w:right="220" w:firstLine="419"/>
        <w:spacing w:after="0" w:line="263" w:lineRule="auto"/>
        <w:tabs>
          <w:tab w:leader="none" w:pos="1108"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Borrower shall fail to observe or perform any covenant, condition or agreement contained in any Loan Document (other than those specified in paragraph (a), (b) or (d) of this Article VII), and such failure shall continue unremedied for a period of 30 days after notice thereof from any Lender or the Administrative Agent to the Borrower;</w:t>
      </w:r>
    </w:p>
    <w:p>
      <w:pPr>
        <w:spacing w:after="0" w:line="75" w:lineRule="exact"/>
        <w:rPr>
          <w:rFonts w:ascii="Arial" w:cs="Arial" w:eastAsia="Arial" w:hAnsi="Arial"/>
          <w:sz w:val="18"/>
          <w:szCs w:val="18"/>
          <w:color w:val="auto"/>
        </w:rPr>
      </w:pPr>
    </w:p>
    <w:p>
      <w:pPr>
        <w:ind w:left="440" w:right="320" w:firstLine="419"/>
        <w:spacing w:after="0" w:line="263" w:lineRule="auto"/>
        <w:tabs>
          <w:tab w:leader="none" w:pos="1088"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Borrower or any Material Subsidiary shall fail to make any payment (whether of principal or interest and regardless of amount) in respect of any Material Indebtedness, when and as the same shall become due and payable (subject to the expiration of any applicable grace period);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0"/>
          </w:cols>
          <w:pgMar w:left="440" w:top="274" w:right="439" w:bottom="1440" w:gutter="0" w:footer="0" w:header="0"/>
        </w:sectPr>
      </w:pPr>
    </w:p>
    <w:bookmarkStart w:id="212" w:name="page213"/>
    <w:bookmarkEnd w:id="212"/>
    <w:p>
      <w:pPr>
        <w:ind w:left="4" w:right="20" w:firstLine="419"/>
        <w:spacing w:after="0" w:line="284" w:lineRule="auto"/>
        <w:tabs>
          <w:tab w:leader="none" w:pos="681" w:val="left"/>
        </w:tabs>
        <w:numPr>
          <w:ilvl w:val="1"/>
          <w:numId w:val="2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any event or condition occurs that (i) results in any Material Indebtedness becoming or being declared due prior to its scheduled maturity, and, in the case of this clause (i), such declaration is not rescinded, or (ii) enables or permits the holder or holders of any Material Indebtedness or any trustee or agent on its or their behalf to cause any Material Indebtedness to become due prior to its scheduled maturity, and, in the case of this clause (ii), such event or condition shall not have been remedied or waived by or on behalf of the holder or holders of such Material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(g) shall not apply to: (1) secured Indebtedness that becomes due as a result of the voluntary sale, transfer or other disposition (including as a result of casualty, condemnation or similar event) of the property or assets securing such Indebtedness,</w:t>
      </w:r>
    </w:p>
    <w:p>
      <w:pPr>
        <w:spacing w:after="0" w:line="4" w:lineRule="exact"/>
        <w:rPr>
          <w:rFonts w:ascii="Arial" w:cs="Arial" w:eastAsia="Arial" w:hAnsi="Arial"/>
          <w:sz w:val="16"/>
          <w:szCs w:val="16"/>
          <w:color w:val="auto"/>
        </w:rPr>
      </w:pPr>
    </w:p>
    <w:p>
      <w:pPr>
        <w:ind w:left="4" w:right="20" w:hanging="4"/>
        <w:spacing w:after="0" w:line="281" w:lineRule="auto"/>
        <w:tabs>
          <w:tab w:leader="none" w:pos="25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any change of control offer made within 60 days after an Acquisition with respect to, and effectuated pursuant to, Indebtedness of an acquired business, (3) any default under Indebtedness of an acquired business if such default is cured, or such Indebtedness is repaid, repurchased, prepaid, redeemed or defeased either (i) substantially concurrently with such acquisition or as required by the terms thereof as a result of the acquisition of such business or (ii) within 60 days after the Acquisition of such business so long as the holders thereof do not validly declare such Indebtedness to be due prior to its stated maturity, (4) mandatory prepayment requirements arising from the receipt of net cash proceeds from debt, dispositions (including casualty losses, governmental takings and other involuntary dispositions), equity issuances or excess cash flow, (5) prepayments required by the terms of Indebtedness as a result of customary provisions in respect of illegality, replacement of lenders and gross-up provisions for Taxes, increased costs, capital adequacy and other similar customary requirements, (6) any voluntary prepayment, redemption or other satisfaction of Indebtedness that becomes mandatory in accordance with the terms of such Indebtedness solely as the result of the Borrower or any Material Subsidiary delivering a prepayment, redemption or similar notice with respect to such prepayment, redemption or other satisfaction and</w:t>
      </w:r>
    </w:p>
    <w:p>
      <w:pPr>
        <w:spacing w:after="0" w:line="5" w:lineRule="exact"/>
        <w:rPr>
          <w:rFonts w:ascii="Arial" w:cs="Arial" w:eastAsia="Arial" w:hAnsi="Arial"/>
          <w:sz w:val="16"/>
          <w:szCs w:val="16"/>
          <w:color w:val="auto"/>
        </w:rPr>
      </w:pPr>
    </w:p>
    <w:p>
      <w:pPr>
        <w:ind w:left="4" w:hanging="4"/>
        <w:spacing w:after="0" w:line="260" w:lineRule="auto"/>
        <w:tabs>
          <w:tab w:leader="none" w:pos="25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termination events or similar events occurring under any Swap Agreement (it being understood that clause (i) above will apply to any failure to make any payment required as a result of any such termination or similar event);</w:t>
      </w:r>
    </w:p>
    <w:p>
      <w:pPr>
        <w:spacing w:after="0" w:line="77" w:lineRule="exact"/>
        <w:rPr>
          <w:rFonts w:ascii="Arial" w:cs="Arial" w:eastAsia="Arial" w:hAnsi="Arial"/>
          <w:sz w:val="18"/>
          <w:szCs w:val="18"/>
          <w:color w:val="auto"/>
        </w:rPr>
      </w:pPr>
    </w:p>
    <w:p>
      <w:pPr>
        <w:ind w:left="4" w:right="80" w:firstLine="419"/>
        <w:spacing w:after="0" w:line="255" w:lineRule="auto"/>
        <w:tabs>
          <w:tab w:leader="none" w:pos="681"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reorganization or other relief in respect of the Borrower or any Material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Material Subsidiary or for a substantial part of its assets, and, in any such case, such proceeding or petition shall continue undismissed or undischarged for 60 days or an order or decree approving or ordering any of the foregoing shall be entered;</w:t>
      </w:r>
    </w:p>
    <w:p>
      <w:pPr>
        <w:spacing w:after="0" w:line="84" w:lineRule="exact"/>
        <w:rPr>
          <w:rFonts w:ascii="Arial" w:cs="Arial" w:eastAsia="Arial" w:hAnsi="Arial"/>
          <w:sz w:val="18"/>
          <w:szCs w:val="18"/>
          <w:color w:val="auto"/>
        </w:rPr>
      </w:pPr>
    </w:p>
    <w:p>
      <w:pPr>
        <w:ind w:left="4" w:right="20" w:firstLine="419"/>
        <w:spacing w:after="0" w:line="254" w:lineRule="auto"/>
        <w:tabs>
          <w:tab w:leader="none" w:pos="641"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Borrower or any Material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(h) of this Article VII, (iii) apply for or consent to the appointment of a receiver, trustee, custodian, sequestrator, conservator or similar official for the Borrower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86" w:lineRule="exact"/>
        <w:rPr>
          <w:rFonts w:ascii="Arial" w:cs="Arial" w:eastAsia="Arial" w:hAnsi="Arial"/>
          <w:sz w:val="18"/>
          <w:szCs w:val="18"/>
          <w:color w:val="auto"/>
        </w:rPr>
      </w:pPr>
    </w:p>
    <w:p>
      <w:pPr>
        <w:ind w:left="4" w:right="500" w:firstLine="419"/>
        <w:spacing w:after="0" w:line="277" w:lineRule="auto"/>
        <w:tabs>
          <w:tab w:leader="none" w:pos="641"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Borrower or any Material Subsidiary shall become unable, admit in writing its inability or fail generally to pay its debts as they become due;</w:t>
      </w:r>
    </w:p>
    <w:p>
      <w:pPr>
        <w:spacing w:after="0" w:line="10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564"/>
          </w:cols>
          <w:pgMar w:left="876" w:top="274" w:right="459" w:bottom="1440" w:gutter="0" w:footer="0" w:header="0"/>
        </w:sectPr>
      </w:pPr>
    </w:p>
    <w:bookmarkStart w:id="213" w:name="page214"/>
    <w:bookmarkEnd w:id="213"/>
    <w:p>
      <w:pPr>
        <w:ind w:left="440" w:right="20" w:firstLine="419"/>
        <w:spacing w:after="0" w:line="257" w:lineRule="auto"/>
        <w:tabs>
          <w:tab w:leader="none" w:pos="1118" w:val="left"/>
        </w:tabs>
        <w:numPr>
          <w:ilvl w:val="0"/>
          <w:numId w:val="2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one or more judgments for the payment of money in an aggregate amount in excess of $125,000,000 (to the extent not paid, fully bonded or covered by insurance) shall be rendered against the Borrower, any Material Subsidiary or any combination thereof and the same shall remain undischarged, undismissed or unvacated for a period of 60 consecutive days during which execution shall not be effectively stayed, or any action shall be legally taken by a judgment creditor to attach or levy upon any assets of the Borrower or any Material Subsidiary to enforce any such judgment and such action shall not have been stayed;</w:t>
      </w:r>
    </w:p>
    <w:p>
      <w:pPr>
        <w:spacing w:after="0" w:line="79" w:lineRule="exact"/>
        <w:rPr>
          <w:rFonts w:ascii="Arial" w:cs="Arial" w:eastAsia="Arial" w:hAnsi="Arial"/>
          <w:sz w:val="18"/>
          <w:szCs w:val="18"/>
          <w:color w:val="auto"/>
        </w:rPr>
      </w:pPr>
    </w:p>
    <w:p>
      <w:pPr>
        <w:ind w:left="1080" w:hanging="221"/>
        <w:spacing w:after="0"/>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 ERISA Event shall have occurred that would reasonably be expected to have a Material Adverse Effect;</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 Change in Control shall occur; or</w:t>
      </w:r>
    </w:p>
    <w:p>
      <w:pPr>
        <w:spacing w:after="0" w:line="117" w:lineRule="exact"/>
        <w:rPr>
          <w:rFonts w:ascii="Arial" w:cs="Arial" w:eastAsia="Arial" w:hAnsi="Arial"/>
          <w:sz w:val="18"/>
          <w:szCs w:val="18"/>
          <w:color w:val="auto"/>
        </w:rPr>
      </w:pPr>
    </w:p>
    <w:p>
      <w:pPr>
        <w:ind w:left="440" w:right="40" w:firstLine="419"/>
        <w:spacing w:after="0" w:line="257" w:lineRule="auto"/>
        <w:tabs>
          <w:tab w:leader="none" w:pos="111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Loan Document, at any time after its execution and delivery and for any reason other than as expressly permitted hereunder or thereunder or satisfaction in full of all the Obligations, ceases to be in full force and effect in any material respect; or the Borrower contests in any manner the validity or enforceability of any Loan Document; or the Borrower denies that it has any or further liability or obligation under any Loan Document, or purports to revoke, terminate or rescind any Loan Document (other than pursuant to any termination in accordance with the terms hereof or thereof or satisfaction in full of the Obligations);</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then, and in every such event (other than an event with respect to the Borrower described in paragraph (h) or (i) of this Article VII), and at any time thereafter during the continuance of such event, the Administrative Agent may, and at the request of the Required Lenders shall, by notice to the Borrower, take any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(iii) require the Borrower to Cash Collateralize the LC Exposure; and in case of any Event of Default with respect to the Borrower described in paragraph (h) or (i) of this Article VII, the Commitments shall automatically terminate and the principal of the Loans then outstanding, together with accrued interest thereon and all fees and other obligations of the Borrower accrued hereunder, shall automatically become due and payable and the Borrower shall be required to Cash Collateralize the LC Exposure, without presentment, demand, protest or other notice of any kind, all of which are hereby waived by the Borrower. Notwithstanding anything to the contrary herein, during the Certain Funds Period the rights, entitlements and remedies set forth in this Article VII, shall be subject in all respects to Section 4.04.</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REGARDING THE ADMINISTRATIVE AGENT</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Each of the Lenders and each Issuing Bank hereby irrevocably appoints Bank of America to act on its behalf as Administrative Agent and authorizes the Administrative Agent to take such actions on its behalf and to exercise such powers as are delegated to the Administrative Agent, by the terms of the Loan Documents, together with such actions and powers as are reasonably incidental thereto. The provisions of this Article VIII are solely for the benefit of the Administrative Agent, the Lenders and each Issuing Bank, and the Borrower shall not have rights as a third party beneficiary of any of such provisions.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214" w:name="page215"/>
    <w:bookmarkEnd w:id="214"/>
    <w:p>
      <w:pPr>
        <w:ind w:left="4" w:right="2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bank serving as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Borrower or any Subsidiary or other Affiliate thereof as if it were not the Administrative Agent hereunder.</w:t>
      </w:r>
    </w:p>
    <w:p>
      <w:pPr>
        <w:spacing w:after="0" w:line="187" w:lineRule="exact"/>
        <w:rPr>
          <w:sz w:val="20"/>
          <w:szCs w:val="20"/>
          <w:color w:val="auto"/>
        </w:rPr>
      </w:pPr>
    </w:p>
    <w:p>
      <w:pPr>
        <w:ind w:left="4" w:firstLine="440"/>
        <w:spacing w:after="0" w:line="282" w:lineRule="auto"/>
        <w:rPr>
          <w:sz w:val="20"/>
          <w:szCs w:val="20"/>
          <w:color w:val="auto"/>
        </w:rPr>
      </w:pPr>
      <w:r>
        <w:rPr>
          <w:rFonts w:ascii="Arial" w:cs="Arial" w:eastAsia="Arial" w:hAnsi="Arial"/>
          <w:sz w:val="16"/>
          <w:szCs w:val="16"/>
          <w:color w:val="auto"/>
        </w:rPr>
        <w:t xml:space="preserve">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or believed by the such Agent in good faith to be necessary under the circumstances as provided in Section 2.05 or Section 9.02);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required to take any action that, in its opinion or the opinion of its counsel, may expose the Administrative Agent to liability or that is contrary to any Loan Document or applicable Requirements of Law, including for the avoidance of doubt any action that may be in violation of the automatic stay under any Debtor Relief Law or that may effect a forfeiture, modification or termination of property of a Defaulting Lender in violation of any Debtor Relief Law, and (c) except as expressly set forth in the Loan Documents, the Administrative Agent shall not have any duty to disclose, and shall not be liable for the failure to disclose, any information relating to the Borrower or any Subsidiary that is communicated to or obtained by the bank serving as the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2.05 or Section 9.02) or in the absence of its own gross negligence or willful misconduct. The Administrative Agent shall not be deemed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w:t>
      </w:r>
    </w:p>
    <w:p>
      <w:pPr>
        <w:spacing w:after="0" w:line="11" w:lineRule="exact"/>
        <w:rPr>
          <w:sz w:val="20"/>
          <w:szCs w:val="20"/>
          <w:color w:val="auto"/>
        </w:rPr>
      </w:pPr>
    </w:p>
    <w:p>
      <w:pPr>
        <w:jc w:val="both"/>
        <w:ind w:left="4" w:right="120" w:hanging="4"/>
        <w:spacing w:after="0" w:line="281" w:lineRule="auto"/>
        <w:tabs>
          <w:tab w:leader="none" w:pos="319"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performance or observance of any of the covenants, agreements or other terms or conditions set forth in any Loan Document or the occurrence of any Default, (iv) the validity, enforceability, effectiveness or genuineness of any Loan Document or any other agreement, instrument or document or</w:t>
      </w:r>
    </w:p>
    <w:p>
      <w:pPr>
        <w:spacing w:after="0" w:line="1" w:lineRule="exact"/>
        <w:rPr>
          <w:rFonts w:ascii="Arial" w:cs="Arial" w:eastAsia="Arial" w:hAnsi="Arial"/>
          <w:sz w:val="16"/>
          <w:szCs w:val="16"/>
          <w:color w:val="auto"/>
        </w:rPr>
      </w:pPr>
    </w:p>
    <w:p>
      <w:pPr>
        <w:ind w:left="4" w:right="40" w:hanging="4"/>
        <w:spacing w:after="0" w:line="260" w:lineRule="auto"/>
        <w:tabs>
          <w:tab w:leader="none" w:pos="259"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satisfaction of any condition set forth in Article IV or elsewhere in any Loan Document, other than to confirm receipt of items expressly required to be delivered to the Administrative Agent.</w:t>
      </w:r>
    </w:p>
    <w:p>
      <w:pPr>
        <w:spacing w:after="0" w:line="185" w:lineRule="exact"/>
        <w:rPr>
          <w:sz w:val="20"/>
          <w:szCs w:val="20"/>
          <w:color w:val="auto"/>
        </w:rPr>
      </w:pPr>
    </w:p>
    <w:p>
      <w:pPr>
        <w:jc w:val="both"/>
        <w:ind w:left="4" w:right="80" w:firstLine="440"/>
        <w:spacing w:after="0" w:line="293" w:lineRule="auto"/>
        <w:rPr>
          <w:sz w:val="20"/>
          <w:szCs w:val="20"/>
          <w:color w:val="auto"/>
        </w:rPr>
      </w:pPr>
      <w:r>
        <w:rPr>
          <w:rFonts w:ascii="Arial" w:cs="Arial" w:eastAsia="Arial" w:hAnsi="Arial"/>
          <w:sz w:val="16"/>
          <w:szCs w:val="16"/>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or otherwise authenticated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64"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by or through their respective Related Parties. The exculpatory provisions of this Article VIII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4"/>
          </w:cols>
          <w:pgMar w:left="436" w:top="274" w:right="459" w:bottom="1440" w:gutter="0" w:footer="0" w:header="0"/>
        </w:sectPr>
      </w:pPr>
    </w:p>
    <w:bookmarkStart w:id="215" w:name="page216"/>
    <w:bookmarkEnd w:id="215"/>
    <w:p>
      <w:pPr>
        <w:ind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Administrative Agent may resign at any time upon notice to the Lenders, each Issuing Bank and the Borrower. Upon any such resignation, the Required Lenders shall have the right, in consultation with the Borrower and, unless an Event of Default has occurred and is continuing, with the consent of the Borrower (not to be unreasonably withheld or delayed) to appoint a successor that shall be a bank with an office in the United States or an Affiliate of any such bank. If no successor shall have been so appointed by the Required Lenders and shall have accepted such appointment within 30 days after such retiring Administrative Agent gives notice of its resignation, then such retiring Administrative Agent may, on behalf of the Lenders and each Issuing Bank, appoint a successor Administrative Agent that shall be a bank with an office in the United States or an Affiliate of any such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Borrower and the Lenders that no qualifying Person has accepted such appointment, then such resignation shall nonetheless become effective in accordance with such notice and (a) such retiring Administrative Agent shall be discharged from its duties and obligations hereunder and under the other Loan Documents and (b) all payments, communications and determinations provided to be made by, to or through the Administrative Agent shall instead be made by or to each Lender and Issuing Bank directly, until such time as the Required Lenders appoint a successor Administrative Agent as provided for above in this paragraph.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all its duties and obligations under the Loan Documents. The fees payable by the Borrower to a successor Administrative Agent shall be the same as those payable to its predecessor unless otherwise agreed between the Borrower and such successor. After such Administrative Agent’s resignation hereunder, the provisions of this Article VIII and Section 9.03 shall continue in effect for the benefit of such retiring Administrative Agent, its sub-agents and their respective Related Parties in respect of any actions taken or omitted to be taken by any of them while the retiring Administrative Agent was acting as the Administrative Agent.</w:t>
      </w:r>
    </w:p>
    <w:p>
      <w:pPr>
        <w:spacing w:after="0" w:line="174"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Any resignation by Bank of America as Administrative Agent pursuant to this Article VIII shall also constitute its resignation as Issuing Bank. Upon the acceptance of a successor’s appointment as Administrative Agent hereunder, (i) such successor shall succeed to and become vested with all of the rights, powers, privileges and duties of the retiring Issuing Bank, (ii) the retiring Issuing Bank shall be discharged from all of its duties and obligations hereunder or under the other Loan Documents, and (iii)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78" w:lineRule="exact"/>
        <w:rPr>
          <w:sz w:val="20"/>
          <w:szCs w:val="20"/>
          <w:color w:val="auto"/>
        </w:rPr>
      </w:pPr>
    </w:p>
    <w:p>
      <w:pPr>
        <w:ind w:right="200" w:firstLine="440"/>
        <w:spacing w:after="0" w:line="255" w:lineRule="auto"/>
        <w:rPr>
          <w:sz w:val="20"/>
          <w:szCs w:val="20"/>
          <w:color w:val="auto"/>
        </w:rPr>
      </w:pPr>
      <w:r>
        <w:rPr>
          <w:rFonts w:ascii="Arial" w:cs="Arial" w:eastAsia="Arial" w:hAnsi="Arial"/>
          <w:sz w:val="18"/>
          <w:szCs w:val="18"/>
          <w:color w:val="auto"/>
        </w:rPr>
        <w:t>Each Lender and each Issuing Bank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Issuing Bank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any Loan Document or any related agreement or any document furnished thereunder.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216" w:name="page217"/>
    <w:bookmarkEnd w:id="216"/>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case of the pendency of any proceeding under any Federal, state or foreign bankruptcy, insolvency, receivership or similar law or any other judicial proceeding relative to the Borrower, the Administrative Agent (irrespective of whether the principal of any Loan or LC Exposure shall then be due and payable as herein expressed or by declaration or otherwise and irrespective of whether the Administrative Agent shall have made any demand on the Borrower) shall be entitled and empowered, by intervention in such proceeding or otherwise, to (a) file and prove a claim for the whole amount of the principal and interest owing and unpaid in respect of the Loans, LC Exposures and all other Obligations that are owing and unpaid and to file such other documents as may be necessary or advisable in order to have the claims of the Lenders and each Issuing Bank (including any claim for the reasonable compensation, expenses, disbursements and advances of the Lenders and each Issuing Bank and their respective agents and counsel and all other amounts due the Lenders and each Issuing Bank under Sections 2.05(e) and 2.13) allowed in such judicial proceeding, and (b)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each Issuing Bank to make such payments to the Administrative Agent and, if the Administrative Agent shall consent to the making of such payments directly to the Lenders and the applicable Issuing Bank, to pay to the Administrative Agent any amount due for the reasonable compensation, expenses, disbursements and advances of the Administrative Agent and its agents and counsel, and any other amounts due the Administrative Agent under Section 2.10.</w:t>
      </w:r>
    </w:p>
    <w:p>
      <w:pPr>
        <w:spacing w:after="0" w:line="174" w:lineRule="exact"/>
        <w:rPr>
          <w:sz w:val="20"/>
          <w:szCs w:val="20"/>
          <w:color w:val="auto"/>
        </w:rPr>
      </w:pPr>
    </w:p>
    <w:p>
      <w:pPr>
        <w:jc w:val="both"/>
        <w:ind w:right="320" w:firstLine="440"/>
        <w:spacing w:after="0" w:line="311" w:lineRule="auto"/>
        <w:rPr>
          <w:sz w:val="20"/>
          <w:szCs w:val="20"/>
          <w:color w:val="auto"/>
        </w:rPr>
      </w:pPr>
      <w:r>
        <w:rPr>
          <w:rFonts w:ascii="Arial" w:cs="Arial" w:eastAsia="Arial" w:hAnsi="Arial"/>
          <w:sz w:val="16"/>
          <w:szCs w:val="16"/>
          <w:color w:val="auto"/>
        </w:rPr>
        <w:t>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to authorize the Administrative Agent to vote in respect of the claim of any Lender or Issuing Bank or in any such proceeding.</w:t>
      </w:r>
    </w:p>
    <w:p>
      <w:pPr>
        <w:spacing w:after="0" w:line="149"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To the extent required by any applicable law, the Administrative Agent may withhold from any payment to any Lender or Issuing Bank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or Issuing Bank for any reason (including, without limitation, because the appropriate form was not delivered or not properly executed, or because such Lender or Issuing Bank failed to notify the Administrative Agent of a change in circumstance that rendered the exemption from, or reduction of withholding tax ineffective), such Lender or Issuing Bank shall indemnify and hold harmless the Administrative Agent (to the extent that the Administrative Agent has not already been reimbursed by the Borrower pursuant to Section 2.13 or Section 2.15 and without limiting the obligation of the Borrower to do so) for all amounts paid, directly or indirectly, by the Administrative Agent as Taxes or otherwise, together with all expenses incurred, including legal expenses and any other reasonable expenses, whether or not such tax was correctly or legally imposed or asserted by the relevant Governmental Authority. A certificate as to the amount of such payment or liability delivered to any Lender or Issuing Bank by the Administrative Agent shall be conclusive absent manifest error. Each Lender and Issuing Bank hereby authorizes the Administrative Agent to set off and apply any and all amounts at any time owing to such Lender or Issuing Bank under this Agreement or any other Loan Document against any amount due the Administrative Agent under this paragraph. The agreements in this paragraph shall survive the resignation and/or replacement of the Administrative Agent, any assignment of rights by, or the replacement of, a Lender or Issuing Bank and the repayment, satisfaction or discharge of any Loans and all other amounts payable hereunder.</w:t>
      </w:r>
    </w:p>
    <w:p>
      <w:pPr>
        <w:spacing w:after="0" w:line="17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Notwithstanding anything herein to the contrary, none of the institutions identified as an Arranger, Joint Bookrunning Manager, Syndication Agent or Documentation Agent on the cover page hereof shall have any powers, duties or responsibilities under any Loan Document, except in its capacity, as applicable, as the Administrative Agent, a Lender or an Issuing Bank hereunder.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w:t>
      </w:r>
      <w:r>
        <w:rPr>
          <w:rFonts w:ascii="Arial" w:cs="Arial" w:eastAsia="Arial" w:hAnsi="Arial"/>
          <w:sz w:val="18"/>
          <w:szCs w:val="18"/>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solely with respect to any communications solely between or among the Administrative Agent and any Lender, sent by telecopy, as follows:</w:t>
      </w:r>
    </w:p>
    <w:p>
      <w:pPr>
        <w:spacing w:after="0" w:line="79" w:lineRule="exact"/>
        <w:rPr>
          <w:sz w:val="20"/>
          <w:szCs w:val="20"/>
          <w:color w:val="auto"/>
        </w:rPr>
      </w:pPr>
    </w:p>
    <w:p>
      <w:pPr>
        <w:ind w:left="1100" w:hanging="241"/>
        <w:spacing w:after="0"/>
        <w:tabs>
          <w:tab w:leader="none" w:pos="11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if to the Borrower, to it at 805 King Farm Blvd., Rockville, Maryland 20850, Attention of General Counsel;</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if to the Administrative Agent, to the Administrative Agent’s Office;</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if to an Issuing Bank other than the Administrative Agent, to it at the address or telecopy number set forth separately in writing; and</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if to any other Lender, to it at its address (or telecopy number) set forth in its Administrative Questionnaire.</w:t>
      </w:r>
    </w:p>
    <w:p>
      <w:pPr>
        <w:spacing w:after="0" w:line="22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Any party hereto may change its address or, solely for purposes of any communications solely between or among the Administrative Agent and any Lender, telecopy number for notices and other communications hereunder by notice to the other parties hereto. Notices and other communications to the Lenders and Issuing Banks hereunder may also be delivered or furnished by electronic communication (including e-mail and Internet or intranet websites)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Lender or Issuing Bank pursuant to Article II if such Lender or Issuing Bank, as applicable, has notified the Administrative Agent that it is incapable of receiving notices under such Article II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 All notices and other communications given to any party hereto in accordance with the provisions of this Agreement shall be deemed to have been given on the date of receipt.</w:t>
      </w:r>
    </w:p>
    <w:p>
      <w:pPr>
        <w:spacing w:after="0" w:line="181" w:lineRule="exact"/>
        <w:rPr>
          <w:sz w:val="20"/>
          <w:szCs w:val="20"/>
          <w:color w:val="auto"/>
        </w:rPr>
      </w:pPr>
    </w:p>
    <w:p>
      <w:pPr>
        <w:ind w:right="80" w:firstLine="440"/>
        <w:spacing w:after="0" w:line="268" w:lineRule="auto"/>
        <w:rPr>
          <w:sz w:val="20"/>
          <w:szCs w:val="20"/>
          <w:color w:val="auto"/>
        </w:rPr>
      </w:pPr>
      <w:r>
        <w:rPr>
          <w:rFonts w:ascii="Arial" w:cs="Arial" w:eastAsia="Arial" w:hAnsi="Arial"/>
          <w:sz w:val="17"/>
          <w:szCs w:val="17"/>
          <w:color w:val="auto"/>
        </w:rPr>
        <w:t>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the Borrower, any Lender, any Issuing Bank or any other Person for losses, claims, damages, liabilities or expenses of any kind (whether in tort, contract or otherwise) arising out of the Borrower’s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Agent Party have any liability to the Borrower, any Lender, any Issuing Bank or any other Person for indirect, special, incidental, consequential or punitive damages (as opposed to direct or actual damages).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4" w:right="459" w:bottom="1440" w:gutter="0" w:footer="0" w:header="0"/>
        </w:sectPr>
      </w:pPr>
    </w:p>
    <w:bookmarkStart w:id="218" w:name="page219"/>
    <w:bookmarkEnd w:id="21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9.02 </w:t>
      </w:r>
      <w:r>
        <w:rPr>
          <w:rFonts w:ascii="Arial" w:cs="Arial" w:eastAsia="Arial" w:hAnsi="Arial"/>
          <w:sz w:val="18"/>
          <w:szCs w:val="18"/>
          <w:u w:val="single" w:color="auto"/>
          <w:color w:val="auto"/>
        </w:rPr>
        <w:t>Waivers; Amendments</w:t>
      </w:r>
      <w:r>
        <w:rPr>
          <w:rFonts w:ascii="Arial" w:cs="Arial" w:eastAsia="Arial" w:hAnsi="Arial"/>
          <w:sz w:val="18"/>
          <w:szCs w:val="18"/>
          <w:color w:val="auto"/>
        </w:rPr>
        <w:t>.</w:t>
      </w:r>
    </w:p>
    <w:p>
      <w:pPr>
        <w:spacing w:after="0" w:line="117" w:lineRule="exact"/>
        <w:rPr>
          <w:sz w:val="20"/>
          <w:szCs w:val="20"/>
          <w:color w:val="auto"/>
        </w:rPr>
      </w:pPr>
    </w:p>
    <w:p>
      <w:pPr>
        <w:ind w:left="4" w:right="100" w:firstLine="436"/>
        <w:spacing w:after="0" w:line="288" w:lineRule="auto"/>
        <w:tabs>
          <w:tab w:leader="none" w:pos="689" w:val="left"/>
        </w:tabs>
        <w:numPr>
          <w:ilvl w:val="1"/>
          <w:numId w:val="237"/>
        </w:numPr>
        <w:rPr>
          <w:rFonts w:ascii="Arial" w:cs="Arial" w:eastAsia="Arial" w:hAnsi="Arial"/>
          <w:sz w:val="16"/>
          <w:szCs w:val="16"/>
          <w:color w:val="auto"/>
        </w:rPr>
      </w:pPr>
      <w:r>
        <w:rPr>
          <w:rFonts w:ascii="Arial" w:cs="Arial" w:eastAsia="Arial" w:hAnsi="Arial"/>
          <w:sz w:val="16"/>
          <w:szCs w:val="16"/>
          <w:color w:val="auto"/>
        </w:rPr>
        <w:t>No failure or delay by the Administrative Agent, any Issuing Bank or any Lender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each Issuing Bank and the Lenders hereunder and under the other Loan Documents are cumulative and are not exclusive of any rights or remedies that they would otherwise have. No waiver of any provision of any Loan Document or consent to any departure by the Borrower therefrom shall in any event be effective unless the same shall be permitted by paragraph (b) of this Section 9.02,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or any Lender or Issuing Bank may have had notice or knowledge of such Default at the time. No notice or demand on the Borrower in any case shall entitle the Borrower to any other or further notice or demand in similar or other circumstances.</w:t>
      </w:r>
    </w:p>
    <w:p>
      <w:pPr>
        <w:spacing w:after="0" w:line="60" w:lineRule="exact"/>
        <w:rPr>
          <w:rFonts w:ascii="Arial" w:cs="Arial" w:eastAsia="Arial" w:hAnsi="Arial"/>
          <w:sz w:val="16"/>
          <w:szCs w:val="16"/>
          <w:color w:val="auto"/>
        </w:rPr>
      </w:pPr>
    </w:p>
    <w:p>
      <w:pPr>
        <w:ind w:left="4" w:firstLine="436"/>
        <w:spacing w:after="0" w:line="284" w:lineRule="auto"/>
        <w:tabs>
          <w:tab w:leader="none" w:pos="699" w:val="left"/>
        </w:tabs>
        <w:numPr>
          <w:ilvl w:val="1"/>
          <w:numId w:val="237"/>
        </w:numPr>
        <w:rPr>
          <w:rFonts w:ascii="Arial" w:cs="Arial" w:eastAsia="Arial" w:hAnsi="Arial"/>
          <w:sz w:val="16"/>
          <w:szCs w:val="16"/>
          <w:color w:val="auto"/>
        </w:rPr>
      </w:pPr>
      <w:r>
        <w:rPr>
          <w:rFonts w:ascii="Arial" w:cs="Arial" w:eastAsia="Arial" w:hAnsi="Arial"/>
          <w:sz w:val="16"/>
          <w:szCs w:val="16"/>
          <w:color w:val="auto"/>
        </w:rPr>
        <w:t xml:space="preserve">Except as provided in Section 2.18 with respect to any Incremental Facility Amendment and Section 2.12, neither any Loan Document nor any provision thereof may be waived, amended or modified except, in the case of this Agreement, pursuant to an agreement or agreements in writing entered into by the Borrower and the Required Lenders or, in the case of any other Loan Document, pursuant to an agreement or agreements in writing entered into by the Administrative Agent and the Borrower, in each case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provision of this Agreement may be amended by an agreement in writing entered into by the Borrower and the Administrative Agent to cure any ambiguity, omission, defect, mistake or inconsistency so long as, in each case, (A) such amendment does not adversely affect the rights of any Lender or (B)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and</w:t>
      </w:r>
    </w:p>
    <w:p>
      <w:pPr>
        <w:ind w:left="4" w:hanging="4"/>
        <w:spacing w:after="0" w:line="281" w:lineRule="auto"/>
        <w:tabs>
          <w:tab w:leader="none" w:pos="269" w:val="left"/>
        </w:tabs>
        <w:numPr>
          <w:ilvl w:val="0"/>
          <w:numId w:val="238"/>
        </w:numPr>
        <w:rPr>
          <w:rFonts w:ascii="Arial" w:cs="Arial" w:eastAsia="Arial" w:hAnsi="Arial"/>
          <w:sz w:val="16"/>
          <w:szCs w:val="16"/>
          <w:color w:val="auto"/>
        </w:rPr>
      </w:pPr>
      <w:r>
        <w:rPr>
          <w:rFonts w:ascii="Arial" w:cs="Arial" w:eastAsia="Arial" w:hAnsi="Arial"/>
          <w:sz w:val="16"/>
          <w:szCs w:val="16"/>
          <w:color w:val="auto"/>
        </w:rPr>
        <w:t>no such agreement shall (A) increase the Commitment of any Lender without the written consent of such Lender, (B) reduce the principal amount of any Loan, LC Disbursement or LC Advance or reduce the rate of interest thereon, or reduce any fees payable hereunder, without the written consent of each Lender affected thereby, (C) postpone the maturity of any Loan, or the required date of reimbursement of any LC Disbursement, or any date for the payment of any interest or fees payable hereunder, or reduce the amount of, waive or excuse any such payment, or postpone the scheduled date of expiration of any Commitment, without the written consent of each Lender affected thereby, (D) alter the manner in which payments or prepayments of principal, interest or other amounts hereunder shall be applied as among the Lenders or Types of Loans or change Section 2.16(b) or (c) in a manner that would alter the pro rata sharing of payments required thereby, in each case without the written consent of each Lender adversely affected thereby,</w:t>
      </w:r>
    </w:p>
    <w:p>
      <w:pPr>
        <w:spacing w:after="0" w:line="4" w:lineRule="exact"/>
        <w:rPr>
          <w:rFonts w:ascii="Arial" w:cs="Arial" w:eastAsia="Arial" w:hAnsi="Arial"/>
          <w:sz w:val="16"/>
          <w:szCs w:val="16"/>
          <w:color w:val="auto"/>
        </w:rPr>
      </w:pPr>
    </w:p>
    <w:p>
      <w:pPr>
        <w:ind w:left="4" w:right="40"/>
        <w:spacing w:after="0" w:line="292" w:lineRule="auto"/>
        <w:rPr>
          <w:rFonts w:ascii="Arial" w:cs="Arial" w:eastAsia="Arial" w:hAnsi="Arial"/>
          <w:sz w:val="16"/>
          <w:szCs w:val="16"/>
          <w:color w:val="auto"/>
        </w:rPr>
      </w:pPr>
      <w:r>
        <w:rPr>
          <w:rFonts w:ascii="Arial" w:cs="Arial" w:eastAsia="Arial" w:hAnsi="Arial"/>
          <w:sz w:val="16"/>
          <w:szCs w:val="16"/>
          <w:color w:val="auto"/>
        </w:rPr>
        <w:t>(E) change any of the provisions of this Section 9.02 or the percentage set forth in the definition of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(it being understood that, other than pursuant to any Incremental Facility Amendment (the consent requirements for which are set forth in Section 2.18), with the consent of the Required Lenders, additional extensions of credit pursuant to this Agreement may be included in the</w:t>
      </w:r>
    </w:p>
    <w:p>
      <w:pPr>
        <w:spacing w:after="0" w:line="9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84"/>
          </w:cols>
          <w:pgMar w:left="436" w:top="274" w:right="479" w:bottom="1440" w:gutter="0" w:footer="0" w:header="0"/>
        </w:sectPr>
      </w:pPr>
    </w:p>
    <w:bookmarkStart w:id="219" w:name="page220"/>
    <w:bookmarkEnd w:id="219"/>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determination of the Required Lenders on substantially the same basis as the Revolving Commitments on the date hereof), (F) change any provisions of any Loan Document in a manner that by its terms adversely affects the rights in respect of payments due to Lenders holding Loans of any</w:t>
      </w:r>
    </w:p>
    <w:p>
      <w:pPr>
        <w:spacing w:after="0" w:line="283" w:lineRule="auto"/>
        <w:rPr>
          <w:sz w:val="20"/>
          <w:szCs w:val="20"/>
          <w:color w:val="auto"/>
        </w:rPr>
      </w:pPr>
      <w:r>
        <w:rPr>
          <w:rFonts w:ascii="Arial" w:cs="Arial" w:eastAsia="Arial" w:hAnsi="Arial"/>
          <w:sz w:val="16"/>
          <w:szCs w:val="16"/>
          <w:color w:val="auto"/>
        </w:rPr>
        <w:t xml:space="preserve">Class differently than those holding Loans of any other Class, without the written consent of Lenders holding a majority in interest of the outstanding Loans and unused Commitments of each affected Class or (G) make any changes that impose any restriction on the ability of any Lender to assign any of its rights or obligations, without the written consent of each Lender affected thereby;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(1) no such agreement shall amend, modify or otherwise affect the rights or duties of the Administrative Agent, any Issuing Bank, any Arranger, any Joint Bookrunning Manager, any Syndication Agent or any Documentation Agent without the prior written consent of the Administrative Agent, such Issuing Bank, such Arranger, such Joint Bookrunning Manager, such Syndication Agent or such Documentation Agent, as the case may be, (2) without limiting clause (3) below,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the Borrower and the requisite percentage in interest of the affected Class of Lenders that would be required to consent thereto under this Section 9.02 if such Class of Lenders were the only Class of Lenders hereunder at the time, and (3) after the Closing Date, no amendment, waiver or consent shall amend, modify supplement or waive the conditions precedent set forth in Section 4.02 or any representation or warranty set forth in Article III without the written consent of the Required Lenders (it being understood that no other amendment, waiver, consent or other modification of any term or provision of this Agreement, including any waiver of a covenant or a Default, shall be deemed to be an amendment, waiver, consent or other modification of Section 4.02 or any such representations or warranties for purposes of this clause (3)). Notwithstanding the foregoing, upon the election of the Borrower to switch from GAAP to IFRS this Agreement may be amended (or amended and restated) with only the written consent of the Administrative Agent and the Borrower (and not any other Lender or the Required Lenders) to eliminate any changes to the meaning of this Agreement as a result of such election.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or the maturity of any of its Loans may not be extended, the rate of interest on any of its Loans may not be reduced and the principal amount of any of its Loans may not be forgiven, in each case without the consent of such Defaulting Lender and (y) any waiver, amendment, consent or modification requiring the consent of all Lenders or each affected Lender that by its terms affects any Defaulting Lender more adversely relative to other affected Lenders shall require the consent of such Defaulting Lender.</w:t>
      </w:r>
    </w:p>
    <w:p>
      <w:pPr>
        <w:spacing w:after="0" w:line="72" w:lineRule="exact"/>
        <w:rPr>
          <w:sz w:val="20"/>
          <w:szCs w:val="20"/>
          <w:color w:val="auto"/>
        </w:rPr>
      </w:pPr>
    </w:p>
    <w:p>
      <w:pPr>
        <w:ind w:right="100" w:firstLine="436"/>
        <w:spacing w:after="0" w:line="287" w:lineRule="auto"/>
        <w:tabs>
          <w:tab w:leader="none" w:pos="68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In connection with any proposed amendment, modification, waiver or termination (a “</w:t>
      </w:r>
      <w:r>
        <w:rPr>
          <w:rFonts w:ascii="Arial" w:cs="Arial" w:eastAsia="Arial" w:hAnsi="Arial"/>
          <w:sz w:val="16"/>
          <w:szCs w:val="16"/>
          <w:u w:val="single" w:color="auto"/>
          <w:color w:val="auto"/>
        </w:rPr>
        <w:t>Proposed Change</w:t>
      </w:r>
      <w:r>
        <w:rPr>
          <w:rFonts w:ascii="Arial" w:cs="Arial" w:eastAsia="Arial" w:hAnsi="Arial"/>
          <w:sz w:val="16"/>
          <w:szCs w:val="16"/>
          <w:color w:val="auto"/>
        </w:rPr>
        <w:t>”) requiring the consent of all Lenders or all affected Lenders, if the consent of the Required Lenders to such Proposed Change is obtained, but the consent to such Proposed Change of other Lenders whose consent is required is not obtained (any such Lender whose consent is not obtained as described in paragraph (b) of this Section 9.02 being referred to as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then, the Borrower may, at its sole expense and effort, upon notice to such Non-Consenting Lender and the Administrative Agent, require such Non-Consenting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Borrower shall have received the prior written consent of the Administrative Agent (and, if a Revolving Commitment is being assigned, the Issuing Banks), which consent shall not unreasonably be withheld, (b) such Non-Consenting Lender shall have received payment of an amount equal to the outstanding principal of its Loans and LC Advances, accrued interest thereon, accrued fees and all other amounts payable to it hereunder from the assignee (to the extent of such outstanding principal and accrued interest and fees) or the Borrower (in the case of all other amounts) and (c) the Borrower or such assignee shall have paid to the Administrative Agent the processing and recordation fee specified in Section 9.04(b).</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4" w:right="459" w:bottom="1440" w:gutter="0" w:footer="0" w:header="0"/>
        </w:sectPr>
      </w:pPr>
    </w:p>
    <w:bookmarkStart w:id="220" w:name="page221"/>
    <w:bookmarkEnd w:id="220"/>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9.03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117" w:lineRule="exact"/>
        <w:rPr>
          <w:sz w:val="20"/>
          <w:szCs w:val="20"/>
          <w:color w:val="auto"/>
        </w:rPr>
      </w:pPr>
    </w:p>
    <w:p>
      <w:pPr>
        <w:ind w:left="-20" w:firstLine="436"/>
        <w:spacing w:after="0" w:line="285" w:lineRule="auto"/>
        <w:tabs>
          <w:tab w:leader="none" w:pos="665"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Borrower shall pay (i) all reasonable and documented out-of-pocket costs and expenses incurred by the Administrative Agent, the Arrangers and their respective Affiliates (in the case of legal fees, limited to the reasonable fees, charges and disbursements of a single counsel for the Administrative Agent, the Arrangers and their respective Affiliates), in connection with the syndication of the credit facilities provided for herein (whether or not the transactions contemplated hereby or thereby shall be consummated), (ii) all reasonable and documented out-of-pocket costs and expenses incurred by the Administrative Agent and its Affiliates (in the case of legal fees, limited to the reasonable fees, charges and disbursements of a single counsel for the Administrative Agent and its Affiliates and, if reasonably necessary, of a single local counsel to the Administrative Agent and its Affiliates in each relevant material jurisdiction, which may be a single local counsel acting in multiple material jurisdictions), in connection with the preparation and administration of the Loan Documents or any amendments, modifications or waivers of the provisions thereof, (iii) all reasonable and documented out-of-pocket costs and expenses incurred by an Issuing Bank in connection with the issuance, amendment, renewal or extension of any Letter of Credit or any demand for payment thereunder and (iv) all reasonable and documented out-of-pocket costs and expenses incurred by the Administrative Agent, the Issuing Banks or any Lender (in the case of legal fees, limited to the reasonable and documented fees, charges and disbursements of a single primary counsel for the Administrative Agent and the Issuing Banks and a single primary counsel for the Lenders, along with such specialist counsel as may reasonably be required by the Administrative Agent, the Issuing Banks or the Required Lenders, and of a single firm of local counsel in each material jurisdiction (and, in the event of a conflict of interest (as reasonably determined by the applicable Administrative Agent, Issuing Bank or Lender), one additional firm of counsel to each group of similarly affected parties)), in connection with the enforcement or protection of their respective rights in connection with the Loan Documents, including their respective rights under this Section 9.03, or in connection with the Loans made or Letters of Credit issued hereunder, including all such out-of-pocket expenses incurred during any workout, restructuring or negotiations in respect of such Loans or Letters of Credit. For the avoidance of doubt, this Section 9.03(a) shall not apply to any Indemnified Taxes or Other Taxes indemnified under Section 2.15 or any Excluded Taxes.</w:t>
      </w:r>
    </w:p>
    <w:p>
      <w:pPr>
        <w:spacing w:after="0" w:line="279" w:lineRule="exact"/>
        <w:rPr>
          <w:rFonts w:ascii="Arial" w:cs="Arial" w:eastAsia="Arial" w:hAnsi="Arial"/>
          <w:sz w:val="16"/>
          <w:szCs w:val="16"/>
          <w:color w:val="auto"/>
        </w:rPr>
      </w:pPr>
    </w:p>
    <w:p>
      <w:pPr>
        <w:ind w:left="-20" w:right="60" w:firstLine="436"/>
        <w:spacing w:after="0" w:line="287" w:lineRule="auto"/>
        <w:tabs>
          <w:tab w:leader="none" w:pos="675"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Borrower shall indemnify and hold harmless the Administrative Agent, the Issuing Banks and each Lender, each Arranger, each Joint Bookrunning Manager, each Syndication Agent, each Documentation Agent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any and all losses, claims, damages, liabilities and reasonable and documented out-of-pocket expenses, including the reasonable fees, charges and disbursements of a single firm as primary counsel for the Indemnitees, along with such specialist counsel as may reasonably be required by the Indemnitees, and of a single firm of local counsel in each material jurisdiction (and, in the event of a conflict of interest (as reasonably determined by the applicable Indemnitee), one additional firm of counsel to each group of similarly affected Indemnitee), incurred by or asserted against any Indemnitee by any third party or by the Borrower or any Subsidiary arising out of, in connection with, or as a result of (i) the execution or delivery of any Loan Document or any other agreement or instrument contemplated thereby, the performance by the parties to the Loan Documents of their respective obligations thereunder or the consummation of the Transactions or any other transactions contemplated thereby, (ii) any Loan or Letter of Credit or the use of the proceeds therefrom (including any refusal by the Issuing Banks to honor a demand for payment under a Letter of Credit if the documents presented in connection with such demand do not strictly comply with the terms of such Letter of Credit), (iii) any actual or alleged presence or Release of Hazardous Materials on, at, to or from any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60"/>
          </w:cols>
          <w:pgMar w:left="460" w:top="274" w:right="479" w:bottom="1440" w:gutter="0" w:footer="0" w:header="0"/>
        </w:sectPr>
      </w:pPr>
    </w:p>
    <w:bookmarkStart w:id="221" w:name="page222"/>
    <w:bookmarkEnd w:id="221"/>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property currently or formerly owned or operated by the Borrower or any Subsidiary, or any other Environmental Liability related in any material respect to the Borrower or any Subsidiary, or (iv) any actual or prospective claim, litigation, investigation or proceeding relating to any of the foregoing, whether based on contract, tort or any other theory, whether brought by a third party or by the Borrower or any Subsidiary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expenses (x) are determined by a court of competent jurisdiction by final judgment to have resulted from the gross negligence or willful misconduct of such Indemnitee or any of its Related Indemnified Persons (as defined below) or (y) arise from any dispute solely among Indemnitees other than any claims against any Arranger or the Administrative Agent in fulfilling its role as an agent or arranger or any similar role under the Facilities and other than any claims arising out of any act or omission on the part of the Borrower or any of its Related Parties. For the avoidance of doubt, this Section 9.03(b) shall not apply to Taxes, other than any Taxes that represent losses, claims, damages or liabilities arising from any non-Tax claim. “</w:t>
      </w:r>
      <w:r>
        <w:rPr>
          <w:rFonts w:ascii="Arial" w:cs="Arial" w:eastAsia="Arial" w:hAnsi="Arial"/>
          <w:sz w:val="17"/>
          <w:szCs w:val="17"/>
          <w:u w:val="single" w:color="auto"/>
          <w:color w:val="auto"/>
        </w:rPr>
        <w:t>Related Indemnified Person</w:t>
      </w:r>
      <w:r>
        <w:rPr>
          <w:rFonts w:ascii="Arial" w:cs="Arial" w:eastAsia="Arial" w:hAnsi="Arial"/>
          <w:sz w:val="17"/>
          <w:szCs w:val="17"/>
          <w:color w:val="auto"/>
        </w:rPr>
        <w:t>” of an Indemnitee means (1) any controlling person or controlled affiliate of such Indemnitee, (2) the respective directors, officers or employees of such Indemnitee or any of its controlling persons or controlled affiliates and (3) the respective agents of such Indemnitee or any of its controlling persons or controlled affiliates, in the case of this clause (3), acting on behalf of, or at the express instructions of, such Indemnitee, controlling person or such controlled affiliate.</w:t>
      </w:r>
    </w:p>
    <w:p>
      <w:pPr>
        <w:spacing w:after="0" w:line="78" w:lineRule="exact"/>
        <w:rPr>
          <w:sz w:val="20"/>
          <w:szCs w:val="20"/>
          <w:color w:val="auto"/>
        </w:rPr>
      </w:pPr>
    </w:p>
    <w:p>
      <w:pPr>
        <w:ind w:right="80" w:firstLine="436"/>
        <w:spacing w:after="0" w:line="269" w:lineRule="auto"/>
        <w:tabs>
          <w:tab w:leader="none" w:pos="685" w:val="left"/>
        </w:tabs>
        <w:numPr>
          <w:ilvl w:val="0"/>
          <w:numId w:val="241"/>
        </w:numPr>
        <w:rPr>
          <w:rFonts w:ascii="Arial" w:cs="Arial" w:eastAsia="Arial" w:hAnsi="Arial"/>
          <w:sz w:val="17"/>
          <w:szCs w:val="17"/>
          <w:color w:val="auto"/>
        </w:rPr>
      </w:pPr>
      <w:r>
        <w:rPr>
          <w:rFonts w:ascii="Arial" w:cs="Arial" w:eastAsia="Arial" w:hAnsi="Arial"/>
          <w:sz w:val="17"/>
          <w:szCs w:val="17"/>
          <w:color w:val="auto"/>
        </w:rPr>
        <w:t xml:space="preserve">To the extent that the Borrower fails to pay any amount required to be paid by it to the Administrative Agent or an Issuing Bank under paragraph (a) or (b) of this Section 9.03 but without affecting the Borrower’s obligations thereunder, each Lender severally agrees to pay to the Administrative Agent or the applicable Issuing Bank, as the case may be, such Lender’s pro rata share (determined as of the time that the applicable unreimbursed expense or indemnity payment is sought) of such unpaid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such Issuing Bank, as the case may be, in its capacity as such. For purposes hereof, a Lender’s “pro rata share” shall be determined based upon its share of the aggregate Revolving Exposures and unused Commitments at the time such indemnity or reimbursement is sought;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indemnifying an Issuing Bank hereunder a Lender’s “pro rata share” will be based on the proportionate amount of the aggregate Revolving Exposure. The obligations of the Lenders under this paragraph (c) are subject to the second sentence of Section 2.02 (which shall apply </w:t>
      </w:r>
      <w:r>
        <w:rPr>
          <w:rFonts w:ascii="Arial" w:cs="Arial" w:eastAsia="Arial" w:hAnsi="Arial"/>
          <w:sz w:val="17"/>
          <w:szCs w:val="17"/>
          <w:u w:val="single" w:color="auto"/>
          <w:color w:val="auto"/>
        </w:rPr>
        <w:t>mutatis mutandis</w:t>
      </w:r>
      <w:r>
        <w:rPr>
          <w:rFonts w:ascii="Arial" w:cs="Arial" w:eastAsia="Arial" w:hAnsi="Arial"/>
          <w:sz w:val="17"/>
          <w:szCs w:val="17"/>
          <w:color w:val="auto"/>
        </w:rPr>
        <w:t xml:space="preserve"> to the Lenders’ obligations under this paragraph (c)).</w:t>
      </w:r>
    </w:p>
    <w:p>
      <w:pPr>
        <w:spacing w:after="0" w:line="77" w:lineRule="exact"/>
        <w:rPr>
          <w:rFonts w:ascii="Arial" w:cs="Arial" w:eastAsia="Arial" w:hAnsi="Arial"/>
          <w:sz w:val="17"/>
          <w:szCs w:val="17"/>
          <w:color w:val="auto"/>
        </w:rPr>
      </w:pPr>
    </w:p>
    <w:p>
      <w:pPr>
        <w:ind w:right="20" w:firstLine="436"/>
        <w:spacing w:after="0" w:line="275" w:lineRule="auto"/>
        <w:tabs>
          <w:tab w:leader="none" w:pos="695"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any Loan Document or any agreement or instrument contemplated thereby, the Transactions, any Loan or Letter of Credit or the use of the proceeds thereof. The Borrower shall not, except as a result of its indemnification obligations set forth above, and nor shall any of its Related Parties have any responsibility or liability for special, indirect, consequential or punitive damages.</w:t>
      </w:r>
    </w:p>
    <w:p>
      <w:pPr>
        <w:spacing w:after="0" w:line="68" w:lineRule="exact"/>
        <w:rPr>
          <w:rFonts w:ascii="Arial" w:cs="Arial" w:eastAsia="Arial" w:hAnsi="Arial"/>
          <w:sz w:val="17"/>
          <w:szCs w:val="17"/>
          <w:color w:val="auto"/>
        </w:rPr>
      </w:pPr>
    </w:p>
    <w:p>
      <w:pPr>
        <w:ind w:right="180" w:firstLine="436"/>
        <w:spacing w:after="0" w:line="277" w:lineRule="auto"/>
        <w:tabs>
          <w:tab w:leader="none" w:pos="68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All amounts due under this Section 9.03 shall be payable not later than 30 days (or, if an Event of Default has occurred and is continuing, 10 Business Days) after written demand therefor or, if later, by the due date specified in any invoice relating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jc w:val="both"/>
        <w:ind w:right="520" w:firstLine="436"/>
        <w:spacing w:after="0" w:line="263" w:lineRule="auto"/>
        <w:tabs>
          <w:tab w:leader="none" w:pos="68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provisions of this Agreement shall be binding upon and inure to the benefit of the parties hereto and their respective successors and assigns permitted hereby (including any Affiliate of an Issuing Bank that issues any Letter of Credit), except that the Borrower may not assign or otherwise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0"/>
          </w:cols>
          <w:pgMar w:left="440" w:top="274" w:right="479" w:bottom="1440" w:gutter="0" w:footer="0" w:header="0"/>
        </w:sectPr>
      </w:pPr>
    </w:p>
    <w:bookmarkStart w:id="222" w:name="page223"/>
    <w:bookmarkEnd w:id="22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transfer any of its rights or obligations hereunder without the prior written consent of each Lender (and any attempted assignment or transfer by the Borrower without such consent shall be null and void).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9.04) and, to the extent expressly contemplated hereby, the Related Parties of each of the Administrative Agent, the Issuing Banks and the Lenders) any legal or equitable right, remedy or claim under or by reason of this Agreement.</w:t>
      </w:r>
    </w:p>
    <w:p>
      <w:pPr>
        <w:spacing w:after="0" w:line="84" w:lineRule="exact"/>
        <w:rPr>
          <w:sz w:val="20"/>
          <w:szCs w:val="20"/>
          <w:color w:val="auto"/>
        </w:rPr>
      </w:pPr>
    </w:p>
    <w:p>
      <w:pPr>
        <w:ind w:right="40" w:firstLine="436"/>
        <w:spacing w:after="0" w:line="254" w:lineRule="auto"/>
        <w:tabs>
          <w:tab w:leader="none" w:pos="69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(i) Subject to the conditions set forth in paragraph (b)(ii) below, any Lender may assign to one or more assignees all or a portion of its rights and obligations under this Agreement (including all or a portion of its Revolving Commitment and the Revolving Loans at the time owing to it) with the prior written consent (such consent not to be unreasonably withheld or delayed) of (A)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an assignment to a Lender, an Affiliate of a Lender, an Approved Fund (as defined below) or, if an Event of Default has occurred and is continuing, any other assignee;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Borrower shall be deemed to have consented to an assignment if the Borrower does not object within 10 Business Days of receipt of a request therefor, (B) the Administrative Agent, not to be unreasonably withheld, and (C) each Issuing Bank, not to be unreasonably withheld.</w:t>
      </w:r>
    </w:p>
    <w:p>
      <w:pPr>
        <w:spacing w:after="0" w:line="87" w:lineRule="exact"/>
        <w:rPr>
          <w:sz w:val="20"/>
          <w:szCs w:val="20"/>
          <w:color w:val="auto"/>
        </w:rPr>
      </w:pPr>
    </w:p>
    <w:p>
      <w:pPr>
        <w:ind w:right="60" w:firstLine="436"/>
        <w:spacing w:after="0" w:line="286" w:lineRule="auto"/>
        <w:tabs>
          <w:tab w:leader="none" w:pos="705"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Assignments shall be subject to the following additional conditions: (A) except in the case of an assignment to a Lender, an Affiliate of a Lender or an Approved Fund or an assignment of the entire remaining amount of the assigning Lender’s Revolving Commitment or Revolving Loans, the amount of the Revolving Commitment or Revolving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not be less than $5,000,000 unless the Borrower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of the Borrower shall be required if an Event of Default has occurred and is continuing, (B) each partial assignment shall be made as an assignment of a proportionate part of all the assigning Lender’s rights and obligations under this Agreement in its capacity as a Revolving Lender, (C) the parties to each assignment shall execute and deliver to the Administrative Agent an Assignment and Assumption, together with a processing and recordation fee in an amount of $3,500 (it being understood that the Administrative Agent may elect, in its sole discretion, to waive such processing and recordation fee for any assignment and only one such Fee shall be payable in connection with simultaneous assignments to or by two or more Approved Funds);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assignments made pursuant to Section 2.17(b) or Section 9.02(b) shall not require the signature of the assigning Lender to become effective, and (D) the assignee, if it shall not be a Lender, shall deliver to the Administrative Agent an Administrative Questionnaire and any tax forms required by Section 2.15(e).</w:t>
      </w:r>
    </w:p>
    <w:p>
      <w:pPr>
        <w:spacing w:after="0" w:line="65" w:lineRule="exact"/>
        <w:rPr>
          <w:rFonts w:ascii="Arial" w:cs="Arial" w:eastAsia="Arial" w:hAnsi="Arial"/>
          <w:sz w:val="16"/>
          <w:szCs w:val="16"/>
          <w:color w:val="auto"/>
        </w:rPr>
      </w:pPr>
    </w:p>
    <w:p>
      <w:pPr>
        <w:ind w:right="100" w:firstLine="436"/>
        <w:spacing w:after="0" w:line="270" w:lineRule="auto"/>
        <w:tabs>
          <w:tab w:leader="none" w:pos="755" w:val="left"/>
        </w:tabs>
        <w:numPr>
          <w:ilvl w:val="0"/>
          <w:numId w:val="244"/>
        </w:numPr>
        <w:rPr>
          <w:rFonts w:ascii="Arial" w:cs="Arial" w:eastAsia="Arial" w:hAnsi="Arial"/>
          <w:sz w:val="17"/>
          <w:szCs w:val="17"/>
          <w:color w:val="auto"/>
        </w:rPr>
      </w:pPr>
      <w:r>
        <w:rPr>
          <w:rFonts w:ascii="Arial" w:cs="Arial" w:eastAsia="Arial" w:hAnsi="Arial"/>
          <w:sz w:val="17"/>
          <w:szCs w:val="17"/>
          <w:color w:val="auto"/>
        </w:rPr>
        <w:t>Subject to acceptance and recording thereof pursuant to paragraph (b)(v) of this Section 9.04,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2.13, 2.14, 2.15 and 9.03 and to any fees payable hereunder that have accrued for such Lender’s account but have not yet been paid).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(c)(i) of this Section 9.04.</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4" w:right="459" w:bottom="1440" w:gutter="0" w:footer="0" w:header="0"/>
        </w:sectPr>
      </w:pPr>
    </w:p>
    <w:bookmarkStart w:id="223" w:name="page224"/>
    <w:bookmarkEnd w:id="223"/>
    <w:p>
      <w:pPr>
        <w:ind w:left="-20" w:right="20" w:firstLine="436"/>
        <w:spacing w:after="0" w:line="254" w:lineRule="auto"/>
        <w:tabs>
          <w:tab w:leader="none" w:pos="725" w:val="left"/>
        </w:tabs>
        <w:numPr>
          <w:ilvl w:val="0"/>
          <w:numId w:val="2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amount of the Loans and LC Disbursements and interest thereon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w:t>
      </w:r>
    </w:p>
    <w:p>
      <w:pPr>
        <w:spacing w:after="0" w:line="86" w:lineRule="exact"/>
        <w:rPr>
          <w:rFonts w:ascii="Arial" w:cs="Arial" w:eastAsia="Arial" w:hAnsi="Arial"/>
          <w:sz w:val="18"/>
          <w:szCs w:val="18"/>
          <w:color w:val="auto"/>
        </w:rPr>
      </w:pPr>
    </w:p>
    <w:p>
      <w:pPr>
        <w:jc w:val="both"/>
        <w:ind w:left="-20" w:right="80" w:firstLine="436"/>
        <w:spacing w:after="0" w:line="296" w:lineRule="auto"/>
        <w:tabs>
          <w:tab w:leader="none" w:pos="675" w:val="left"/>
        </w:tabs>
        <w:numPr>
          <w:ilvl w:val="0"/>
          <w:numId w:val="245"/>
        </w:numPr>
        <w:rPr>
          <w:rFonts w:ascii="Arial" w:cs="Arial" w:eastAsia="Arial" w:hAnsi="Arial"/>
          <w:sz w:val="16"/>
          <w:szCs w:val="16"/>
          <w:color w:val="auto"/>
        </w:rPr>
      </w:pPr>
      <w:r>
        <w:rPr>
          <w:rFonts w:ascii="Arial" w:cs="Arial" w:eastAsia="Arial" w:hAnsi="Arial"/>
          <w:sz w:val="16"/>
          <w:szCs w:val="16"/>
          <w:color w:val="auto"/>
        </w:rPr>
        <w:t>Promptly upon its receipt of a duly completed Assignment and Assumption executed by an assigning Lender and an assignee, the assignee’s completed Administrative Questionnaire and any tax forms required by Section 2.15(e) (unless the assignee shall already be a Lender hereunder), the processing and recordation fee referred to in paragraph (b) of this Section 9.04 and any written consent to such assignment required by paragraph (b) of this Section 9.04,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53" w:lineRule="exact"/>
        <w:rPr>
          <w:rFonts w:ascii="Arial" w:cs="Arial" w:eastAsia="Arial" w:hAnsi="Arial"/>
          <w:sz w:val="16"/>
          <w:szCs w:val="16"/>
          <w:color w:val="auto"/>
        </w:rPr>
      </w:pPr>
    </w:p>
    <w:p>
      <w:pPr>
        <w:ind w:left="-20" w:firstLine="436"/>
        <w:spacing w:after="0" w:line="257" w:lineRule="auto"/>
        <w:tabs>
          <w:tab w:leader="none" w:pos="72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80" w:lineRule="exact"/>
        <w:rPr>
          <w:sz w:val="20"/>
          <w:szCs w:val="20"/>
          <w:color w:val="auto"/>
        </w:rPr>
      </w:pPr>
    </w:p>
    <w:p>
      <w:pPr>
        <w:ind w:left="-20" w:right="20" w:firstLine="436"/>
        <w:spacing w:after="0" w:line="285" w:lineRule="auto"/>
        <w:tabs>
          <w:tab w:leader="none" w:pos="665" w:val="left"/>
        </w:tabs>
        <w:numPr>
          <w:ilvl w:val="0"/>
          <w:numId w:val="246"/>
        </w:numPr>
        <w:rPr>
          <w:rFonts w:ascii="Arial" w:cs="Arial" w:eastAsia="Arial" w:hAnsi="Arial"/>
          <w:sz w:val="16"/>
          <w:szCs w:val="16"/>
          <w:color w:val="auto"/>
        </w:rPr>
      </w:pPr>
      <w:r>
        <w:rPr>
          <w:rFonts w:ascii="Arial" w:cs="Arial" w:eastAsia="Arial" w:hAnsi="Arial"/>
          <w:sz w:val="16"/>
          <w:szCs w:val="16"/>
          <w:color w:val="auto"/>
        </w:rPr>
        <w:t>(i) Any Lender may, without the consent of the Borrower, the Administrative Agent or any Issuing Bank,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 its capacity as a Revolving Lender (including all or a portion of its Revolving Commitment and the Revolving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Section 9.02(b) that affects such Participant. Subject to paragraph (c)(ii) of this Section 9.04, the Borrower agrees that each Participant shall be entitled to the benefits of Sections 2.13, 2.14 and 2.15, subject to the requirements and limitations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shall be subject to Section 2.16(c) as though it were a Lender and shall provide documentation required under Section 2.15(e) solely to the participating Lender), to the same extent as if it were a Lender and had acquired its interest by assignment pursuant to paragraph (b) of this Section 9.04. To the extent permitted by law, each Participant also shall be entitled to the benefits of Section 9.08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shall be subject to Section 2.16(c)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60"/>
          </w:cols>
          <w:pgMar w:left="460" w:top="274" w:right="479" w:bottom="1440" w:gutter="0" w:footer="0" w:header="0"/>
        </w:sectPr>
      </w:pPr>
    </w:p>
    <w:bookmarkStart w:id="224" w:name="page225"/>
    <w:bookmarkEnd w:id="224"/>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the relevant parties, acting reasonably and in good faith, determine that such disclosure is necessary to establish that such Commitment, Loan or other obligation is in registered form under Section 5f.103-1(c) of the United States Treasury Regulations. The entries in the Participant Register shall be conclusive and such Lender shall treat each person whose name is recorded in the Participant Register as the owner of such participation for all purposes of this Agreement notwithstanding any notice to the contrary.</w:t>
      </w:r>
    </w:p>
    <w:p>
      <w:pPr>
        <w:spacing w:after="0" w:line="56" w:lineRule="exact"/>
        <w:rPr>
          <w:sz w:val="20"/>
          <w:szCs w:val="20"/>
          <w:color w:val="auto"/>
        </w:rPr>
      </w:pPr>
    </w:p>
    <w:p>
      <w:pPr>
        <w:ind w:right="80" w:firstLine="436"/>
        <w:spacing w:after="0" w:line="263" w:lineRule="auto"/>
        <w:tabs>
          <w:tab w:leader="none" w:pos="70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 2.13 or Section 2.15 than the applicable Lender would have been entitled to receive with respect to the participation sold to such Participant, except to the extent such entitlement to a greater payment results from any change in any Requirement of Law after such Participant acquired the applicable participation.</w:t>
      </w:r>
    </w:p>
    <w:p>
      <w:pPr>
        <w:spacing w:after="0" w:line="76" w:lineRule="exact"/>
        <w:rPr>
          <w:sz w:val="20"/>
          <w:szCs w:val="20"/>
          <w:color w:val="auto"/>
        </w:rPr>
      </w:pPr>
    </w:p>
    <w:p>
      <w:pPr>
        <w:ind w:firstLine="436"/>
        <w:spacing w:after="0" w:line="259" w:lineRule="auto"/>
        <w:tabs>
          <w:tab w:leader="none" w:pos="69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9.04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78" w:lineRule="exact"/>
        <w:rPr>
          <w:rFonts w:ascii="Arial" w:cs="Arial" w:eastAsia="Arial" w:hAnsi="Arial"/>
          <w:sz w:val="18"/>
          <w:szCs w:val="18"/>
          <w:color w:val="auto"/>
        </w:rPr>
      </w:pPr>
    </w:p>
    <w:p>
      <w:pPr>
        <w:ind w:firstLine="436"/>
        <w:spacing w:after="0" w:line="269" w:lineRule="auto"/>
        <w:tabs>
          <w:tab w:leader="none" w:pos="685" w:val="left"/>
        </w:tabs>
        <w:numPr>
          <w:ilvl w:val="0"/>
          <w:numId w:val="248"/>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if at any time any Issuing Bank assigns all of its Revolving Commitments and Revolving Loans pursuant to Section 9.04(b), such Issuing Bank may, upon 30 days’ written notice to the Borrower and the Lenders, resign as Issuing Bank. In the event of any such resignation as Issuing Bank, the Borrower shall be entitled to appoint from among the Lenders a successor Issuing Bank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failure by the Borrower to appoint any such successor shall affect the resignation of the resigning Person as Issuing Bank. If any Issuing Bank resigns as Issuing Bank, it shall retain all the rights, powers, privileges and duties of an Issuing Bank hereunder with respect to all Letters of Credit outstanding as of the effective date of its resignation as Issuing Bank and all LC Exposures with respect thereto. Upon the appointment of a successor Issuing Bank, (a) such successor shall succeed to and become vested with all of the rights, powers, privileges and duties of the retiring Issuing Bank and (b) the successor Issuing Bank shall issue letters of credit in substitution for the Letters of Credit, if any, outstanding at the time of such succession or make other arrangements reasonably satisfactory to the retrieving Person to effectively assume the obligations of the resigning Person with respect to such Letters of Credit.</w:t>
      </w:r>
    </w:p>
    <w:p>
      <w:pPr>
        <w:spacing w:after="0" w:line="77" w:lineRule="exact"/>
        <w:rPr>
          <w:sz w:val="20"/>
          <w:szCs w:val="20"/>
          <w:color w:val="auto"/>
        </w:rPr>
      </w:pPr>
    </w:p>
    <w:p>
      <w:pPr>
        <w:ind w:right="140" w:firstLine="440"/>
        <w:spacing w:after="0" w:line="287"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Survival</w:t>
      </w:r>
      <w:r>
        <w:rPr>
          <w:rFonts w:ascii="Arial" w:cs="Arial" w:eastAsia="Arial" w:hAnsi="Arial"/>
          <w:sz w:val="16"/>
          <w:szCs w:val="16"/>
          <w:color w:val="auto"/>
        </w:rPr>
        <w:t>. All covenants, agreements, representations and warranties made by the Borrower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Banks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(other than contingent amounts not yet due) or any Letter of Credit is outstanding or has not been cash collateralized on terms reasonably acceptable to the Administrative Agent and the applicable Issuing Bank and so long as the Commitments have not expired or terminated. The provisions of Sections 2.13, 2.14, 2.15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60"/>
          </w:cols>
          <w:pgMar w:left="440" w:top="274" w:right="499" w:bottom="1440" w:gutter="0" w:footer="0" w:header="0"/>
        </w:sectPr>
      </w:pPr>
    </w:p>
    <w:bookmarkStart w:id="225" w:name="page226"/>
    <w:bookmarkEnd w:id="225"/>
    <w:p>
      <w:pPr>
        <w:ind w:right="60"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9.06 </w:t>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other electronic imaging means (e.g. “pdf” or “tif”) shall be effective as delivery of a manually executed counterpart of this Agreement.</w:t>
      </w:r>
    </w:p>
    <w:p>
      <w:pPr>
        <w:spacing w:after="0" w:line="166"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7"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If an Event of Default shall have occurred and be continuing, each Lender, Issuing Bank and each of 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Issuing Bank or any such Affiliate to or for the credit or the account of the Borrower against any of and all the obligations of the Borrower now or hereafter existing under this Agreement held by such Lender or Issuing Bank, irrespective of whether or not such Lender or Issuing Bank shall have made any demand under this Agreement and although such obligations may be unmatured or are owed to a branch or office of such Lender or Issuing Bank different from the branch or office holding such deposit or obligated on such Indebtedness. The applicable Lender or Issuing Bank shall notify the Borrower and the Administrative Agent of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any delay in giving such notice shall not affect the validity of any such setoff and application under this Section 9.08. The rights of each Lender, Issuing Bank and their respective Affiliates under this Section 9.08 are in addition to other rights and remedies (including other rights of setoff) that such Lender, Issuing Bank and their respective Affiliates may have.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91" w:lineRule="auto"/>
        <w:tabs>
          <w:tab w:leader="none" w:pos="685"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xml:space="preserve">This Agreement shall be governed by, and construed in accordance with, the laws of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the foregoing, it is understood and agreed that (a) the determination of the accuracy of any Specified Acquisition Agreement Representation and whether the Borrower has the right (taking into account any applicable cure provisions) to terminate its obligations under the Verafin Acquisition Agreement or decline to consummate the Verafin Acquisition as a result of a breach of such representations in the Verafin Acquisition Agreement, (b) the determination of whether the Verafin Acquisition has been consummated in accordance with the terms of the Verafin Acquisition Agreement, and (c) the interpretation of the definition of Material Adverse Effect (as defined in the Verafin Acquisition Agreement as in effect on the date hereof) and whether a Material Adverse Effect (as defined in the Acquisition Agreement as in effect on the date hereof) has occurred, in each case shall be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20"/>
          </w:cols>
          <w:pgMar w:left="440" w:top="274" w:right="439" w:bottom="1440" w:gutter="0" w:footer="0" w:header="0"/>
        </w:sectPr>
      </w:pPr>
    </w:p>
    <w:bookmarkStart w:id="226" w:name="page227"/>
    <w:bookmarkEnd w:id="226"/>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governed by, and construed in accordance with, the Laws (as defined in the Verafin Acquisition Agreement) of the State of Delaware, without giving effect to any choice of Law (as defined in the Verafin Acquisition Agreement) or conflict of Law (as defined in the Verafin Acquisition Agreement) rules or provisions (whether of the State of Delaware or any other jurisdiction) that would cause the application of the Laws (as defined in the Verafin Acquisition Agreement) of any jurisdiction other than the State of Delaware.</w:t>
      </w:r>
    </w:p>
    <w:p>
      <w:pPr>
        <w:spacing w:after="0" w:line="79" w:lineRule="exact"/>
        <w:rPr>
          <w:sz w:val="20"/>
          <w:szCs w:val="20"/>
          <w:color w:val="auto"/>
        </w:rPr>
      </w:pPr>
    </w:p>
    <w:p>
      <w:pPr>
        <w:ind w:left="4" w:right="160" w:firstLine="436"/>
        <w:spacing w:after="0" w:line="290" w:lineRule="auto"/>
        <w:tabs>
          <w:tab w:leader="none" w:pos="699" w:val="left"/>
        </w:tabs>
        <w:numPr>
          <w:ilvl w:val="0"/>
          <w:numId w:val="250"/>
        </w:numPr>
        <w:rPr>
          <w:rFonts w:ascii="Arial" w:cs="Arial" w:eastAsia="Arial" w:hAnsi="Arial"/>
          <w:sz w:val="16"/>
          <w:szCs w:val="16"/>
          <w:color w:val="auto"/>
        </w:rPr>
      </w:pPr>
      <w:r>
        <w:rPr>
          <w:rFonts w:ascii="Arial" w:cs="Arial" w:eastAsia="Arial" w:hAnsi="Arial"/>
          <w:sz w:val="16"/>
          <w:szCs w:val="16"/>
          <w:color w:val="auto"/>
        </w:rPr>
        <w:t>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or any Lender may otherwise have to bring any action or proceeding relating to any Loan Document against the Borrower or its property in the courts of any jurisdiction.</w:t>
      </w:r>
    </w:p>
    <w:p>
      <w:pPr>
        <w:spacing w:after="0" w:line="57" w:lineRule="exact"/>
        <w:rPr>
          <w:rFonts w:ascii="Arial" w:cs="Arial" w:eastAsia="Arial" w:hAnsi="Arial"/>
          <w:sz w:val="16"/>
          <w:szCs w:val="16"/>
          <w:color w:val="auto"/>
        </w:rPr>
      </w:pPr>
    </w:p>
    <w:p>
      <w:pPr>
        <w:ind w:left="4" w:right="100" w:firstLine="436"/>
        <w:spacing w:after="0" w:line="259" w:lineRule="auto"/>
        <w:tabs>
          <w:tab w:leader="none" w:pos="689"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Borrower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Section 9.09(b). Each of the parties hereto hereby irrevocably waives, to the fullest extent permitted by law, the defense of an inconvenient forum to the maintenance of such action or proceeding in any such court.</w:t>
      </w:r>
    </w:p>
    <w:p>
      <w:pPr>
        <w:spacing w:after="0" w:line="78" w:lineRule="exact"/>
        <w:rPr>
          <w:rFonts w:ascii="Arial" w:cs="Arial" w:eastAsia="Arial" w:hAnsi="Arial"/>
          <w:sz w:val="18"/>
          <w:szCs w:val="18"/>
          <w:color w:val="auto"/>
        </w:rPr>
      </w:pPr>
    </w:p>
    <w:p>
      <w:pPr>
        <w:ind w:left="4" w:right="340" w:firstLine="436"/>
        <w:spacing w:after="0" w:line="308" w:lineRule="auto"/>
        <w:tabs>
          <w:tab w:leader="none" w:pos="699" w:val="left"/>
        </w:tabs>
        <w:numPr>
          <w:ilvl w:val="0"/>
          <w:numId w:val="250"/>
        </w:numPr>
        <w:rPr>
          <w:rFonts w:ascii="Arial" w:cs="Arial" w:eastAsia="Arial" w:hAnsi="Arial"/>
          <w:sz w:val="17"/>
          <w:szCs w:val="17"/>
          <w:color w:val="auto"/>
        </w:rPr>
      </w:pPr>
      <w:r>
        <w:rPr>
          <w:rFonts w:ascii="Arial" w:cs="Arial" w:eastAsia="Arial" w:hAnsi="Arial"/>
          <w:sz w:val="17"/>
          <w:szCs w:val="17"/>
          <w:color w:val="auto"/>
        </w:rPr>
        <w:t>Each party to this Agreement irrevocably consents to service of process in the manner provided for notices in Section 9.01. Nothing in any Loan Document will affect the right of any party to this Agreement to serve process in any other manner permitted by law.</w:t>
      </w:r>
    </w:p>
    <w:p>
      <w:pPr>
        <w:spacing w:after="0" w:line="142" w:lineRule="exact"/>
        <w:rPr>
          <w:sz w:val="20"/>
          <w:szCs w:val="20"/>
          <w:color w:val="auto"/>
        </w:rPr>
      </w:pPr>
    </w:p>
    <w:p>
      <w:pPr>
        <w:ind w:left="4" w:right="60" w:firstLine="440"/>
        <w:spacing w:after="0" w:line="253"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w:t>
      </w:r>
      <w:r>
        <w:rPr>
          <w:rFonts w:ascii="Arial" w:cs="Arial" w:eastAsia="Arial" w:hAnsi="Arial"/>
          <w:sz w:val="18"/>
          <w:szCs w:val="18"/>
          <w:b w:val="1"/>
          <w:bCs w:val="1"/>
          <w:color w:val="auto"/>
        </w:rPr>
        <w:t>EACH PARTY HERETO HEREBY WAIVES, TO THE FULLEST EXTENT 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5" w:lineRule="exact"/>
        <w:rPr>
          <w:sz w:val="20"/>
          <w:szCs w:val="20"/>
          <w:color w:val="auto"/>
        </w:rPr>
      </w:pPr>
    </w:p>
    <w:p>
      <w:pPr>
        <w:ind w:left="4" w:right="100" w:hanging="4"/>
        <w:spacing w:after="0" w:line="260" w:lineRule="auto"/>
        <w:tabs>
          <w:tab w:leader="none" w:pos="279"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ACKNOWLEDGES THAT IT AND THE OTHER PARTIES HERETO HAVE BEEN INDUCED TO ENTER INTO THIS AGREEMENT BY, AMONG OTHER THINGS, THE MUTUAL WAIVERS AND CERTIFICATIONS IN THIS SECTION 9.10</w:t>
      </w:r>
      <w:r>
        <w:rPr>
          <w:rFonts w:ascii="Arial" w:cs="Arial" w:eastAsia="Arial" w:hAnsi="Arial"/>
          <w:sz w:val="18"/>
          <w:szCs w:val="18"/>
          <w:color w:val="auto"/>
        </w:rPr>
        <w:t>.</w:t>
      </w:r>
    </w:p>
    <w:p>
      <w:pPr>
        <w:spacing w:after="0" w:line="185" w:lineRule="exact"/>
        <w:rPr>
          <w:sz w:val="20"/>
          <w:szCs w:val="20"/>
          <w:color w:val="auto"/>
        </w:rPr>
      </w:pPr>
    </w:p>
    <w:p>
      <w:pPr>
        <w:ind w:left="4" w:right="180" w:firstLine="440"/>
        <w:spacing w:after="0" w:line="308"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6" w:lineRule="exact"/>
        <w:rPr>
          <w:sz w:val="20"/>
          <w:szCs w:val="20"/>
          <w:color w:val="auto"/>
        </w:rPr>
      </w:pPr>
    </w:p>
    <w:p>
      <w:pPr>
        <w:ind w:left="4" w:right="500" w:firstLine="440"/>
        <w:spacing w:after="0" w:line="286"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u w:val="single" w:color="auto"/>
          <w:color w:val="auto"/>
        </w:rPr>
        <w:t>Confidentiality</w:t>
      </w:r>
      <w:r>
        <w:rPr>
          <w:rFonts w:ascii="Arial" w:cs="Arial" w:eastAsia="Arial" w:hAnsi="Arial"/>
          <w:sz w:val="17"/>
          <w:szCs w:val="17"/>
          <w:color w:val="auto"/>
        </w:rPr>
        <w:t>. Each of the Administrative Agent, the Lenders, the Issuing Banks, the Arrangers, the Joint Bookrunning Managers, the Syndication Agents and the Documentation Agents agrees to maintain the confidentiality of the Information (as defined below) and neither use nor disclose such Information, except that Information may be used by such Person in evaluating the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24"/>
          </w:cols>
          <w:pgMar w:left="436" w:top="274" w:right="439" w:bottom="1440" w:gutter="0" w:footer="0" w:header="0"/>
        </w:sectPr>
      </w:pPr>
    </w:p>
    <w:bookmarkStart w:id="227" w:name="page228"/>
    <w:bookmarkEnd w:id="227"/>
    <w:p>
      <w:pPr>
        <w:ind w:left="4"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credit worthiness of the Borrower or in providing financial services to Borrower or any of its Subsidiaries and may be disclosed, subject to the last paragraph of this Section 9.12 and limitations set forth in this Agreement relating to Public Lenders, (a) to its Affiliates and to its and its Affiliates’ respective partners, directors, officers, employees, agents, advisors and representatives on a need-to-know basis (it being understood that the Persons to whom such disclosure is made will be informed of the confidential nature of such Information and instructed to keep such Information confidential), (b) to the extent requested or demanded by any regulatory authority purporting to have jurisdiction over it (including any self-regulatory authority, such as the National Association of Insurance Commissioners), (c) to the extent required by applicable laws or regulations or by any subpoena or similar legal process (in which case the Borrower will be promptly notified (to the extent reasonably practicable and permitted by applicable law)),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consistent with or more restrictive than those of this Section 9.12, to (i) any assignee of or Participant in, or any prospective assignee of or Participant in, any of its rights or obligations under this Agreement, (ii) any pledgee referred to in Section 9.04(d) or (iii) any actual or prospective counterparty (or its advisors) to any swap or derivative transaction relating to the Borrower and its Obligations, (g) with the consent of the Borrower or</w:t>
      </w:r>
    </w:p>
    <w:p>
      <w:pPr>
        <w:spacing w:after="0" w:line="3" w:lineRule="exact"/>
        <w:rPr>
          <w:sz w:val="20"/>
          <w:szCs w:val="20"/>
          <w:color w:val="auto"/>
        </w:rPr>
      </w:pPr>
    </w:p>
    <w:p>
      <w:pPr>
        <w:ind w:left="4" w:right="220" w:hanging="4"/>
        <w:spacing w:after="0" w:line="273" w:lineRule="auto"/>
        <w:tabs>
          <w:tab w:leader="none" w:pos="259"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to the extent such Information (i) becomes publicly available other than as a result of a breach of this Section 9.12 or (ii) becomes available to the Administrative Agent, any Lender, any Issuing Bank or any of their respective Affiliates on a nonconfidential basis from a source other than the Borrower or any of its Related Parties, which source is not known to such Administrative Agent, Lender, Issuing Bank or Affiliate thereof to be prohibited from disclosing such information by a legal, contractual or fiduciary obligation to the Borrower or any of its Subsidiaries.</w:t>
      </w:r>
    </w:p>
    <w:p>
      <w:pPr>
        <w:spacing w:after="0" w:line="176"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For purposes of this Section 9.12, “</w:t>
      </w:r>
      <w:r>
        <w:rPr>
          <w:rFonts w:ascii="Arial" w:cs="Arial" w:eastAsia="Arial" w:hAnsi="Arial"/>
          <w:sz w:val="18"/>
          <w:szCs w:val="18"/>
          <w:u w:val="single" w:color="auto"/>
          <w:color w:val="auto"/>
        </w:rPr>
        <w:t>Information</w:t>
      </w:r>
      <w:r>
        <w:rPr>
          <w:rFonts w:ascii="Arial" w:cs="Arial" w:eastAsia="Arial" w:hAnsi="Arial"/>
          <w:sz w:val="18"/>
          <w:szCs w:val="18"/>
          <w:color w:val="auto"/>
        </w:rPr>
        <w:t>” means all information received from or on behalf of the Borrower or any Subsidiary thereof relating to the Borrower or any Affiliate thereof or their respective businesses, other than any such information that is (i) available to the Administrative Agent, any Lender or Issuing Bank on a non-confidential basis prior to disclosure by or on behalf of the Borrower or any Subsidiary thereof, which source is not known to such Administrative Agent, Lender, Issuing Bank or Affiliate thereof to be prohibited from disclosing such information by a legal, contractual or fiduciary obligation to the Borrower or any of its Subsidiaries or (ii) clearly marked “non-confidential.”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w:t>
      </w:r>
    </w:p>
    <w:p>
      <w:pPr>
        <w:spacing w:after="0" w:line="192" w:lineRule="exact"/>
        <w:rPr>
          <w:sz w:val="20"/>
          <w:szCs w:val="20"/>
          <w:color w:val="auto"/>
        </w:rPr>
      </w:pPr>
    </w:p>
    <w:p>
      <w:pPr>
        <w:jc w:val="both"/>
        <w:ind w:left="4" w:right="160" w:firstLine="440"/>
        <w:spacing w:after="0" w:line="301" w:lineRule="auto"/>
        <w:rPr>
          <w:sz w:val="20"/>
          <w:szCs w:val="20"/>
          <w:color w:val="auto"/>
        </w:rPr>
      </w:pPr>
      <w:r>
        <w:rPr>
          <w:rFonts w:ascii="Arial" w:cs="Arial" w:eastAsia="Arial" w:hAnsi="Arial"/>
          <w:sz w:val="16"/>
          <w:szCs w:val="16"/>
          <w:color w:val="auto"/>
        </w:rPr>
        <w:t>Each of the Administrative Agent, the Lenders, Issuing Banks, the Arrangers, the Joint Bookrunning Managers, the Syndication Agents and the Documentation Agents acknowledges that (a) the Information may include material non-public information concerning the Borrower, its Affiliates or any of their respective securities, as the case may be, (b) it has developed compliance procedures regarding the use of material non-public information and (c) it will handle such material non-public information in accordance with applicable law, including Federal and state securities laws.</w:t>
      </w:r>
    </w:p>
    <w:p>
      <w:pPr>
        <w:spacing w:after="0" w:line="157"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herein to the contrary, if at any time the interest rate applicable to any Loan or participation in any LC Disbursement, together with all fees, charges and other amounts that are treated as interest on such Loan or LC Disbursement or participation therein under applicable law (collectively the “</w:t>
      </w:r>
      <w:r>
        <w:rPr>
          <w:rFonts w:ascii="Arial" w:cs="Arial" w:eastAsia="Arial" w:hAnsi="Arial"/>
          <w:sz w:val="17"/>
          <w:szCs w:val="17"/>
          <w:u w:val="single" w:color="auto"/>
          <w:color w:val="auto"/>
        </w:rPr>
        <w:t>Charges</w:t>
      </w:r>
      <w:r>
        <w:rPr>
          <w:rFonts w:ascii="Arial" w:cs="Arial" w:eastAsia="Arial" w:hAnsi="Arial"/>
          <w:sz w:val="17"/>
          <w:szCs w:val="17"/>
          <w:color w:val="auto"/>
        </w:rPr>
        <w:t>”),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that may be contracted for, charged, taken, received or reserved by the Lender holding such Loan or LC Disbursement or participation therein in accordance with applicable law, the rate of interest payable in respect of such Loan hereunder, together with all Charges payable in respect thereof, shall be limited to the Maximum Rate and, to the extent lawful, the interest and Charges that</w:t>
      </w:r>
    </w:p>
    <w:p>
      <w:pPr>
        <w:spacing w:after="0" w:line="11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64"/>
          </w:cols>
          <w:pgMar w:left="436" w:top="274" w:right="499" w:bottom="1440" w:gutter="0" w:footer="0" w:header="0"/>
        </w:sectPr>
      </w:pPr>
    </w:p>
    <w:bookmarkStart w:id="228" w:name="page229"/>
    <w:bookmarkEnd w:id="228"/>
    <w:p>
      <w:pPr>
        <w:ind w:right="2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would have been payable in respect of such Loan or LC Disbursement or participation therein but were not payable as a result of the operation of this Section 9.13 shall be cumulated and the interest and Charges payable to such Lender in respect of other Loans or LC Disbursement or participation therein or periods shall be increased (but not above the Maximum Rate therefor) until such cumulated amount, together with interest thereon at the Federal Funds Effective Rate to the date of repayment, shall have been received by such Lender.</w:t>
      </w:r>
    </w:p>
    <w:p>
      <w:pPr>
        <w:spacing w:after="0" w:line="17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the Borrower that pursuant to the requirements of the USA Patriot Act (Title III of Pub. L. 107-56 (signed into law October 26, 2001)), as amended (the “</w:t>
      </w:r>
      <w:r>
        <w:rPr>
          <w:rFonts w:ascii="Arial" w:cs="Arial" w:eastAsia="Arial" w:hAnsi="Arial"/>
          <w:sz w:val="18"/>
          <w:szCs w:val="18"/>
          <w:u w:val="single" w:color="auto"/>
          <w:color w:val="auto"/>
        </w:rPr>
        <w:t>Patriot Act</w:t>
      </w:r>
      <w:r>
        <w:rPr>
          <w:rFonts w:ascii="Arial" w:cs="Arial" w:eastAsia="Arial" w:hAnsi="Arial"/>
          <w:sz w:val="18"/>
          <w:szCs w:val="18"/>
          <w:color w:val="auto"/>
        </w:rPr>
        <w:t>”) and the Beneficial Ownership Regulation, it is required to obtain, verify and record information that identifies the Borrower, which information includes the name, address and tax identification number of the Borrower and other information that will allow such Lender to identify the Borrower in accordance with the Patriot Act and the Beneficial Ownership Regulation. The Borrower shall, promptly following a written request by the Administrative Agent or any Lender through the Administrative Agent, provide all documentation and other information that the Administrative Agent or such Lender requires pursuant to applicable Law or reasonably requests, in any such case, in order to comply with its ongoing obligations under applicable “know your customer” and anti-money laundering rules and regulations, including the Patriot Act.</w:t>
      </w:r>
    </w:p>
    <w:p>
      <w:pPr>
        <w:spacing w:after="0" w:line="192"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 In connection with all aspects of each transaction contemplated hereby, the Borrower acknowledges and agrees that: (i) the credit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Affiliates, on the one hand, and the Administrative Agent, the Arrangers, the Syndication Agents, the Documentation Agents and the Lenders,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the Administrative Agent, the Arrangers, the Syndication Agents, the Documentation Agents and the Lenders each is and has been acting solely as a principal and is not the financial advisor, agent or fiduciary, for the Borrower or any of its Affiliates; (iii) none of the Administrative Agent, the Arrangers, the Syndication Agents, the Documentation Agents or the Lenders have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the Administrative Agent, the Arrangers, the Syndication Agents, the Documentation Agents or the Lenders have advised or are currently advising the Borrower or any of its Affiliates on other matters) and none of the Administrative Agent, the Arrangers, the Syndication Agents, the Documentation Agents or the Lenders has any obligation to the Borrower or any of its Affiliates with respect to the transactions contemplated hereby except those obligations expressly set forth herein and in the other Loan Documents; (iv) the Administrative Agent, each Arranger, each Syndication Agent, each Documentation Agent, each Lender and their respective Affiliates may be engaged in a broad range of transactions that involve interests that differ from those of the Borrower and its Affiliates, and none of the Administrative Agent, the Arrangers, the Syndication Agents, the Documentation Agents or the Lenders has any obligation to disclose any of such interests by virtue of any advisory, agency or fiduciary relationship; and (v) the Administrative Agent, the Arrangers, the Syndication Agents, the Documentation Agents and the Lenders have not provided and will not provide any legal, accounting, regulatory or tax advice with respect to any of the transactions contemplated hereby (including any amendment, waiver or other modification hereof or of any other Loan Document) and the Borrower has consulted its own legal, accounting, regulatory and tax advisors to the extent it has deemed appropriate. The Borrower hereby waives and releases, to the fullest extent permitted by law, any claims that it may have against the Administrative Agent, each Arranger, each Syndication Agent, each Documentation Agent and each Lender with respect to any breach or alleged breach of agency or fiduciary duty in connection with any aspect of any transaction contemplated hereby.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4" w:right="459" w:bottom="1440" w:gutter="0" w:footer="0" w:header="0"/>
        </w:sectPr>
      </w:pPr>
    </w:p>
    <w:bookmarkStart w:id="229" w:name="page230"/>
    <w:bookmarkEnd w:id="229"/>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9.16 </w:t>
      </w:r>
      <w:r>
        <w:rPr>
          <w:rFonts w:ascii="Arial" w:cs="Arial" w:eastAsia="Arial" w:hAnsi="Arial"/>
          <w:sz w:val="16"/>
          <w:szCs w:val="16"/>
          <w:u w:val="single" w:color="auto"/>
          <w:color w:val="auto"/>
        </w:rPr>
        <w:t>Judgment Currency</w:t>
      </w:r>
      <w:r>
        <w:rPr>
          <w:rFonts w:ascii="Arial" w:cs="Arial" w:eastAsia="Arial" w:hAnsi="Arial"/>
          <w:sz w:val="16"/>
          <w:szCs w:val="16"/>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that in which such sum is denominated in accordance with the applicable provisions of this Agreement (the “</w:t>
      </w:r>
      <w:r>
        <w:rPr>
          <w:rFonts w:ascii="Arial" w:cs="Arial" w:eastAsia="Arial" w:hAnsi="Arial"/>
          <w:sz w:val="16"/>
          <w:szCs w:val="16"/>
          <w:u w:val="single" w:color="auto"/>
          <w:color w:val="auto"/>
        </w:rPr>
        <w:t>Agreement Currency</w:t>
      </w:r>
      <w:r>
        <w:rPr>
          <w:rFonts w:ascii="Arial" w:cs="Arial" w:eastAsia="Arial" w:hAnsi="Arial"/>
          <w:sz w:val="16"/>
          <w:szCs w:val="16"/>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spacing w:after="0" w:line="174"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color w:val="auto"/>
        </w:rPr>
        <w:t xml:space="preserve">SECTION 9.17 </w:t>
      </w:r>
      <w:r>
        <w:rPr>
          <w:rFonts w:ascii="Arial" w:cs="Arial" w:eastAsia="Arial" w:hAnsi="Arial"/>
          <w:sz w:val="17"/>
          <w:szCs w:val="17"/>
          <w:u w:val="single" w:color="auto"/>
          <w:color w:val="auto"/>
        </w:rPr>
        <w:t>Electronic Execution of Assignments and Certain Other Documents</w:t>
      </w:r>
      <w:r>
        <w:rPr>
          <w:rFonts w:ascii="Arial" w:cs="Arial" w:eastAsia="Arial" w:hAnsi="Arial"/>
          <w:sz w:val="17"/>
          <w:szCs w:val="17"/>
          <w:color w:val="auto"/>
        </w:rPr>
        <w:t xml:space="preserve">. The words “execution,” “execute,” “signed,” “signature,” and words of like import in or related to any document to be signed in connection with this Agreement and the transactions contemplated hereby (including without limitation Assignment and Assumptions, amendments, modifications or other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85"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 xml:space="preserve">SECTION 9.18 </w:t>
      </w:r>
      <w:r>
        <w:rPr>
          <w:rFonts w:ascii="Arial" w:cs="Arial" w:eastAsia="Arial" w:hAnsi="Arial"/>
          <w:sz w:val="16"/>
          <w:szCs w:val="16"/>
          <w:u w:val="single" w:color="auto"/>
          <w:color w:val="auto"/>
        </w:rPr>
        <w:t>Acknowledgement and Consent to Bail-In of Affected Financial Institutions</w:t>
      </w:r>
      <w:r>
        <w:rPr>
          <w:rFonts w:ascii="Arial" w:cs="Arial" w:eastAsia="Arial" w:hAnsi="Arial"/>
          <w:sz w:val="16"/>
          <w:szCs w:val="16"/>
          <w:color w:val="auto"/>
        </w:rPr>
        <w:t>. Notwithstanding anything to the contrary in any Loan Documents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an applicable Resolution Authority and agrees and consents to, and acknowledges and agrees to be bound by:</w:t>
      </w:r>
    </w:p>
    <w:p>
      <w:pPr>
        <w:spacing w:after="0" w:line="49" w:lineRule="exact"/>
        <w:rPr>
          <w:sz w:val="20"/>
          <w:szCs w:val="20"/>
          <w:color w:val="auto"/>
        </w:rPr>
      </w:pPr>
    </w:p>
    <w:p>
      <w:pPr>
        <w:ind w:left="440" w:right="660" w:firstLine="419"/>
        <w:spacing w:after="0" w:line="277" w:lineRule="auto"/>
        <w:tabs>
          <w:tab w:leader="none" w:pos="110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80"/>
          </w:cols>
          <w:pgMar w:left="440" w:top="274" w:right="479" w:bottom="1440" w:gutter="0" w:footer="0" w:header="0"/>
        </w:sectPr>
      </w:pPr>
    </w:p>
    <w:bookmarkStart w:id="230" w:name="page231"/>
    <w:bookmarkEnd w:id="230"/>
    <w:p>
      <w:pPr>
        <w:ind w:left="620" w:hanging="212"/>
        <w:spacing w:after="0"/>
        <w:tabs>
          <w:tab w:leader="none" w:pos="6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reduction in full or in part or cancellation of any such liability;</w:t>
      </w:r>
    </w:p>
    <w:p>
      <w:pPr>
        <w:spacing w:after="0" w:line="117" w:lineRule="exact"/>
        <w:rPr>
          <w:rFonts w:ascii="Arial" w:cs="Arial" w:eastAsia="Arial" w:hAnsi="Arial"/>
          <w:sz w:val="18"/>
          <w:szCs w:val="18"/>
          <w:color w:val="auto"/>
        </w:rPr>
      </w:pPr>
    </w:p>
    <w:p>
      <w:pPr>
        <w:ind w:firstLine="408"/>
        <w:spacing w:after="0" w:line="259" w:lineRule="auto"/>
        <w:tabs>
          <w:tab w:leader="none" w:pos="66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8" w:lineRule="exact"/>
        <w:rPr>
          <w:rFonts w:ascii="Arial" w:cs="Arial" w:eastAsia="Arial" w:hAnsi="Arial"/>
          <w:sz w:val="18"/>
          <w:szCs w:val="18"/>
          <w:color w:val="auto"/>
        </w:rPr>
      </w:pPr>
    </w:p>
    <w:p>
      <w:pPr>
        <w:ind w:right="320" w:firstLine="408"/>
        <w:spacing w:after="0" w:line="277" w:lineRule="auto"/>
        <w:tabs>
          <w:tab w:leader="none" w:pos="71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jc w:val="center"/>
        <w:ind w:right="900"/>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9940"/>
          </w:cols>
          <w:pgMar w:left="1420" w:top="274" w:right="539" w:bottom="1440" w:gutter="0" w:footer="0" w:header="0"/>
        </w:sectPr>
      </w:pPr>
    </w:p>
    <w:bookmarkStart w:id="231" w:name="page232"/>
    <w:bookmarkEnd w:id="23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NASDAQ,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Ptasznik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Michael Ptasznik</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Corporate Strategy and</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0920"/>
          </w:cols>
          <w:pgMar w:left="440" w:top="274" w:right="539" w:bottom="1440" w:gutter="0" w:footer="0" w:header="0"/>
        </w:sectPr>
      </w:pPr>
    </w:p>
    <w:bookmarkStart w:id="232" w:name="page233"/>
    <w:bookmarkEnd w:id="23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BANK OF AMERICA, N.A., as Administrative Agent</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Angela Larkin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Angela Larkin</w:t>
      </w:r>
    </w:p>
    <w:p>
      <w:pPr>
        <w:spacing w:after="0" w:line="9"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560"/>
          </w:cols>
          <w:pgMar w:left="1440" w:top="274" w:right="899" w:bottom="1440" w:gutter="0" w:footer="0" w:header="0"/>
        </w:sectPr>
      </w:pPr>
    </w:p>
    <w:bookmarkStart w:id="233" w:name="page234"/>
    <w:bookmarkEnd w:id="233"/>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BANK OF AMERICA, N.A., as a Lender and Issuing Bank</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Sherman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Sherman Wong</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920"/>
          </w:cols>
          <w:pgMar w:left="1440" w:top="274" w:right="539" w:bottom="1440" w:gutter="0" w:footer="0" w:header="0"/>
        </w:sectPr>
      </w:pPr>
    </w:p>
    <w:bookmarkStart w:id="234" w:name="page235"/>
    <w:bookmarkEnd w:id="234"/>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JPMORGAN CHASE BANK, N.A.,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Jennifer M. Dunneback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Jennifer M. Dunneback</w:t>
      </w:r>
    </w:p>
    <w:p>
      <w:pPr>
        <w:spacing w:after="0" w:line="9"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120"/>
          </w:cols>
          <w:pgMar w:left="1440" w:top="274" w:right="1339" w:bottom="1440" w:gutter="0" w:footer="0" w:header="0"/>
        </w:sectPr>
      </w:pPr>
    </w:p>
    <w:bookmarkStart w:id="235" w:name="page236"/>
    <w:bookmarkEnd w:id="23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MIZUHO BANK, LTD.,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Donna DeMagistris</w:t>
      </w:r>
    </w:p>
    <w:p>
      <w:pPr>
        <w:spacing w:after="0" w:line="9"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274" w:right="1440" w:bottom="1440" w:gutter="0" w:footer="0" w:header="0"/>
        </w:sectPr>
      </w:pPr>
    </w:p>
    <w:bookmarkStart w:id="236" w:name="page237"/>
    <w:bookmarkEnd w:id="236"/>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NORDEA BANK ABP, NEW YORK BRANCH, as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Henrik M. Steffensen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Henrik M. Steffensen</w:t>
      </w:r>
    </w:p>
    <w:p>
      <w:pPr>
        <w:spacing w:after="0" w:line="9"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Executive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Kren Holm-Jorgensen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Kren Holm-Jorgensen</w:t>
      </w:r>
    </w:p>
    <w:p>
      <w:pPr>
        <w:spacing w:after="0" w:line="9"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500"/>
          </w:cols>
          <w:pgMar w:left="1440" w:top="274" w:right="959" w:bottom="1440" w:gutter="0" w:footer="0" w:header="0"/>
        </w:sectPr>
      </w:pPr>
    </w:p>
    <w:bookmarkStart w:id="237" w:name="page238"/>
    <w:bookmarkEnd w:id="237"/>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Skandinaviska Enskilda Banken AB (publ),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Penny Neville-Park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Penny Neville-Park</w:t>
      </w:r>
    </w:p>
    <w:p>
      <w:pPr>
        <w:spacing w:after="0" w:line="9"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Authorised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Duncan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Duncan Nash</w:t>
      </w:r>
    </w:p>
    <w:p>
      <w:pPr>
        <w:spacing w:after="0" w:line="9"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Authorised Signatory</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620"/>
          </w:cols>
          <w:pgMar w:left="1440" w:top="274" w:right="839" w:bottom="1440" w:gutter="0" w:footer="0" w:header="0"/>
        </w:sectPr>
      </w:pPr>
    </w:p>
    <w:bookmarkStart w:id="238" w:name="page239"/>
    <w:bookmarkEnd w:id="238"/>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Wells Fargo Bank, National Association,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Jocelyn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Jocelyn Boll</w:t>
      </w:r>
    </w:p>
    <w:p>
      <w:pPr>
        <w:spacing w:after="0" w:line="9"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420"/>
          </w:cols>
          <w:pgMar w:left="1440" w:top="274" w:right="1039" w:bottom="1440" w:gutter="0" w:footer="0" w:header="0"/>
        </w:sectPr>
      </w:pPr>
    </w:p>
    <w:bookmarkStart w:id="239" w:name="page240"/>
    <w:bookmarkEnd w:id="239"/>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Citibank, N.A.,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Ciaran Small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Ciaran Small</w:t>
      </w:r>
    </w:p>
    <w:p>
      <w:pPr>
        <w:spacing w:after="0" w:line="9"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6"/>
          <w:szCs w:val="16"/>
          <w:color w:val="auto"/>
        </w:rPr>
        <w:t>Title:</w:t>
        <w:tab/>
        <w:t>Vice President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274" w:right="1440" w:bottom="1440" w:gutter="0" w:footer="0" w:header="0"/>
        </w:sectPr>
      </w:pPr>
    </w:p>
    <w:bookmarkStart w:id="240" w:name="page241"/>
    <w:bookmarkEnd w:id="240"/>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GOLDMAN SACHS BANK USA,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Robert Ehudin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Robert Ehudin</w:t>
      </w:r>
    </w:p>
    <w:p>
      <w:pPr>
        <w:spacing w:after="0" w:line="9"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40"/>
          </w:cols>
          <w:pgMar w:left="1440" w:top="274" w:right="1419" w:bottom="1440" w:gutter="0" w:footer="0" w:header="0"/>
        </w:sectPr>
      </w:pPr>
    </w:p>
    <w:bookmarkStart w:id="241" w:name="page242"/>
    <w:bookmarkEnd w:id="241"/>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HSBC Bank, USA, N.A.,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James Stovell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James Stovell</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274" w:right="1440" w:bottom="1440" w:gutter="0" w:footer="0" w:header="0"/>
        </w:sectPr>
      </w:pPr>
    </w:p>
    <w:bookmarkStart w:id="242" w:name="page243"/>
    <w:bookmarkEnd w:id="24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INDUSTRIAL AND COMMERCIAL BANK OF</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CHINA LIMITED, NEW YORK BRANCH as a Lender</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Brian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Brian Foley</w:t>
      </w:r>
    </w:p>
    <w:p>
      <w:pPr>
        <w:spacing w:after="0" w:line="9"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Pinyen Shih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Pinyen Shih</w:t>
      </w:r>
    </w:p>
    <w:p>
      <w:pPr>
        <w:spacing w:after="0" w:line="9"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680"/>
          </w:cols>
          <w:pgMar w:left="1440" w:top="274" w:right="779" w:bottom="1440" w:gutter="0" w:footer="0" w:header="0"/>
        </w:sectPr>
      </w:pPr>
    </w:p>
    <w:bookmarkStart w:id="243" w:name="page244"/>
    <w:bookmarkEnd w:id="24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MORGAN STANLEY BANK, N.A.,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Michael King</w:t>
      </w:r>
    </w:p>
    <w:p>
      <w:pPr>
        <w:spacing w:after="0" w:line="9"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180"/>
          </w:cols>
          <w:pgMar w:left="1440" w:top="274" w:right="1279" w:bottom="1440" w:gutter="0" w:footer="0" w:header="0"/>
        </w:sectPr>
      </w:pPr>
    </w:p>
    <w:bookmarkStart w:id="244" w:name="page245"/>
    <w:bookmarkEnd w:id="244"/>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Svenska Handelsbanken AB (publ) New York Branch,</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Anna Gustafsson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Anna Gustafsson</w:t>
      </w:r>
    </w:p>
    <w:p>
      <w:pPr>
        <w:spacing w:after="0" w:line="9"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 – Head of Corporate</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Banking</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Johan Sander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Johan Sander</w:t>
      </w:r>
    </w:p>
    <w:p>
      <w:pPr>
        <w:spacing w:after="0" w:line="9"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540"/>
          </w:cols>
          <w:pgMar w:left="1440" w:top="274" w:right="919" w:bottom="1440" w:gutter="0" w:footer="0" w:header="0"/>
        </w:sectPr>
      </w:pPr>
    </w:p>
    <w:bookmarkStart w:id="245" w:name="page246"/>
    <w:bookmarkEnd w:id="24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TD BANK, N.A., as a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Craig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Craig Welch</w:t>
      </w:r>
    </w:p>
    <w:p>
      <w:pPr>
        <w:spacing w:after="0" w:line="9" w:lineRule="exact"/>
        <w:rPr>
          <w:sz w:val="20"/>
          <w:szCs w:val="20"/>
          <w:color w:val="auto"/>
        </w:rPr>
      </w:pPr>
    </w:p>
    <w:p>
      <w:pPr>
        <w:jc w:val="both"/>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F72E4E"/>
    <w:multiLevelType w:val="hybridMultilevel"/>
    <w:lvl w:ilvl="0">
      <w:lvlJc w:val="left"/>
      <w:lvlText w:val="☐"/>
      <w:numFmt w:val="bullet"/>
      <w:start w:val="1"/>
    </w:lvl>
  </w:abstractNum>
  <w:abstractNum w:abstractNumId="1">
    <w:nsid w:val="5046B5A9"/>
    <w:multiLevelType w:val="hybridMultilevel"/>
    <w:lvl w:ilvl="0">
      <w:lvlJc w:val="left"/>
      <w:lvlText w:val="(%1)"/>
      <w:numFmt w:val="lowerLetter"/>
      <w:start w:val="4"/>
    </w:lvl>
  </w:abstractNum>
  <w:abstractNum w:abstractNumId="2">
    <w:nsid w:val="5D888A08"/>
    <w:multiLevelType w:val="hybridMultilevel"/>
    <w:lvl w:ilvl="0">
      <w:lvlJc w:val="left"/>
      <w:lvlText w:val="%1"/>
      <w:numFmt w:val="decimal"/>
      <w:start w:val="104"/>
    </w:lvl>
  </w:abstractNum>
  <w:abstractNum w:abstractNumId="3">
    <w:nsid w:val="2A082C70"/>
    <w:multiLevelType w:val="hybridMultilevel"/>
    <w:lvl w:ilvl="0">
      <w:lvlJc w:val="left"/>
      <w:lvlText w:val="(%1)"/>
      <w:numFmt w:val="lowerLetter"/>
      <w:start w:val="2"/>
    </w:lvl>
  </w:abstractNum>
  <w:abstractNum w:abstractNumId="4">
    <w:nsid w:val="5EC6AFD4"/>
    <w:multiLevelType w:val="hybridMultilevel"/>
    <w:lvl w:ilvl="0">
      <w:lvlJc w:val="left"/>
      <w:lvlText w:val="(%1)"/>
      <w:numFmt w:val="lowerLetter"/>
      <w:start w:val="1"/>
    </w:lvl>
  </w:abstractNum>
  <w:abstractNum w:abstractNumId="5">
    <w:nsid w:val="19E21BB2"/>
    <w:multiLevelType w:val="hybridMultilevel"/>
    <w:lvl w:ilvl="0">
      <w:lvlJc w:val="left"/>
      <w:lvlText w:val="%1"/>
      <w:numFmt w:val="decimal"/>
      <w:start w:val="1"/>
    </w:lvl>
    <w:lvl w:ilvl="1">
      <w:lvlJc w:val="left"/>
      <w:lvlText w:val="(%2)"/>
      <w:numFmt w:val="lowerLetter"/>
      <w:start w:val="4"/>
    </w:lvl>
  </w:abstractNum>
  <w:abstractNum w:abstractNumId="6">
    <w:nsid w:val="75E0858A"/>
    <w:multiLevelType w:val="hybridMultilevel"/>
    <w:lvl w:ilvl="0">
      <w:lvlJc w:val="left"/>
      <w:lvlText w:val="(%1)"/>
      <w:numFmt w:val="decimal"/>
      <w:start w:val="2"/>
    </w:lvl>
    <w:lvl w:ilvl="1">
      <w:lvlJc w:val="left"/>
      <w:lvlText w:val="(%2)"/>
      <w:numFmt w:val="lowerLetter"/>
      <w:start w:val="8"/>
    </w:lvl>
  </w:abstractNum>
  <w:abstractNum w:abstractNumId="7">
    <w:nsid w:val="57A61A29"/>
    <w:multiLevelType w:val="hybridMultilevel"/>
    <w:lvl w:ilvl="0">
      <w:lvlJc w:val="left"/>
      <w:lvlText w:val="(%1)"/>
      <w:numFmt w:val="lowerLetter"/>
      <w:start w:val="13"/>
    </w:lvl>
  </w:abstractNum>
  <w:abstractNum w:abstractNumId="8">
    <w:nsid w:val="5399C654"/>
    <w:multiLevelType w:val="hybridMultilevel"/>
    <w:lvl w:ilvl="0">
      <w:lvlJc w:val="left"/>
      <w:lvlText w:val="(%1)"/>
      <w:numFmt w:val="lowerLetter"/>
      <w:start w:val="1"/>
    </w:lvl>
  </w:abstractNum>
  <w:abstractNum w:abstractNumId="9">
    <w:nsid w:val="20EE1348"/>
    <w:multiLevelType w:val="hybridMultilevel"/>
    <w:lvl w:ilvl="0">
      <w:lvlJc w:val="left"/>
      <w:lvlText w:val="*"/>
      <w:numFmt w:val="bullet"/>
      <w:start w:val="1"/>
    </w:lvl>
    <w:lvl w:ilvl="1">
      <w:lvlJc w:val="left"/>
      <w:lvlText w:val="(%2)"/>
      <w:numFmt w:val="lowerLetter"/>
      <w:start w:val="3"/>
    </w:lvl>
  </w:abstractNum>
  <w:abstractNum w:abstractNumId="10">
    <w:nsid w:val="4427069A"/>
    <w:multiLevelType w:val="hybridMultilevel"/>
    <w:lvl w:ilvl="0">
      <w:lvlJc w:val="left"/>
      <w:lvlText w:val="*"/>
      <w:numFmt w:val="bullet"/>
      <w:start w:val="1"/>
    </w:lvl>
  </w:abstractNum>
  <w:abstractNum w:abstractNumId="11">
    <w:nsid w:val="B37E80A"/>
    <w:multiLevelType w:val="hybridMultilevel"/>
    <w:lvl w:ilvl="0">
      <w:lvlJc w:val="left"/>
      <w:lvlText w:val="%1"/>
      <w:numFmt w:val="lowerLetter"/>
      <w:start w:val="1"/>
    </w:lvl>
    <w:lvl w:ilvl="1">
      <w:lvlJc w:val="left"/>
      <w:lvlText w:val="(%2)"/>
      <w:numFmt w:val="lowerLetter"/>
      <w:start w:val="4"/>
    </w:lvl>
  </w:abstractNum>
  <w:abstractNum w:abstractNumId="12">
    <w:nsid w:val="2157F6BC"/>
    <w:multiLevelType w:val="hybridMultilevel"/>
    <w:lvl w:ilvl="0">
      <w:lvlJc w:val="left"/>
      <w:lvlText w:val="(%1)"/>
      <w:numFmt w:val="lowerLetter"/>
      <w:start w:val="2"/>
    </w:lvl>
    <w:lvl w:ilvl="1">
      <w:lvlJc w:val="left"/>
      <w:lvlText w:val="%2"/>
      <w:numFmt w:val="lowerLetter"/>
      <w:start w:val="1"/>
    </w:lvl>
  </w:abstractNum>
  <w:abstractNum w:abstractNumId="13">
    <w:nsid w:val="704E1DD5"/>
    <w:multiLevelType w:val="hybridMultilevel"/>
    <w:lvl w:ilvl="0">
      <w:lvlJc w:val="left"/>
      <w:lvlText w:val="(%1)"/>
      <w:numFmt w:val="lowerLetter"/>
      <w:start w:val="7"/>
    </w:lvl>
  </w:abstractNum>
  <w:abstractNum w:abstractNumId="14">
    <w:nsid w:val="57D2F10E"/>
    <w:multiLevelType w:val="hybridMultilevel"/>
    <w:lvl w:ilvl="0">
      <w:lvlJc w:val="left"/>
      <w:lvlText w:val="(%1)"/>
      <w:numFmt w:val="lowerLetter"/>
      <w:start w:val="1"/>
    </w:lvl>
  </w:abstractNum>
  <w:abstractNum w:abstractNumId="15">
    <w:nsid w:val="BFFAE18"/>
    <w:multiLevelType w:val="hybridMultilevel"/>
    <w:lvl w:ilvl="0">
      <w:lvlJc w:val="left"/>
      <w:lvlText w:val="(%1)"/>
      <w:numFmt w:val="lowerLetter"/>
      <w:start w:val="1"/>
    </w:lvl>
  </w:abstractNum>
  <w:abstractNum w:abstractNumId="16">
    <w:nsid w:val="E3E47A8"/>
    <w:multiLevelType w:val="hybridMultilevel"/>
    <w:lvl w:ilvl="0">
      <w:lvlJc w:val="left"/>
      <w:lvlText w:val="(%1)"/>
      <w:numFmt w:val="lowerLetter"/>
      <w:start w:val="2"/>
    </w:lvl>
  </w:abstractNum>
  <w:abstractNum w:abstractNumId="17">
    <w:nsid w:val="2E48F044"/>
    <w:multiLevelType w:val="hybridMultilevel"/>
    <w:lvl w:ilvl="0">
      <w:lvlJc w:val="left"/>
      <w:lvlText w:val="(%1)"/>
      <w:numFmt w:val="lowerLetter"/>
      <w:start w:val="1"/>
    </w:lvl>
  </w:abstractNum>
  <w:abstractNum w:abstractNumId="18">
    <w:nsid w:val="49D0FEAC"/>
    <w:multiLevelType w:val="hybridMultilevel"/>
    <w:lvl w:ilvl="0">
      <w:lvlJc w:val="left"/>
      <w:lvlText w:val="(%1)"/>
      <w:numFmt w:val="lowerLetter"/>
      <w:start w:val="1"/>
    </w:lvl>
  </w:abstractNum>
  <w:abstractNum w:abstractNumId="19">
    <w:nsid w:val="4BEE5A5B"/>
    <w:multiLevelType w:val="hybridMultilevel"/>
    <w:lvl w:ilvl="0">
      <w:lvlJc w:val="left"/>
      <w:lvlText w:val="%1"/>
      <w:numFmt w:val="lowerLetter"/>
      <w:start w:val="1"/>
    </w:lvl>
    <w:lvl w:ilvl="1">
      <w:lvlJc w:val="left"/>
      <w:lvlText w:val="(%2)"/>
      <w:numFmt w:val="lowerLetter"/>
      <w:start w:val="7"/>
    </w:lvl>
  </w:abstractNum>
  <w:abstractNum w:abstractNumId="20">
    <w:nsid w:val="5551B9F3"/>
    <w:multiLevelType w:val="hybridMultilevel"/>
    <w:lvl w:ilvl="0">
      <w:lvlJc w:val="left"/>
      <w:lvlText w:val="(%1)"/>
      <w:numFmt w:val="lowerLetter"/>
      <w:start w:val="2"/>
    </w:lvl>
    <w:lvl w:ilvl="1">
      <w:lvlJc w:val="left"/>
      <w:lvlText w:val="%2"/>
      <w:numFmt w:val="lowerLetter"/>
      <w:start w:val="1"/>
    </w:lvl>
  </w:abstractNum>
  <w:abstractNum w:abstractNumId="21">
    <w:nsid w:val="24F6AB8E"/>
    <w:multiLevelType w:val="hybridMultilevel"/>
    <w:lvl w:ilvl="0">
      <w:lvlJc w:val="left"/>
      <w:lvlText w:val="(%1)"/>
      <w:numFmt w:val="lowerLetter"/>
      <w:start w:val="1"/>
    </w:lvl>
    <w:lvl w:ilvl="1">
      <w:lvlJc w:val="left"/>
      <w:lvlText w:val="(%2)"/>
      <w:numFmt w:val="lowerRoman"/>
      <w:start w:val="1"/>
    </w:lvl>
  </w:abstractNum>
  <w:abstractNum w:abstractNumId="22">
    <w:nsid w:val="634C574C"/>
    <w:multiLevelType w:val="hybridMultilevel"/>
    <w:lvl w:ilvl="0">
      <w:lvlJc w:val="left"/>
      <w:lvlText w:val="%1"/>
      <w:numFmt w:val="lowerLetter"/>
      <w:start w:val="1"/>
    </w:lvl>
    <w:lvl w:ilvl="1">
      <w:lvlJc w:val="left"/>
      <w:lvlText w:val="(%2)"/>
      <w:numFmt w:val="lowerRoman"/>
      <w:start w:val="3"/>
    </w:lvl>
  </w:abstractNum>
  <w:abstractNum w:abstractNumId="23">
    <w:nsid w:val="24E99DD7"/>
    <w:multiLevelType w:val="hybridMultilevel"/>
    <w:lvl w:ilvl="0">
      <w:lvlJc w:val="left"/>
      <w:lvlText w:val="(%1)"/>
      <w:numFmt w:val="lowerLetter"/>
      <w:start w:val="3"/>
    </w:lvl>
    <w:lvl w:ilvl="1">
      <w:lvlJc w:val="left"/>
      <w:lvlText w:val="%2"/>
      <w:numFmt w:val="lowerRoman"/>
      <w:start w:val="1"/>
    </w:lvl>
  </w:abstractNum>
  <w:abstractNum w:abstractNumId="24">
    <w:nsid w:val="2A31B62D"/>
    <w:multiLevelType w:val="hybridMultilevel"/>
    <w:lvl w:ilvl="0">
      <w:lvlJc w:val="left"/>
      <w:lvlText w:val="(%1)"/>
      <w:numFmt w:val="lowerLetter"/>
      <w:start w:val="4"/>
    </w:lvl>
  </w:abstractNum>
  <w:abstractNum w:abstractNumId="25">
    <w:nsid w:val="1849C29B"/>
    <w:multiLevelType w:val="hybridMultilevel"/>
    <w:lvl w:ilvl="0">
      <w:lvlJc w:val="left"/>
      <w:lvlText w:val="(%1)"/>
      <w:numFmt w:val="lowerLetter"/>
      <w:start w:val="1"/>
    </w:lvl>
  </w:abstractNum>
  <w:abstractNum w:abstractNumId="26">
    <w:nsid w:val="7DFF9D09"/>
    <w:multiLevelType w:val="hybridMultilevel"/>
    <w:lvl w:ilvl="0">
      <w:lvlJc w:val="left"/>
      <w:lvlText w:val="(%1)"/>
      <w:numFmt w:val="lowerLetter"/>
      <w:start w:val="2"/>
    </w:lvl>
  </w:abstractNum>
  <w:abstractNum w:abstractNumId="27">
    <w:nsid w:val="754342"/>
    <w:multiLevelType w:val="hybridMultilevel"/>
    <w:lvl w:ilvl="0">
      <w:lvlJc w:val="left"/>
      <w:lvlText w:val="(%1)"/>
      <w:numFmt w:val="lowerLetter"/>
      <w:start w:val="1"/>
    </w:lvl>
    <w:lvl w:ilvl="1">
      <w:lvlJc w:val="left"/>
      <w:lvlText w:val="(%2)"/>
      <w:numFmt w:val="lowerRoman"/>
      <w:start w:val="1"/>
    </w:lvl>
  </w:abstractNum>
  <w:abstractNum w:abstractNumId="28">
    <w:nsid w:val="69E7F3E5"/>
    <w:multiLevelType w:val="hybridMultilevel"/>
    <w:lvl w:ilvl="0">
      <w:lvlJc w:val="left"/>
      <w:lvlText w:val="(%1)"/>
      <w:numFmt w:val="lowerLetter"/>
      <w:start w:val="1"/>
    </w:lvl>
    <w:lvl w:ilvl="1">
      <w:lvlJc w:val="left"/>
      <w:lvlText w:val="(%2)"/>
      <w:numFmt w:val="decimal"/>
      <w:start w:val="1"/>
    </w:lvl>
  </w:abstractNum>
  <w:abstractNum w:abstractNumId="29">
    <w:nsid w:val="2A6DE806"/>
    <w:multiLevelType w:val="hybridMultilevel"/>
    <w:lvl w:ilvl="0">
      <w:lvlJc w:val="left"/>
      <w:lvlText w:val="(%1)"/>
      <w:numFmt w:val="lowerLetter"/>
      <w:start w:val="1"/>
    </w:lvl>
  </w:abstractNum>
  <w:abstractNum w:abstractNumId="30">
    <w:nsid w:val="1816F8C4"/>
    <w:multiLevelType w:val="hybridMultilevel"/>
    <w:lvl w:ilvl="0">
      <w:lvlJc w:val="left"/>
      <w:lvlText w:val="(%1)"/>
      <w:numFmt w:val="lowerLetter"/>
      <w:start w:val="2"/>
    </w:lvl>
    <w:lvl w:ilvl="1">
      <w:lvlJc w:val="left"/>
      <w:lvlText w:val="(%2)"/>
      <w:numFmt w:val="lowerRoman"/>
      <w:start w:val="1"/>
    </w:lvl>
  </w:abstractNum>
  <w:abstractNum w:abstractNumId="31">
    <w:nsid w:val="37DF2233"/>
    <w:multiLevelType w:val="hybridMultilevel"/>
    <w:lvl w:ilvl="0">
      <w:lvlJc w:val="left"/>
      <w:lvlText w:val="(%1)"/>
      <w:numFmt w:val="lowerLetter"/>
      <w:start w:val="6"/>
    </w:lvl>
  </w:abstractNum>
  <w:abstractNum w:abstractNumId="32">
    <w:nsid w:val="7AB49DAF"/>
    <w:multiLevelType w:val="hybridMultilevel"/>
    <w:lvl w:ilvl="0">
      <w:lvlJc w:val="left"/>
      <w:lvlText w:val="(%1)"/>
      <w:numFmt w:val="lowerLetter"/>
      <w:start w:val="1"/>
    </w:lvl>
    <w:lvl w:ilvl="1">
      <w:lvlJc w:val="left"/>
      <w:lvlText w:val="(%2)"/>
      <w:numFmt w:val="lowerRoman"/>
      <w:start w:val="1"/>
    </w:lvl>
  </w:abstractNum>
  <w:abstractNum w:abstractNumId="33">
    <w:nsid w:val="759F82CD"/>
    <w:multiLevelType w:val="hybridMultilevel"/>
    <w:lvl w:ilvl="0">
      <w:lvlJc w:val="left"/>
      <w:lvlText w:val="(%1)"/>
      <w:numFmt w:val="lowerLetter"/>
      <w:start w:val="2"/>
    </w:lvl>
  </w:abstractNum>
  <w:abstractNum w:abstractNumId="34">
    <w:nsid w:val="61E74EA3"/>
    <w:multiLevelType w:val="hybridMultilevel"/>
    <w:lvl w:ilvl="0">
      <w:lvlJc w:val="left"/>
      <w:lvlText w:val="(%1)"/>
      <w:numFmt w:val="lowerRoman"/>
      <w:start w:val="1"/>
    </w:lvl>
  </w:abstractNum>
  <w:abstractNum w:abstractNumId="35">
    <w:nsid w:val="597B4D84"/>
    <w:multiLevelType w:val="hybridMultilevel"/>
    <w:lvl w:ilvl="0">
      <w:lvlJc w:val="left"/>
      <w:lvlText w:val="(%1)"/>
      <w:numFmt w:val="lowerRoman"/>
      <w:start w:val="1"/>
    </w:lvl>
  </w:abstractNum>
  <w:abstractNum w:abstractNumId="36">
    <w:nsid w:val="F819E7F"/>
    <w:multiLevelType w:val="hybridMultilevel"/>
    <w:lvl w:ilvl="0">
      <w:lvlJc w:val="left"/>
      <w:lvlText w:val="%1"/>
      <w:numFmt w:val="lowerLetter"/>
      <w:start w:val="1"/>
    </w:lvl>
    <w:lvl w:ilvl="1">
      <w:lvlJc w:val="left"/>
      <w:lvlText w:val="(%2)"/>
      <w:numFmt w:val="lowerLetter"/>
      <w:start w:val="1"/>
    </w:lvl>
  </w:abstractNum>
  <w:abstractNum w:abstractNumId="37">
    <w:nsid w:val="57C7D42D"/>
    <w:multiLevelType w:val="hybridMultilevel"/>
    <w:lvl w:ilvl="0">
      <w:lvlJc w:val="left"/>
      <w:lvlText w:val="(%1)"/>
      <w:numFmt w:val="lowerLetter"/>
      <w:start w:val="25"/>
    </w:lvl>
    <w:lvl w:ilvl="1">
      <w:lvlJc w:val="left"/>
      <w:lvlText w:val="(%2)"/>
      <w:numFmt w:val="lowerLetter"/>
      <w:start w:val="2"/>
    </w:lvl>
  </w:abstractNum>
  <w:abstractNum w:abstractNumId="38">
    <w:nsid w:val="312167AD"/>
    <w:multiLevelType w:val="hybridMultilevel"/>
    <w:lvl w:ilvl="0">
      <w:lvlJc w:val="left"/>
      <w:lvlText w:val="(%1)"/>
      <w:numFmt w:val="lowerLetter"/>
      <w:start w:val="1"/>
    </w:lvl>
  </w:abstractNum>
  <w:abstractNum w:abstractNumId="39">
    <w:nsid w:val="631B64D4"/>
    <w:multiLevelType w:val="hybridMultilevel"/>
    <w:lvl w:ilvl="0">
      <w:lvlJc w:val="left"/>
      <w:lvlText w:val="(%1)"/>
      <w:numFmt w:val="lowerRoman"/>
      <w:start w:val="2"/>
    </w:lvl>
  </w:abstractNum>
  <w:abstractNum w:abstractNumId="40">
    <w:nsid w:val="78B5E776"/>
    <w:multiLevelType w:val="hybridMultilevel"/>
    <w:lvl w:ilvl="0">
      <w:lvlJc w:val="left"/>
      <w:lvlText w:val="(%1)"/>
      <w:numFmt w:val="lowerLetter"/>
      <w:start w:val="2"/>
    </w:lvl>
  </w:abstractNum>
  <w:abstractNum w:abstractNumId="41">
    <w:nsid w:val="75486E47"/>
    <w:multiLevelType w:val="hybridMultilevel"/>
    <w:lvl w:ilvl="0">
      <w:lvlJc w:val="left"/>
      <w:lvlText w:val="(%1)"/>
      <w:numFmt w:val="lowerLetter"/>
      <w:start w:val="1"/>
    </w:lvl>
  </w:abstractNum>
  <w:abstractNum w:abstractNumId="42">
    <w:nsid w:val="6E534CDE"/>
    <w:multiLevelType w:val="hybridMultilevel"/>
    <w:lvl w:ilvl="0">
      <w:lvlJc w:val="left"/>
      <w:lvlText w:val="%1"/>
      <w:numFmt w:val="decimal"/>
      <w:start w:val="1"/>
    </w:lvl>
    <w:lvl w:ilvl="1">
      <w:lvlJc w:val="left"/>
      <w:lvlText w:val="(%2)"/>
      <w:numFmt w:val="lowerLetter"/>
      <w:start w:val="5"/>
    </w:lvl>
  </w:abstractNum>
  <w:abstractNum w:abstractNumId="43">
    <w:nsid w:val="1A0DDE32"/>
    <w:multiLevelType w:val="hybridMultilevel"/>
    <w:lvl w:ilvl="0">
      <w:lvlJc w:val="left"/>
      <w:lvlText w:val="(%1)"/>
      <w:numFmt w:val="decimal"/>
      <w:start w:val="2"/>
    </w:lvl>
    <w:lvl w:ilvl="1">
      <w:lvlJc w:val="left"/>
      <w:lvlText w:val="(%2)"/>
      <w:numFmt w:val="lowerLetter"/>
      <w:start w:val="8"/>
    </w:lvl>
  </w:abstractNum>
  <w:abstractNum w:abstractNumId="44">
    <w:nsid w:val="65968C1C"/>
    <w:multiLevelType w:val="hybridMultilevel"/>
    <w:lvl w:ilvl="0">
      <w:lvlJc w:val="left"/>
      <w:lvlText w:val="(%1)"/>
      <w:numFmt w:val="lowerLetter"/>
      <w:start w:val="13"/>
    </w:lvl>
  </w:abstractNum>
  <w:abstractNum w:abstractNumId="45">
    <w:nsid w:val="46263DEC"/>
    <w:multiLevelType w:val="hybridMultilevel"/>
    <w:lvl w:ilvl="0">
      <w:lvlJc w:val="left"/>
      <w:lvlText w:val="(%1)"/>
      <w:numFmt w:val="lowerLetter"/>
      <w:start w:val="1"/>
    </w:lvl>
  </w:abstractNum>
  <w:abstractNum w:abstractNumId="46">
    <w:nsid w:val="260D8C4A"/>
    <w:multiLevelType w:val="hybridMultilevel"/>
    <w:lvl w:ilvl="0">
      <w:lvlJc w:val="left"/>
      <w:lvlText w:val="*"/>
      <w:numFmt w:val="bullet"/>
      <w:start w:val="1"/>
    </w:lvl>
    <w:lvl w:ilvl="1">
      <w:lvlJc w:val="left"/>
      <w:lvlText w:val="(%2)"/>
      <w:numFmt w:val="lowerLetter"/>
      <w:start w:val="3"/>
    </w:lvl>
  </w:abstractNum>
  <w:abstractNum w:abstractNumId="47">
    <w:nsid w:val="73D4D3C4"/>
    <w:multiLevelType w:val="hybridMultilevel"/>
    <w:lvl w:ilvl="0">
      <w:lvlJc w:val="left"/>
      <w:lvlText w:val="*"/>
      <w:numFmt w:val="bullet"/>
      <w:start w:val="1"/>
    </w:lvl>
  </w:abstractNum>
  <w:abstractNum w:abstractNumId="48">
    <w:nsid w:val="746F2E30"/>
    <w:multiLevelType w:val="hybridMultilevel"/>
    <w:lvl w:ilvl="0">
      <w:lvlJc w:val="left"/>
      <w:lvlText w:val="%1"/>
      <w:numFmt w:val="lowerLetter"/>
      <w:start w:val="1"/>
    </w:lvl>
    <w:lvl w:ilvl="1">
      <w:lvlJc w:val="left"/>
      <w:lvlText w:val="(%2)"/>
      <w:numFmt w:val="lowerLetter"/>
      <w:start w:val="4"/>
    </w:lvl>
  </w:abstractNum>
  <w:abstractNum w:abstractNumId="49">
    <w:nsid w:val="6FDE8AF6"/>
    <w:multiLevelType w:val="hybridMultilevel"/>
    <w:lvl w:ilvl="0">
      <w:lvlJc w:val="left"/>
      <w:lvlText w:val="(%1)"/>
      <w:numFmt w:val="lowerLetter"/>
      <w:start w:val="2"/>
    </w:lvl>
    <w:lvl w:ilvl="1">
      <w:lvlJc w:val="left"/>
      <w:lvlText w:val="%2"/>
      <w:numFmt w:val="lowerLetter"/>
      <w:start w:val="1"/>
    </w:lvl>
  </w:abstractNum>
  <w:abstractNum w:abstractNumId="50">
    <w:nsid w:val="3FC32E20"/>
    <w:multiLevelType w:val="hybridMultilevel"/>
    <w:lvl w:ilvl="0">
      <w:lvlJc w:val="left"/>
      <w:lvlText w:val="(%1)"/>
      <w:numFmt w:val="lowerLetter"/>
      <w:start w:val="7"/>
    </w:lvl>
  </w:abstractNum>
  <w:abstractNum w:abstractNumId="51">
    <w:nsid w:val="49C0E823"/>
    <w:multiLevelType w:val="hybridMultilevel"/>
    <w:lvl w:ilvl="0">
      <w:lvlJc w:val="left"/>
      <w:lvlText w:val="(%1)"/>
      <w:numFmt w:val="lowerLetter"/>
      <w:start w:val="1"/>
    </w:lvl>
  </w:abstractNum>
  <w:abstractNum w:abstractNumId="52">
    <w:nsid w:val="14D53685"/>
    <w:multiLevelType w:val="hybridMultilevel"/>
    <w:lvl w:ilvl="0">
      <w:lvlJc w:val="left"/>
      <w:lvlText w:val="(%1)"/>
      <w:numFmt w:val="lowerLetter"/>
      <w:start w:val="1"/>
    </w:lvl>
  </w:abstractNum>
  <w:abstractNum w:abstractNumId="53">
    <w:nsid w:val="230F856C"/>
    <w:multiLevelType w:val="hybridMultilevel"/>
    <w:lvl w:ilvl="0">
      <w:lvlJc w:val="left"/>
      <w:lvlText w:val="(%1)"/>
      <w:numFmt w:val="lowerLetter"/>
      <w:start w:val="2"/>
    </w:lvl>
  </w:abstractNum>
  <w:abstractNum w:abstractNumId="54">
    <w:nsid w:val="6EAA85FB"/>
    <w:multiLevelType w:val="hybridMultilevel"/>
    <w:lvl w:ilvl="0">
      <w:lvlJc w:val="left"/>
      <w:lvlText w:val="(%1)"/>
      <w:numFmt w:val="lowerLetter"/>
      <w:start w:val="1"/>
    </w:lvl>
  </w:abstractNum>
  <w:abstractNum w:abstractNumId="55">
    <w:nsid w:val="3F06ECB2"/>
    <w:multiLevelType w:val="hybridMultilevel"/>
    <w:lvl w:ilvl="0">
      <w:lvlJc w:val="left"/>
      <w:lvlText w:val="(%1)"/>
      <w:numFmt w:val="lowerLetter"/>
      <w:start w:val="1"/>
    </w:lvl>
  </w:abstractNum>
  <w:abstractNum w:abstractNumId="56">
    <w:nsid w:val="3B594807"/>
    <w:multiLevelType w:val="hybridMultilevel"/>
    <w:lvl w:ilvl="0">
      <w:lvlJc w:val="left"/>
      <w:lvlText w:val="%1"/>
      <w:numFmt w:val="lowerLetter"/>
      <w:start w:val="1"/>
    </w:lvl>
    <w:lvl w:ilvl="1">
      <w:lvlJc w:val="left"/>
      <w:lvlText w:val="(%2)"/>
      <w:numFmt w:val="lowerLetter"/>
      <w:start w:val="7"/>
    </w:lvl>
  </w:abstractNum>
  <w:abstractNum w:abstractNumId="57">
    <w:nsid w:val="6CAA2304"/>
    <w:multiLevelType w:val="hybridMultilevel"/>
    <w:lvl w:ilvl="0">
      <w:lvlJc w:val="left"/>
      <w:lvlText w:val="(%1)"/>
      <w:numFmt w:val="lowerLetter"/>
      <w:start w:val="2"/>
    </w:lvl>
    <w:lvl w:ilvl="1">
      <w:lvlJc w:val="left"/>
      <w:lvlText w:val="%2"/>
      <w:numFmt w:val="lowerLetter"/>
      <w:start w:val="1"/>
    </w:lvl>
  </w:abstractNum>
  <w:abstractNum w:abstractNumId="58">
    <w:nsid w:val="3F7C2FF4"/>
    <w:multiLevelType w:val="hybridMultilevel"/>
    <w:lvl w:ilvl="0">
      <w:lvlJc w:val="left"/>
      <w:lvlText w:val="(%1)"/>
      <w:numFmt w:val="lowerLetter"/>
      <w:start w:val="1"/>
    </w:lvl>
    <w:lvl w:ilvl="1">
      <w:lvlJc w:val="left"/>
      <w:lvlText w:val="(%2)"/>
      <w:numFmt w:val="lowerRoman"/>
      <w:start w:val="1"/>
    </w:lvl>
  </w:abstractNum>
  <w:abstractNum w:abstractNumId="59">
    <w:nsid w:val="25413BEC"/>
    <w:multiLevelType w:val="hybridMultilevel"/>
    <w:lvl w:ilvl="0">
      <w:lvlJc w:val="left"/>
      <w:lvlText w:val="%1"/>
      <w:numFmt w:val="lowerLetter"/>
      <w:start w:val="1"/>
    </w:lvl>
    <w:lvl w:ilvl="1">
      <w:lvlJc w:val="left"/>
      <w:lvlText w:val="(%2)"/>
      <w:numFmt w:val="lowerRoman"/>
      <w:start w:val="3"/>
    </w:lvl>
  </w:abstractNum>
  <w:abstractNum w:abstractNumId="60">
    <w:nsid w:val="17180B0B"/>
    <w:multiLevelType w:val="hybridMultilevel"/>
    <w:lvl w:ilvl="0">
      <w:lvlJc w:val="left"/>
      <w:lvlText w:val="(%1)"/>
      <w:numFmt w:val="lowerLetter"/>
      <w:start w:val="3"/>
    </w:lvl>
    <w:lvl w:ilvl="1">
      <w:lvlJc w:val="left"/>
      <w:lvlText w:val="%2"/>
      <w:numFmt w:val="lowerRoman"/>
      <w:start w:val="1"/>
    </w:lvl>
  </w:abstractNum>
  <w:abstractNum w:abstractNumId="61">
    <w:nsid w:val="579328B9"/>
    <w:multiLevelType w:val="hybridMultilevel"/>
    <w:lvl w:ilvl="0">
      <w:lvlJc w:val="left"/>
      <w:lvlText w:val="(%1)"/>
      <w:numFmt w:val="lowerLetter"/>
      <w:start w:val="4"/>
    </w:lvl>
  </w:abstractNum>
  <w:abstractNum w:abstractNumId="62">
    <w:nsid w:val="5D205E20"/>
    <w:multiLevelType w:val="hybridMultilevel"/>
    <w:lvl w:ilvl="0">
      <w:lvlJc w:val="left"/>
      <w:lvlText w:val="(%1)"/>
      <w:numFmt w:val="lowerLetter"/>
      <w:start w:val="1"/>
    </w:lvl>
  </w:abstractNum>
  <w:abstractNum w:abstractNumId="63">
    <w:nsid w:val="11CCA8BA"/>
    <w:multiLevelType w:val="hybridMultilevel"/>
    <w:lvl w:ilvl="0">
      <w:lvlJc w:val="left"/>
      <w:lvlText w:val="(%1)"/>
      <w:numFmt w:val="lowerLetter"/>
      <w:start w:val="2"/>
    </w:lvl>
  </w:abstractNum>
  <w:abstractNum w:abstractNumId="64">
    <w:nsid w:val="4D32AB86"/>
    <w:multiLevelType w:val="hybridMultilevel"/>
    <w:lvl w:ilvl="0">
      <w:lvlJc w:val="left"/>
      <w:lvlText w:val="(%1)"/>
      <w:numFmt w:val="lowerLetter"/>
      <w:start w:val="1"/>
    </w:lvl>
    <w:lvl w:ilvl="1">
      <w:lvlJc w:val="left"/>
      <w:lvlText w:val="(%2)"/>
      <w:numFmt w:val="lowerRoman"/>
      <w:start w:val="1"/>
    </w:lvl>
  </w:abstractNum>
  <w:abstractNum w:abstractNumId="65">
    <w:nsid w:val="3F07ACC3"/>
    <w:multiLevelType w:val="hybridMultilevel"/>
    <w:lvl w:ilvl="0">
      <w:lvlJc w:val="left"/>
      <w:lvlText w:val="(%1)"/>
      <w:numFmt w:val="lowerLetter"/>
      <w:start w:val="1"/>
    </w:lvl>
    <w:lvl w:ilvl="1">
      <w:lvlJc w:val="left"/>
      <w:lvlText w:val="(%2)"/>
      <w:numFmt w:val="decimal"/>
      <w:start w:val="1"/>
    </w:lvl>
  </w:abstractNum>
  <w:abstractNum w:abstractNumId="66">
    <w:nsid w:val="6B47F63E"/>
    <w:multiLevelType w:val="hybridMultilevel"/>
    <w:lvl w:ilvl="0">
      <w:lvlJc w:val="left"/>
      <w:lvlText w:val="(%1)"/>
      <w:numFmt w:val="lowerLetter"/>
      <w:start w:val="1"/>
    </w:lvl>
  </w:abstractNum>
  <w:abstractNum w:abstractNumId="67">
    <w:nsid w:val="5CB44A05"/>
    <w:multiLevelType w:val="hybridMultilevel"/>
    <w:lvl w:ilvl="0">
      <w:lvlJc w:val="left"/>
      <w:lvlText w:val="(%1)"/>
      <w:numFmt w:val="lowerLetter"/>
      <w:start w:val="2"/>
    </w:lvl>
    <w:lvl w:ilvl="1">
      <w:lvlJc w:val="left"/>
      <w:lvlText w:val="(%2)"/>
      <w:numFmt w:val="lowerRoman"/>
      <w:start w:val="1"/>
    </w:lvl>
  </w:abstractNum>
  <w:abstractNum w:abstractNumId="68">
    <w:nsid w:val="16CF80F1"/>
    <w:multiLevelType w:val="hybridMultilevel"/>
    <w:lvl w:ilvl="0">
      <w:lvlJc w:val="left"/>
      <w:lvlText w:val="(%1)"/>
      <w:numFmt w:val="lowerLetter"/>
      <w:start w:val="6"/>
    </w:lvl>
  </w:abstractNum>
  <w:abstractNum w:abstractNumId="69">
    <w:nsid w:val="1C695DEC"/>
    <w:multiLevelType w:val="hybridMultilevel"/>
    <w:lvl w:ilvl="0">
      <w:lvlJc w:val="left"/>
      <w:lvlText w:val="(%1)"/>
      <w:numFmt w:val="lowerLetter"/>
      <w:start w:val="1"/>
    </w:lvl>
    <w:lvl w:ilvl="1">
      <w:lvlJc w:val="left"/>
      <w:lvlText w:val="(%2)"/>
      <w:numFmt w:val="lowerRoman"/>
      <w:start w:val="1"/>
    </w:lvl>
  </w:abstractNum>
  <w:abstractNum w:abstractNumId="70">
    <w:nsid w:val="3FCFAED9"/>
    <w:multiLevelType w:val="hybridMultilevel"/>
    <w:lvl w:ilvl="0">
      <w:lvlJc w:val="left"/>
      <w:lvlText w:val="(%1)"/>
      <w:numFmt w:val="lowerLetter"/>
      <w:start w:val="2"/>
    </w:lvl>
  </w:abstractNum>
  <w:abstractNum w:abstractNumId="71">
    <w:nsid w:val="F856867"/>
    <w:multiLevelType w:val="hybridMultilevel"/>
    <w:lvl w:ilvl="0">
      <w:lvlJc w:val="left"/>
      <w:lvlText w:val="(%1)"/>
      <w:numFmt w:val="lowerRoman"/>
      <w:start w:val="1"/>
    </w:lvl>
  </w:abstractNum>
  <w:abstractNum w:abstractNumId="72">
    <w:nsid w:val="11B1CC33"/>
    <w:multiLevelType w:val="hybridMultilevel"/>
    <w:lvl w:ilvl="0">
      <w:lvlJc w:val="left"/>
      <w:lvlText w:val="(%1)"/>
      <w:numFmt w:val="lowerRoman"/>
      <w:start w:val="1"/>
    </w:lvl>
  </w:abstractNum>
  <w:abstractNum w:abstractNumId="73">
    <w:nsid w:val="2E22FBB7"/>
    <w:multiLevelType w:val="hybridMultilevel"/>
    <w:lvl w:ilvl="0">
      <w:lvlJc w:val="left"/>
      <w:lvlText w:val="%1"/>
      <w:numFmt w:val="lowerLetter"/>
      <w:start w:val="1"/>
    </w:lvl>
    <w:lvl w:ilvl="1">
      <w:lvlJc w:val="left"/>
      <w:lvlText w:val="(%2)"/>
      <w:numFmt w:val="lowerLetter"/>
      <w:start w:val="1"/>
    </w:lvl>
  </w:abstractNum>
  <w:abstractNum w:abstractNumId="74">
    <w:nsid w:val="29934699"/>
    <w:multiLevelType w:val="hybridMultilevel"/>
    <w:lvl w:ilvl="0">
      <w:lvlJc w:val="left"/>
      <w:lvlText w:val="(%1)"/>
      <w:numFmt w:val="lowerLetter"/>
      <w:start w:val="25"/>
    </w:lvl>
    <w:lvl w:ilvl="1">
      <w:lvlJc w:val="left"/>
      <w:lvlText w:val="(%2)"/>
      <w:numFmt w:val="lowerLetter"/>
      <w:start w:val="2"/>
    </w:lvl>
  </w:abstractNum>
  <w:abstractNum w:abstractNumId="75">
    <w:nsid w:val="77485850"/>
    <w:multiLevelType w:val="hybridMultilevel"/>
    <w:lvl w:ilvl="0">
      <w:lvlJc w:val="left"/>
      <w:lvlText w:val="(%1)"/>
      <w:numFmt w:val="lowerLetter"/>
      <w:start w:val="1"/>
    </w:lvl>
  </w:abstractNum>
  <w:abstractNum w:abstractNumId="76">
    <w:nsid w:val="744939A3"/>
    <w:multiLevelType w:val="hybridMultilevel"/>
    <w:lvl w:ilvl="0">
      <w:lvlJc w:val="left"/>
      <w:lvlText w:val="(%1)"/>
      <w:numFmt w:val="lowerRoman"/>
      <w:start w:val="2"/>
    </w:lvl>
  </w:abstractNum>
  <w:abstractNum w:abstractNumId="77">
    <w:nsid w:val="4FA0D2E3"/>
    <w:multiLevelType w:val="hybridMultilevel"/>
    <w:lvl w:ilvl="0">
      <w:lvlJc w:val="left"/>
      <w:lvlText w:val="(%1)"/>
      <w:numFmt w:val="lowerLetter"/>
      <w:start w:val="2"/>
    </w:lvl>
  </w:abstractNum>
  <w:abstractNum w:abstractNumId="78">
    <w:nsid w:val="6B1D2C14"/>
    <w:multiLevelType w:val="hybridMultilevel"/>
    <w:lvl w:ilvl="0">
      <w:lvlJc w:val="left"/>
      <w:lvlText w:val="(%1)"/>
      <w:numFmt w:val="lowerLetter"/>
      <w:start w:val="1"/>
    </w:lvl>
  </w:abstractNum>
  <w:abstractNum w:abstractNumId="79">
    <w:nsid w:val="68B867D3"/>
    <w:multiLevelType w:val="hybridMultilevel"/>
    <w:lvl w:ilvl="0">
      <w:lvlJc w:val="left"/>
      <w:lvlText w:val="%1"/>
      <w:numFmt w:val="decimal"/>
      <w:start w:val="1"/>
    </w:lvl>
    <w:lvl w:ilvl="1">
      <w:lvlJc w:val="left"/>
      <w:lvlText w:val="(%2)"/>
      <w:numFmt w:val="lowerLetter"/>
      <w:start w:val="5"/>
    </w:lvl>
  </w:abstractNum>
  <w:abstractNum w:abstractNumId="80">
    <w:nsid w:val="3F7F5DD9"/>
    <w:multiLevelType w:val="hybridMultilevel"/>
    <w:lvl w:ilvl="0">
      <w:lvlJc w:val="left"/>
      <w:lvlText w:val="(%1)"/>
      <w:numFmt w:val="decimal"/>
      <w:start w:val="2"/>
    </w:lvl>
    <w:lvl w:ilvl="1">
      <w:lvlJc w:val="left"/>
      <w:lvlText w:val="(%2)"/>
      <w:numFmt w:val="lowerLetter"/>
      <w:start w:val="8"/>
    </w:lvl>
  </w:abstractNum>
  <w:abstractNum w:abstractNumId="81">
    <w:nsid w:val="2AE05A34"/>
    <w:multiLevelType w:val="hybridMultilevel"/>
    <w:lvl w:ilvl="0">
      <w:lvlJc w:val="left"/>
      <w:lvlText w:val="(%1)"/>
      <w:numFmt w:val="lowerLetter"/>
      <w:start w:val="13"/>
    </w:lvl>
  </w:abstractNum>
  <w:abstractNum w:abstractNumId="82">
    <w:nsid w:val="32794FF7"/>
    <w:multiLevelType w:val="hybridMultilevel"/>
    <w:lvl w:ilvl="0">
      <w:lvlJc w:val="left"/>
      <w:lvlText w:val="(%1)"/>
      <w:numFmt w:val="lowerLetter"/>
      <w:start w:val="1"/>
    </w:lvl>
  </w:abstractNum>
  <w:abstractNum w:abstractNumId="83">
    <w:nsid w:val="5454945E"/>
    <w:multiLevelType w:val="hybridMultilevel"/>
    <w:lvl w:ilvl="0">
      <w:lvlJc w:val="left"/>
      <w:lvlText w:val="*"/>
      <w:numFmt w:val="bullet"/>
      <w:start w:val="1"/>
    </w:lvl>
    <w:lvl w:ilvl="1">
      <w:lvlJc w:val="left"/>
      <w:lvlText w:val="(%2)"/>
      <w:numFmt w:val="lowerLetter"/>
      <w:start w:val="3"/>
    </w:lvl>
  </w:abstractNum>
  <w:abstractNum w:abstractNumId="84">
    <w:nsid w:val="4DEFDFA0"/>
    <w:multiLevelType w:val="hybridMultilevel"/>
    <w:lvl w:ilvl="0">
      <w:lvlJc w:val="left"/>
      <w:lvlText w:val="*"/>
      <w:numFmt w:val="bullet"/>
      <w:start w:val="1"/>
    </w:lvl>
  </w:abstractNum>
  <w:abstractNum w:abstractNumId="85">
    <w:nsid w:val="2123D5F2"/>
    <w:multiLevelType w:val="hybridMultilevel"/>
    <w:lvl w:ilvl="0">
      <w:lvlJc w:val="left"/>
      <w:lvlText w:val="%1"/>
      <w:numFmt w:val="lowerLetter"/>
      <w:start w:val="1"/>
    </w:lvl>
    <w:lvl w:ilvl="1">
      <w:lvlJc w:val="left"/>
      <w:lvlText w:val="(%2)"/>
      <w:numFmt w:val="lowerLetter"/>
      <w:start w:val="4"/>
    </w:lvl>
  </w:abstractNum>
  <w:abstractNum w:abstractNumId="86">
    <w:nsid w:val="135B8110"/>
    <w:multiLevelType w:val="hybridMultilevel"/>
    <w:lvl w:ilvl="0">
      <w:lvlJc w:val="left"/>
      <w:lvlText w:val="(%1)"/>
      <w:numFmt w:val="lowerLetter"/>
      <w:start w:val="2"/>
    </w:lvl>
    <w:lvl w:ilvl="1">
      <w:lvlJc w:val="left"/>
      <w:lvlText w:val="%2"/>
      <w:numFmt w:val="lowerLetter"/>
      <w:start w:val="1"/>
    </w:lvl>
  </w:abstractNum>
  <w:abstractNum w:abstractNumId="87">
    <w:nsid w:val="94927A8"/>
    <w:multiLevelType w:val="hybridMultilevel"/>
    <w:lvl w:ilvl="0">
      <w:lvlJc w:val="left"/>
      <w:lvlText w:val="(%1)"/>
      <w:numFmt w:val="lowerLetter"/>
      <w:start w:val="7"/>
    </w:lvl>
  </w:abstractNum>
  <w:abstractNum w:abstractNumId="88">
    <w:nsid w:val="DCDF8F6"/>
    <w:multiLevelType w:val="hybridMultilevel"/>
    <w:lvl w:ilvl="0">
      <w:lvlJc w:val="left"/>
      <w:lvlText w:val="(%1)"/>
      <w:numFmt w:val="lowerLetter"/>
      <w:start w:val="1"/>
    </w:lvl>
  </w:abstractNum>
  <w:abstractNum w:abstractNumId="89">
    <w:nsid w:val="52D7B105"/>
    <w:multiLevelType w:val="hybridMultilevel"/>
    <w:lvl w:ilvl="0">
      <w:lvlJc w:val="left"/>
      <w:lvlText w:val="(%1)"/>
      <w:numFmt w:val="lowerLetter"/>
      <w:start w:val="1"/>
    </w:lvl>
  </w:abstractNum>
  <w:abstractNum w:abstractNumId="90">
    <w:nsid w:val="2E8A6394"/>
    <w:multiLevelType w:val="hybridMultilevel"/>
    <w:lvl w:ilvl="0">
      <w:lvlJc w:val="left"/>
      <w:lvlText w:val="(%1)"/>
      <w:numFmt w:val="lowerLetter"/>
      <w:start w:val="2"/>
    </w:lvl>
  </w:abstractNum>
  <w:abstractNum w:abstractNumId="91">
    <w:nsid w:val="24E60401"/>
    <w:multiLevelType w:val="hybridMultilevel"/>
    <w:lvl w:ilvl="0">
      <w:lvlJc w:val="left"/>
      <w:lvlText w:val="(%1)"/>
      <w:numFmt w:val="lowerLetter"/>
      <w:start w:val="1"/>
    </w:lvl>
  </w:abstractNum>
  <w:abstractNum w:abstractNumId="92">
    <w:nsid w:val="2A6AD9BE"/>
    <w:multiLevelType w:val="hybridMultilevel"/>
    <w:lvl w:ilvl="0">
      <w:lvlJc w:val="left"/>
      <w:lvlText w:val="(%1)"/>
      <w:numFmt w:val="lowerLetter"/>
      <w:start w:val="1"/>
    </w:lvl>
  </w:abstractNum>
  <w:abstractNum w:abstractNumId="93">
    <w:nsid w:val="BAAC1B4"/>
    <w:multiLevelType w:val="hybridMultilevel"/>
    <w:lvl w:ilvl="0">
      <w:lvlJc w:val="left"/>
      <w:lvlText w:val="%1"/>
      <w:numFmt w:val="lowerLetter"/>
      <w:start w:val="1"/>
    </w:lvl>
    <w:lvl w:ilvl="1">
      <w:lvlJc w:val="left"/>
      <w:lvlText w:val="(%2)"/>
      <w:numFmt w:val="lowerLetter"/>
      <w:start w:val="7"/>
    </w:lvl>
  </w:abstractNum>
  <w:abstractNum w:abstractNumId="94">
    <w:nsid w:val="36B2ACBC"/>
    <w:multiLevelType w:val="hybridMultilevel"/>
    <w:lvl w:ilvl="0">
      <w:lvlJc w:val="left"/>
      <w:lvlText w:val="(%1)"/>
      <w:numFmt w:val="lowerLetter"/>
      <w:start w:val="2"/>
    </w:lvl>
    <w:lvl w:ilvl="1">
      <w:lvlJc w:val="left"/>
      <w:lvlText w:val="%2"/>
      <w:numFmt w:val="lowerLetter"/>
      <w:start w:val="1"/>
    </w:lvl>
  </w:abstractNum>
  <w:abstractNum w:abstractNumId="95">
    <w:nsid w:val="779D8544"/>
    <w:multiLevelType w:val="hybridMultilevel"/>
    <w:lvl w:ilvl="0">
      <w:lvlJc w:val="left"/>
      <w:lvlText w:val="(%1)"/>
      <w:numFmt w:val="lowerLetter"/>
      <w:start w:val="1"/>
    </w:lvl>
    <w:lvl w:ilvl="1">
      <w:lvlJc w:val="left"/>
      <w:lvlText w:val="(%2)"/>
      <w:numFmt w:val="lowerRoman"/>
      <w:start w:val="1"/>
    </w:lvl>
  </w:abstractNum>
  <w:abstractNum w:abstractNumId="96">
    <w:nsid w:val="4AB26E78"/>
    <w:multiLevelType w:val="hybridMultilevel"/>
    <w:lvl w:ilvl="0">
      <w:lvlJc w:val="left"/>
      <w:lvlText w:val="%1"/>
      <w:numFmt w:val="lowerLetter"/>
      <w:start w:val="1"/>
    </w:lvl>
    <w:lvl w:ilvl="1">
      <w:lvlJc w:val="left"/>
      <w:lvlText w:val="(%2)"/>
      <w:numFmt w:val="lowerRoman"/>
      <w:start w:val="3"/>
    </w:lvl>
  </w:abstractNum>
  <w:abstractNum w:abstractNumId="97">
    <w:nsid w:val="21FAA2FA"/>
    <w:multiLevelType w:val="hybridMultilevel"/>
    <w:lvl w:ilvl="0">
      <w:lvlJc w:val="left"/>
      <w:lvlText w:val="(%1)"/>
      <w:numFmt w:val="lowerLetter"/>
      <w:start w:val="3"/>
    </w:lvl>
    <w:lvl w:ilvl="1">
      <w:lvlJc w:val="left"/>
      <w:lvlText w:val="%2"/>
      <w:numFmt w:val="lowerRoman"/>
      <w:start w:val="1"/>
    </w:lvl>
  </w:abstractNum>
  <w:abstractNum w:abstractNumId="98">
    <w:nsid w:val="5451CF49"/>
    <w:multiLevelType w:val="hybridMultilevel"/>
    <w:lvl w:ilvl="0">
      <w:lvlJc w:val="left"/>
      <w:lvlText w:val="(%1)"/>
      <w:numFmt w:val="lowerLetter"/>
      <w:start w:val="4"/>
    </w:lvl>
  </w:abstractNum>
  <w:abstractNum w:abstractNumId="99">
    <w:nsid w:val="6181EF69"/>
    <w:multiLevelType w:val="hybridMultilevel"/>
    <w:lvl w:ilvl="0">
      <w:lvlJc w:val="left"/>
      <w:lvlText w:val="(%1)"/>
      <w:numFmt w:val="lowerLetter"/>
      <w:start w:val="1"/>
    </w:lvl>
  </w:abstractNum>
  <w:abstractNum w:abstractNumId="100">
    <w:nsid w:val="3E6400E6"/>
    <w:multiLevelType w:val="hybridMultilevel"/>
    <w:lvl w:ilvl="0">
      <w:lvlJc w:val="left"/>
      <w:lvlText w:val="(%1)"/>
      <w:numFmt w:val="lowerLetter"/>
      <w:start w:val="2"/>
    </w:lvl>
  </w:abstractNum>
  <w:abstractNum w:abstractNumId="101">
    <w:nsid w:val="14217E23"/>
    <w:multiLevelType w:val="hybridMultilevel"/>
    <w:lvl w:ilvl="0">
      <w:lvlJc w:val="left"/>
      <w:lvlText w:val="(%1)"/>
      <w:numFmt w:val="lowerLetter"/>
      <w:start w:val="1"/>
    </w:lvl>
    <w:lvl w:ilvl="1">
      <w:lvlJc w:val="left"/>
      <w:lvlText w:val="(%2)"/>
      <w:numFmt w:val="lowerRoman"/>
      <w:start w:val="1"/>
    </w:lvl>
  </w:abstractNum>
  <w:abstractNum w:abstractNumId="102">
    <w:nsid w:val="710757D0"/>
    <w:multiLevelType w:val="hybridMultilevel"/>
    <w:lvl w:ilvl="0">
      <w:lvlJc w:val="left"/>
      <w:lvlText w:val="(%1)"/>
      <w:numFmt w:val="lowerLetter"/>
      <w:start w:val="1"/>
    </w:lvl>
    <w:lvl w:ilvl="1">
      <w:lvlJc w:val="left"/>
      <w:lvlText w:val="(%2)"/>
      <w:numFmt w:val="decimal"/>
      <w:start w:val="1"/>
    </w:lvl>
  </w:abstractNum>
  <w:abstractNum w:abstractNumId="103">
    <w:nsid w:val="5015CD1A"/>
    <w:multiLevelType w:val="hybridMultilevel"/>
    <w:lvl w:ilvl="0">
      <w:lvlJc w:val="left"/>
      <w:lvlText w:val="(%1)"/>
      <w:numFmt w:val="lowerLetter"/>
      <w:start w:val="1"/>
    </w:lvl>
  </w:abstractNum>
  <w:abstractNum w:abstractNumId="104">
    <w:nsid w:val="424479DA"/>
    <w:multiLevelType w:val="hybridMultilevel"/>
    <w:lvl w:ilvl="0">
      <w:lvlJc w:val="left"/>
      <w:lvlText w:val="(%1)"/>
      <w:numFmt w:val="lowerLetter"/>
      <w:start w:val="2"/>
    </w:lvl>
    <w:lvl w:ilvl="1">
      <w:lvlJc w:val="left"/>
      <w:lvlText w:val="(%2)"/>
      <w:numFmt w:val="lowerRoman"/>
      <w:start w:val="1"/>
    </w:lvl>
  </w:abstractNum>
  <w:abstractNum w:abstractNumId="105">
    <w:nsid w:val="1A9A9E69"/>
    <w:multiLevelType w:val="hybridMultilevel"/>
    <w:lvl w:ilvl="0">
      <w:lvlJc w:val="left"/>
      <w:lvlText w:val="(%1)"/>
      <w:numFmt w:val="lowerLetter"/>
      <w:start w:val="6"/>
    </w:lvl>
  </w:abstractNum>
  <w:abstractNum w:abstractNumId="106">
    <w:nsid w:val="475E256A"/>
    <w:multiLevelType w:val="hybridMultilevel"/>
    <w:lvl w:ilvl="0">
      <w:lvlJc w:val="left"/>
      <w:lvlText w:val="(%1)"/>
      <w:numFmt w:val="lowerLetter"/>
      <w:start w:val="1"/>
    </w:lvl>
    <w:lvl w:ilvl="1">
      <w:lvlJc w:val="left"/>
      <w:lvlText w:val="(%2)"/>
      <w:numFmt w:val="lowerRoman"/>
      <w:start w:val="1"/>
    </w:lvl>
  </w:abstractNum>
  <w:abstractNum w:abstractNumId="107">
    <w:nsid w:val="368DB37E"/>
    <w:multiLevelType w:val="hybridMultilevel"/>
    <w:lvl w:ilvl="0">
      <w:lvlJc w:val="left"/>
      <w:lvlText w:val="(%1)"/>
      <w:numFmt w:val="lowerLetter"/>
      <w:start w:val="2"/>
    </w:lvl>
  </w:abstractNum>
  <w:abstractNum w:abstractNumId="108">
    <w:nsid w:val="6A3B714C"/>
    <w:multiLevelType w:val="hybridMultilevel"/>
    <w:lvl w:ilvl="0">
      <w:lvlJc w:val="left"/>
      <w:lvlText w:val="(%1)"/>
      <w:numFmt w:val="lowerRoman"/>
      <w:start w:val="1"/>
    </w:lvl>
  </w:abstractNum>
  <w:abstractNum w:abstractNumId="109">
    <w:nsid w:val="327B517E"/>
    <w:multiLevelType w:val="hybridMultilevel"/>
    <w:lvl w:ilvl="0">
      <w:lvlJc w:val="left"/>
      <w:lvlText w:val="(%1)"/>
      <w:numFmt w:val="lowerRoman"/>
      <w:start w:val="1"/>
    </w:lvl>
  </w:abstractNum>
  <w:abstractNum w:abstractNumId="110">
    <w:nsid w:val="1F461B51"/>
    <w:multiLevelType w:val="hybridMultilevel"/>
    <w:lvl w:ilvl="0">
      <w:lvlJc w:val="left"/>
      <w:lvlText w:val="%1"/>
      <w:numFmt w:val="lowerLetter"/>
      <w:start w:val="1"/>
    </w:lvl>
    <w:lvl w:ilvl="1">
      <w:lvlJc w:val="left"/>
      <w:lvlText w:val="(%2)"/>
      <w:numFmt w:val="lowerLetter"/>
      <w:start w:val="1"/>
    </w:lvl>
  </w:abstractNum>
  <w:abstractNum w:abstractNumId="111">
    <w:nsid w:val="29BACF25"/>
    <w:multiLevelType w:val="hybridMultilevel"/>
    <w:lvl w:ilvl="0">
      <w:lvlJc w:val="left"/>
      <w:lvlText w:val="(%1)"/>
      <w:numFmt w:val="lowerLetter"/>
      <w:start w:val="25"/>
    </w:lvl>
    <w:lvl w:ilvl="1">
      <w:lvlJc w:val="left"/>
      <w:lvlText w:val="(%2)"/>
      <w:numFmt w:val="lowerLetter"/>
      <w:start w:val="2"/>
    </w:lvl>
  </w:abstractNum>
  <w:abstractNum w:abstractNumId="112">
    <w:nsid w:val="5D5BABB3"/>
    <w:multiLevelType w:val="hybridMultilevel"/>
    <w:lvl w:ilvl="0">
      <w:lvlJc w:val="left"/>
      <w:lvlText w:val="(%1)"/>
      <w:numFmt w:val="lowerLetter"/>
      <w:start w:val="1"/>
    </w:lvl>
  </w:abstractNum>
  <w:abstractNum w:abstractNumId="113">
    <w:nsid w:val="51BF6B48"/>
    <w:multiLevelType w:val="hybridMultilevel"/>
    <w:lvl w:ilvl="0">
      <w:lvlJc w:val="left"/>
      <w:lvlText w:val="(%1)"/>
      <w:numFmt w:val="lowerRoman"/>
      <w:start w:val="2"/>
    </w:lvl>
  </w:abstractNum>
  <w:abstractNum w:abstractNumId="114">
    <w:nsid w:val="7E0F6384"/>
    <w:multiLevelType w:val="hybridMultilevel"/>
    <w:lvl w:ilvl="0">
      <w:lvlJc w:val="left"/>
      <w:lvlText w:val="(%1)"/>
      <w:numFmt w:val="lowerRoman"/>
      <w:start w:val="2"/>
    </w:lvl>
  </w:abstractNum>
  <w:abstractNum w:abstractNumId="115">
    <w:nsid w:val="2B4B8B53"/>
    <w:multiLevelType w:val="hybridMultilevel"/>
    <w:lvl w:ilvl="0">
      <w:lvlJc w:val="left"/>
      <w:lvlText w:val="(%1)"/>
      <w:numFmt w:val="lowerRoman"/>
      <w:start w:val="6"/>
    </w:lvl>
  </w:abstractNum>
  <w:abstractNum w:abstractNumId="116">
    <w:nsid w:val="72E3413A"/>
    <w:multiLevelType w:val="hybridMultilevel"/>
    <w:lvl w:ilvl="0">
      <w:lvlJc w:val="left"/>
      <w:lvlText w:val="%1"/>
      <w:numFmt w:val="lowerLetter"/>
      <w:start w:val="1"/>
    </w:lvl>
    <w:lvl w:ilvl="1">
      <w:lvlJc w:val="left"/>
      <w:lvlText w:val="(%2)"/>
      <w:numFmt w:val="lowerLetter"/>
      <w:start w:val="1"/>
    </w:lvl>
  </w:abstractNum>
  <w:abstractNum w:abstractNumId="117">
    <w:nsid w:val="116AE494"/>
    <w:multiLevelType w:val="hybridMultilevel"/>
    <w:lvl w:ilvl="0">
      <w:lvlJc w:val="left"/>
      <w:lvlText w:val="(%1)"/>
      <w:numFmt w:val="lowerLetter"/>
      <w:start w:val="35"/>
    </w:lvl>
    <w:lvl w:ilvl="1">
      <w:lvlJc w:val="left"/>
      <w:lvlText w:val="(%2)"/>
      <w:numFmt w:val="lowerLetter"/>
      <w:start w:val="2"/>
    </w:lvl>
  </w:abstractNum>
  <w:abstractNum w:abstractNumId="118">
    <w:nsid w:val="3494B2FB"/>
    <w:multiLevelType w:val="hybridMultilevel"/>
    <w:lvl w:ilvl="0">
      <w:lvlJc w:val="left"/>
      <w:lvlText w:val="(%1)"/>
      <w:numFmt w:val="lowerLetter"/>
      <w:start w:val="1"/>
    </w:lvl>
  </w:abstractNum>
  <w:abstractNum w:abstractNumId="119">
    <w:nsid w:val="B13A31"/>
    <w:multiLevelType w:val="hybridMultilevel"/>
    <w:lvl w:ilvl="0">
      <w:lvlJc w:val="left"/>
      <w:lvlText w:val="(%1)"/>
      <w:numFmt w:val="lowerLetter"/>
      <w:start w:val="4"/>
    </w:lvl>
  </w:abstractNum>
  <w:abstractNum w:abstractNumId="120">
    <w:nsid w:val="64429599"/>
    <w:multiLevelType w:val="hybridMultilevel"/>
    <w:lvl w:ilvl="0">
      <w:lvlJc w:val="left"/>
      <w:lvlText w:val="%1"/>
      <w:numFmt w:val="lowerLetter"/>
      <w:start w:val="1"/>
    </w:lvl>
    <w:lvl w:ilvl="1">
      <w:lvlJc w:val="left"/>
      <w:lvlText w:val="(%2)"/>
      <w:numFmt w:val="lowerLetter"/>
      <w:start w:val="1"/>
    </w:lvl>
  </w:abstractNum>
  <w:abstractNum w:abstractNumId="121">
    <w:nsid w:val="631F1690"/>
    <w:multiLevelType w:val="hybridMultilevel"/>
    <w:lvl w:ilvl="0">
      <w:lvlJc w:val="left"/>
      <w:lvlText w:val="(%1)"/>
      <w:numFmt w:val="lowerLetter"/>
      <w:start w:val="61"/>
    </w:lvl>
    <w:lvl w:ilvl="1">
      <w:lvlJc w:val="left"/>
      <w:lvlText w:val="(%2)"/>
      <w:numFmt w:val="lowerLetter"/>
      <w:start w:val="3"/>
    </w:lvl>
  </w:abstractNum>
  <w:abstractNum w:abstractNumId="122">
    <w:nsid w:val="25973E32"/>
    <w:multiLevelType w:val="hybridMultilevel"/>
    <w:lvl w:ilvl="0">
      <w:lvlJc w:val="left"/>
      <w:lvlText w:val="(%1)"/>
      <w:numFmt w:val="lowerLetter"/>
      <w:start w:val="1"/>
    </w:lvl>
  </w:abstractNum>
  <w:abstractNum w:abstractNumId="123">
    <w:nsid w:val="EAD6F57"/>
    <w:multiLevelType w:val="hybridMultilevel"/>
    <w:lvl w:ilvl="0">
      <w:lvlJc w:val="left"/>
      <w:lvlText w:val="(%1)"/>
      <w:numFmt w:val="decimal"/>
      <w:start w:val="2"/>
    </w:lvl>
  </w:abstractNum>
  <w:abstractNum w:abstractNumId="124">
    <w:nsid w:val="6EC9D844"/>
    <w:multiLevelType w:val="hybridMultilevel"/>
    <w:lvl w:ilvl="0">
      <w:lvlJc w:val="left"/>
      <w:lvlText w:val="(%1)"/>
      <w:numFmt w:val="decimal"/>
      <w:start w:val="2"/>
    </w:lvl>
  </w:abstractNum>
  <w:abstractNum w:abstractNumId="125">
    <w:nsid w:val="5C49EAEE"/>
    <w:multiLevelType w:val="hybridMultilevel"/>
    <w:lvl w:ilvl="0">
      <w:lvlJc w:val="left"/>
      <w:lvlText w:val="(%1)"/>
      <w:numFmt w:val="lowerLetter"/>
      <w:start w:val="1"/>
    </w:lvl>
  </w:abstractNum>
  <w:abstractNum w:abstractNumId="126">
    <w:nsid w:val="64AF49B"/>
    <w:multiLevelType w:val="hybridMultilevel"/>
    <w:lvl w:ilvl="0">
      <w:lvlJc w:val="left"/>
      <w:lvlText w:val="(%1)"/>
      <w:numFmt w:val="lowerLetter"/>
      <w:start w:val="1"/>
    </w:lvl>
  </w:abstractNum>
  <w:abstractNum w:abstractNumId="127">
    <w:nsid w:val="397C46BC"/>
    <w:multiLevelType w:val="hybridMultilevel"/>
    <w:lvl w:ilvl="0">
      <w:lvlJc w:val="left"/>
      <w:lvlText w:val="(%1)"/>
      <w:numFmt w:val="lowerLetter"/>
      <w:start w:val="1"/>
    </w:lvl>
  </w:abstractNum>
  <w:abstractNum w:abstractNumId="128">
    <w:nsid w:val="7E448DE9"/>
    <w:multiLevelType w:val="hybridMultilevel"/>
    <w:lvl w:ilvl="0">
      <w:lvlJc w:val="left"/>
      <w:lvlText w:val="(%1)"/>
      <w:numFmt w:val="lowerLetter"/>
      <w:start w:val="2"/>
    </w:lvl>
  </w:abstractNum>
  <w:abstractNum w:abstractNumId="129">
    <w:nsid w:val="5A9CC3E5"/>
    <w:multiLevelType w:val="hybridMultilevel"/>
    <w:lvl w:ilvl="0">
      <w:lvlJc w:val="left"/>
      <w:lvlText w:val="(%1)"/>
      <w:numFmt w:val="lowerLetter"/>
      <w:start w:val="1"/>
    </w:lvl>
  </w:abstractNum>
  <w:abstractNum w:abstractNumId="130">
    <w:nsid w:val="1AFE3625"/>
    <w:multiLevelType w:val="hybridMultilevel"/>
    <w:lvl w:ilvl="0">
      <w:lvlJc w:val="left"/>
      <w:lvlText w:val="(%1)"/>
      <w:numFmt w:val="lowerLetter"/>
      <w:start w:val="10"/>
    </w:lvl>
  </w:abstractNum>
  <w:abstractNum w:abstractNumId="131">
    <w:nsid w:val="3CA88ECF"/>
    <w:multiLevelType w:val="hybridMultilevel"/>
    <w:lvl w:ilvl="0">
      <w:lvlJc w:val="left"/>
      <w:lvlText w:val="(%1)"/>
      <w:numFmt w:val="lowerLetter"/>
      <w:start w:val="2"/>
    </w:lvl>
  </w:abstractNum>
  <w:abstractNum w:abstractNumId="132">
    <w:nsid w:val="6EBE4208"/>
    <w:multiLevelType w:val="hybridMultilevel"/>
    <w:lvl w:ilvl="0">
      <w:lvlJc w:val="left"/>
      <w:lvlText w:val="(%1)"/>
      <w:numFmt w:val="lowerRoman"/>
      <w:start w:val="2"/>
    </w:lvl>
  </w:abstractNum>
  <w:abstractNum w:abstractNumId="133">
    <w:nsid w:val="C058DF5"/>
    <w:multiLevelType w:val="hybridMultilevel"/>
    <w:lvl w:ilvl="0">
      <w:lvlJc w:val="left"/>
      <w:lvlText w:val="(%1)"/>
      <w:numFmt w:val="lowerLetter"/>
      <w:start w:val="1"/>
    </w:lvl>
  </w:abstractNum>
  <w:abstractNum w:abstractNumId="134">
    <w:nsid w:val="CBE5BE9"/>
    <w:multiLevelType w:val="hybridMultilevel"/>
    <w:lvl w:ilvl="0">
      <w:lvlJc w:val="left"/>
      <w:lvlText w:val="(%1)"/>
      <w:numFmt w:val="lowerLetter"/>
      <w:start w:val="10"/>
    </w:lvl>
  </w:abstractNum>
  <w:abstractNum w:abstractNumId="135">
    <w:nsid w:val="3102BBE2"/>
    <w:multiLevelType w:val="hybridMultilevel"/>
    <w:lvl w:ilvl="0">
      <w:lvlJc w:val="left"/>
      <w:lvlText w:val="(%1)"/>
      <w:numFmt w:val="lowerRoman"/>
      <w:start w:val="3"/>
    </w:lvl>
  </w:abstractNum>
  <w:abstractNum w:abstractNumId="136">
    <w:nsid w:val="26A02C5E"/>
    <w:multiLevelType w:val="hybridMultilevel"/>
    <w:lvl w:ilvl="0">
      <w:lvlJc w:val="left"/>
      <w:lvlText w:val="(%1)"/>
      <w:numFmt w:val="lowerRoman"/>
      <w:start w:val="1"/>
    </w:lvl>
  </w:abstractNum>
  <w:abstractNum w:abstractNumId="137">
    <w:nsid w:val="541C8153"/>
    <w:multiLevelType w:val="hybridMultilevel"/>
    <w:lvl w:ilvl="0">
      <w:lvlJc w:val="left"/>
      <w:lvlText w:val="(%1)"/>
      <w:numFmt w:val="lowerRoman"/>
      <w:start w:val="3"/>
    </w:lvl>
  </w:abstractNum>
  <w:abstractNum w:abstractNumId="138">
    <w:nsid w:val="67906F60"/>
    <w:multiLevelType w:val="hybridMultilevel"/>
    <w:lvl w:ilvl="0">
      <w:lvlJc w:val="left"/>
      <w:lvlText w:val="(%1)"/>
      <w:numFmt w:val="lowerLetter"/>
      <w:start w:val="1"/>
    </w:lvl>
  </w:abstractNum>
  <w:abstractNum w:abstractNumId="139">
    <w:nsid w:val="10DB9DAA"/>
    <w:multiLevelType w:val="hybridMultilevel"/>
    <w:lvl w:ilvl="0">
      <w:lvlJc w:val="left"/>
      <w:lvlText w:val="(%1)"/>
      <w:numFmt w:val="lowerLetter"/>
      <w:start w:val="1"/>
    </w:lvl>
  </w:abstractNum>
  <w:abstractNum w:abstractNumId="140">
    <w:nsid w:val="697D2D2"/>
    <w:multiLevelType w:val="hybridMultilevel"/>
    <w:lvl w:ilvl="0">
      <w:lvlJc w:val="left"/>
      <w:lvlText w:val="(%1)"/>
      <w:numFmt w:val="lowerLetter"/>
      <w:start w:val="1"/>
    </w:lvl>
  </w:abstractNum>
  <w:abstractNum w:abstractNumId="141">
    <w:nsid w:val="6D68AB2"/>
    <w:multiLevelType w:val="hybridMultilevel"/>
    <w:lvl w:ilvl="0">
      <w:lvlJc w:val="left"/>
      <w:lvlText w:val="(%1)"/>
      <w:numFmt w:val="lowerLetter"/>
      <w:start w:val="2"/>
    </w:lvl>
  </w:abstractNum>
  <w:abstractNum w:abstractNumId="142">
    <w:nsid w:val="3A966CD0"/>
    <w:multiLevelType w:val="hybridMultilevel"/>
    <w:lvl w:ilvl="0">
      <w:lvlJc w:val="left"/>
      <w:lvlText w:val="(%1)"/>
      <w:numFmt w:val="lowerLetter"/>
      <w:start w:val="1"/>
    </w:lvl>
  </w:abstractNum>
  <w:abstractNum w:abstractNumId="143">
    <w:nsid w:val="63F37E85"/>
    <w:multiLevelType w:val="hybridMultilevel"/>
    <w:lvl w:ilvl="0">
      <w:lvlJc w:val="left"/>
      <w:lvlText w:val="(%1)"/>
      <w:numFmt w:val="lowerRoman"/>
      <w:start w:val="2"/>
    </w:lvl>
  </w:abstractNum>
  <w:abstractNum w:abstractNumId="144">
    <w:nsid w:val="5895F5FA"/>
    <w:multiLevelType w:val="hybridMultilevel"/>
    <w:lvl w:ilvl="0">
      <w:lvlJc w:val="left"/>
      <w:lvlText w:val="(%1)"/>
      <w:numFmt w:val="lowerLetter"/>
      <w:start w:val="1"/>
    </w:lvl>
  </w:abstractNum>
  <w:abstractNum w:abstractNumId="145">
    <w:nsid w:val="38A5D054"/>
    <w:multiLevelType w:val="hybridMultilevel"/>
    <w:lvl w:ilvl="0">
      <w:lvlJc w:val="left"/>
      <w:lvlText w:val="(%1)"/>
      <w:numFmt w:val="decimal"/>
      <w:start w:val="1"/>
    </w:lvl>
    <w:lvl w:ilvl="1">
      <w:lvlJc w:val="left"/>
      <w:lvlText w:val="(%2)"/>
      <w:numFmt w:val="lowerLetter"/>
      <w:start w:val="2"/>
    </w:lvl>
  </w:abstractNum>
  <w:abstractNum w:abstractNumId="146">
    <w:nsid w:val="F3F09D8"/>
    <w:multiLevelType w:val="hybridMultilevel"/>
    <w:lvl w:ilvl="0">
      <w:lvlJc w:val="left"/>
      <w:lvlText w:val="(%1)"/>
      <w:numFmt w:val="lowerLetter"/>
      <w:start w:val="3"/>
    </w:lvl>
  </w:abstractNum>
  <w:abstractNum w:abstractNumId="147">
    <w:nsid w:val="4B793735"/>
    <w:multiLevelType w:val="hybridMultilevel"/>
    <w:lvl w:ilvl="0">
      <w:lvlJc w:val="left"/>
      <w:lvlText w:val="(%1)"/>
      <w:numFmt w:val="lowerLetter"/>
      <w:start w:val="1"/>
    </w:lvl>
  </w:abstractNum>
  <w:abstractNum w:abstractNumId="148">
    <w:nsid w:val="4A10B4E8"/>
    <w:multiLevelType w:val="hybridMultilevel"/>
    <w:lvl w:ilvl="0">
      <w:lvlJc w:val="left"/>
      <w:lvlText w:val="(%1)"/>
      <w:numFmt w:val="lowerLetter"/>
      <w:start w:val="2"/>
    </w:lvl>
  </w:abstractNum>
  <w:abstractNum w:abstractNumId="149">
    <w:nsid w:val="43D3BCD4"/>
    <w:multiLevelType w:val="hybridMultilevel"/>
    <w:lvl w:ilvl="0">
      <w:lvlJc w:val="left"/>
      <w:lvlText w:val="(%1)"/>
      <w:numFmt w:val="lowerLetter"/>
      <w:start w:val="1"/>
    </w:lvl>
  </w:abstractNum>
  <w:abstractNum w:abstractNumId="150">
    <w:nsid w:val="4C2A7166"/>
    <w:multiLevelType w:val="hybridMultilevel"/>
    <w:lvl w:ilvl="0">
      <w:lvlJc w:val="left"/>
      <w:lvlText w:val="(%1)"/>
      <w:numFmt w:val="lowerRoman"/>
      <w:start w:val="1"/>
    </w:lvl>
  </w:abstractNum>
  <w:abstractNum w:abstractNumId="151">
    <w:nsid w:val="2E534A82"/>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152">
    <w:nsid w:val="26F2D364"/>
    <w:multiLevelType w:val="hybridMultilevel"/>
    <w:lvl w:ilvl="0">
      <w:lvlJc w:val="left"/>
      <w:lvlText w:val="(%1)"/>
      <w:numFmt w:val="lowerLetter"/>
      <w:start w:val="8"/>
    </w:lvl>
    <w:lvl w:ilvl="1">
      <w:lvlJc w:val="left"/>
      <w:lvlText w:val="%2"/>
      <w:numFmt w:val="lowerRoman"/>
      <w:start w:val="1"/>
    </w:lvl>
    <w:lvl w:ilvl="2">
      <w:lvlJc w:val="left"/>
      <w:lvlText w:val="%3"/>
      <w:numFmt w:val="decimal"/>
      <w:start w:val="1"/>
    </w:lvl>
  </w:abstractNum>
  <w:abstractNum w:abstractNumId="153">
    <w:nsid w:val="71C1AF98"/>
    <w:multiLevelType w:val="hybridMultilevel"/>
    <w:lvl w:ilvl="0">
      <w:lvlJc w:val="left"/>
      <w:lvlText w:val="%1"/>
      <w:numFmt w:val="upperLetter"/>
      <w:start w:val="1"/>
    </w:lvl>
    <w:lvl w:ilvl="1">
      <w:lvlJc w:val="left"/>
      <w:lvlText w:val="(%2)"/>
      <w:numFmt w:val="lowerRoman"/>
      <w:start w:val="6"/>
    </w:lvl>
  </w:abstractNum>
  <w:abstractNum w:abstractNumId="154">
    <w:nsid w:val="3D00B9D9"/>
    <w:multiLevelType w:val="hybridMultilevel"/>
    <w:lvl w:ilvl="0">
      <w:lvlJc w:val="left"/>
      <w:lvlText w:val="(%1)"/>
      <w:numFmt w:val="upperLetter"/>
      <w:start w:val="1"/>
    </w:lvl>
    <w:lvl w:ilvl="1">
      <w:lvlJc w:val="left"/>
      <w:lvlText w:val="(%2)"/>
      <w:numFmt w:val="lowerRoman"/>
      <w:start w:val="8"/>
    </w:lvl>
  </w:abstractNum>
  <w:abstractNum w:abstractNumId="155">
    <w:nsid w:val="15BCABA8"/>
    <w:multiLevelType w:val="hybridMultilevel"/>
    <w:lvl w:ilvl="0">
      <w:lvlJc w:val="left"/>
      <w:lvlText w:val="(%1)"/>
      <w:numFmt w:val="lowerRoman"/>
      <w:start w:val="10"/>
    </w:lvl>
  </w:abstractNum>
  <w:abstractNum w:abstractNumId="156">
    <w:nsid w:val="4E0B9A87"/>
    <w:multiLevelType w:val="hybridMultilevel"/>
    <w:lvl w:ilvl="0">
      <w:lvlJc w:val="left"/>
      <w:lvlText w:val="(%1)"/>
      <w:numFmt w:val="lowerRoman"/>
      <w:start w:val="13"/>
    </w:lvl>
  </w:abstractNum>
  <w:abstractNum w:abstractNumId="157">
    <w:nsid w:val="434BAE75"/>
    <w:multiLevelType w:val="hybridMultilevel"/>
    <w:lvl w:ilvl="0">
      <w:lvlJc w:val="left"/>
      <w:lvlText w:val="(%1)"/>
      <w:numFmt w:val="lowerLetter"/>
      <w:start w:val="2"/>
    </w:lvl>
  </w:abstractNum>
  <w:abstractNum w:abstractNumId="158">
    <w:nsid w:val="4F38F265"/>
    <w:multiLevelType w:val="hybridMultilevel"/>
    <w:lvl w:ilvl="0">
      <w:lvlJc w:val="left"/>
      <w:lvlText w:val="(%1)"/>
      <w:numFmt w:val="lowerRoman"/>
      <w:start w:val="1"/>
    </w:lvl>
  </w:abstractNum>
  <w:abstractNum w:abstractNumId="159">
    <w:nsid w:val="4C502870"/>
    <w:multiLevelType w:val="hybridMultilevel"/>
    <w:lvl w:ilvl="0">
      <w:lvlJc w:val="left"/>
      <w:lvlText w:val="(%1)"/>
      <w:numFmt w:val="lowerLetter"/>
      <w:start w:val="3"/>
    </w:lvl>
    <w:lvl w:ilvl="1">
      <w:lvlJc w:val="left"/>
      <w:lvlText w:val="(%2)"/>
      <w:numFmt w:val="upperLetter"/>
      <w:start w:val="1"/>
    </w:lvl>
  </w:abstractNum>
  <w:abstractNum w:abstractNumId="160">
    <w:nsid w:val="1DE8725A"/>
    <w:multiLevelType w:val="hybridMultilevel"/>
    <w:lvl w:ilvl="0">
      <w:lvlJc w:val="left"/>
      <w:lvlText w:val="(%1)"/>
      <w:numFmt w:val="lowerLetter"/>
      <w:start w:val="4"/>
    </w:lvl>
  </w:abstractNum>
  <w:abstractNum w:abstractNumId="161">
    <w:nsid w:val="6A37288A"/>
    <w:multiLevelType w:val="hybridMultilevel"/>
    <w:lvl w:ilvl="0">
      <w:lvlJc w:val="left"/>
      <w:lvlText w:val="%1"/>
      <w:numFmt w:val="lowerLetter"/>
      <w:start w:val="1"/>
    </w:lvl>
    <w:lvl w:ilvl="1">
      <w:lvlJc w:val="left"/>
      <w:lvlText w:val="(%2)"/>
      <w:numFmt w:val="lowerLetter"/>
      <w:start w:val="5"/>
    </w:lvl>
  </w:abstractNum>
  <w:abstractNum w:abstractNumId="162">
    <w:nsid w:val="8F8B73F"/>
    <w:multiLevelType w:val="hybridMultilevel"/>
    <w:lvl w:ilvl="0">
      <w:lvlJc w:val="left"/>
      <w:lvlText w:val="(%1)"/>
      <w:numFmt w:val="lowerLetter"/>
      <w:start w:val="35"/>
    </w:lvl>
    <w:lvl w:ilvl="1">
      <w:lvlJc w:val="left"/>
      <w:lvlText w:val="(%2)"/>
      <w:numFmt w:val="lowerLetter"/>
      <w:start w:val="6"/>
    </w:lvl>
  </w:abstractNum>
  <w:abstractNum w:abstractNumId="163">
    <w:nsid w:val="CA6B462"/>
    <w:multiLevelType w:val="hybridMultilevel"/>
    <w:lvl w:ilvl="0">
      <w:lvlJc w:val="left"/>
      <w:lvlText w:val="(%1)"/>
      <w:numFmt w:val="lowerLetter"/>
      <w:start w:val="7"/>
    </w:lvl>
  </w:abstractNum>
  <w:abstractNum w:abstractNumId="164">
    <w:nsid w:val="763CB680"/>
    <w:multiLevelType w:val="hybridMultilevel"/>
    <w:lvl w:ilvl="0">
      <w:lvlJc w:val="left"/>
      <w:lvlText w:val="(%1)"/>
      <w:numFmt w:val="lowerLetter"/>
      <w:start w:val="1"/>
    </w:lvl>
  </w:abstractNum>
  <w:abstractNum w:abstractNumId="165">
    <w:nsid w:val="15B71329"/>
    <w:multiLevelType w:val="hybridMultilevel"/>
    <w:lvl w:ilvl="0">
      <w:lvlJc w:val="left"/>
      <w:lvlText w:val="%1"/>
      <w:numFmt w:val="lowerLetter"/>
      <w:start w:val="1"/>
    </w:lvl>
    <w:lvl w:ilvl="1">
      <w:lvlJc w:val="left"/>
      <w:lvlText w:val="(%2)"/>
      <w:numFmt w:val="lowerLetter"/>
      <w:start w:val="1"/>
    </w:lvl>
  </w:abstractNum>
  <w:abstractNum w:abstractNumId="166">
    <w:nsid w:val="3DA97044"/>
    <w:multiLevelType w:val="hybridMultilevel"/>
    <w:lvl w:ilvl="0">
      <w:lvlJc w:val="left"/>
      <w:lvlText w:val="(%1)"/>
      <w:numFmt w:val="lowerLetter"/>
      <w:start w:val="9"/>
    </w:lvl>
    <w:lvl w:ilvl="1">
      <w:lvlJc w:val="left"/>
      <w:lvlText w:val="(%2)"/>
      <w:numFmt w:val="lowerLetter"/>
      <w:start w:val="4"/>
    </w:lvl>
  </w:abstractNum>
  <w:abstractNum w:abstractNumId="167">
    <w:nsid w:val="1CDCE2DE"/>
    <w:multiLevelType w:val="hybridMultilevel"/>
    <w:lvl w:ilvl="0">
      <w:lvlJc w:val="left"/>
      <w:lvlText w:val="(%1)"/>
      <w:numFmt w:val="lowerLetter"/>
      <w:start w:val="1"/>
    </w:lvl>
  </w:abstractNum>
  <w:abstractNum w:abstractNumId="168">
    <w:nsid w:val="69D3947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69">
    <w:nsid w:val="2539DFA5"/>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70">
    <w:nsid w:val="2DB88089"/>
    <w:multiLevelType w:val="hybridMultilevel"/>
    <w:lvl w:ilvl="0">
      <w:lvlJc w:val="left"/>
      <w:lvlText w:val="(%1)"/>
      <w:numFmt w:val="lowerLetter"/>
      <w:start w:val="1"/>
    </w:lvl>
  </w:abstractNum>
  <w:abstractNum w:abstractNumId="171">
    <w:nsid w:val="706B674E"/>
    <w:multiLevelType w:val="hybridMultilevel"/>
    <w:lvl w:ilvl="0">
      <w:lvlJc w:val="left"/>
      <w:lvlText w:val="(%1)"/>
      <w:numFmt w:val="lowerLetter"/>
      <w:start w:val="2"/>
    </w:lvl>
  </w:abstractNum>
  <w:abstractNum w:abstractNumId="172">
    <w:nsid w:val="2C106A57"/>
    <w:multiLevelType w:val="hybridMultilevel"/>
    <w:lvl w:ilvl="0">
      <w:lvlJc w:val="left"/>
      <w:lvlText w:val="(%1)"/>
      <w:numFmt w:val="lowerLetter"/>
      <w:start w:val="1"/>
    </w:lvl>
  </w:abstractNum>
  <w:abstractNum w:abstractNumId="173">
    <w:nsid w:val="684EED59"/>
    <w:multiLevelType w:val="hybridMultilevel"/>
    <w:lvl w:ilvl="0">
      <w:lvlJc w:val="left"/>
      <w:lvlText w:val="(%1)"/>
      <w:numFmt w:val="lowerLetter"/>
      <w:start w:val="2"/>
    </w:lvl>
  </w:abstractNum>
  <w:abstractNum w:abstractNumId="174">
    <w:nsid w:val="545EE5D3"/>
    <w:multiLevelType w:val="hybridMultilevel"/>
    <w:lvl w:ilvl="0">
      <w:lvlJc w:val="left"/>
      <w:lvlText w:val="(%1)"/>
      <w:numFmt w:val="lowerLetter"/>
      <w:start w:val="1"/>
    </w:lvl>
  </w:abstractNum>
  <w:abstractNum w:abstractNumId="175">
    <w:nsid w:val="4A66051"/>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176">
    <w:nsid w:val="20F4BDAD"/>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9"/>
    </w:lvl>
  </w:abstractNum>
  <w:abstractNum w:abstractNumId="177">
    <w:nsid w:val="639DEFAC"/>
    <w:multiLevelType w:val="hybridMultilevel"/>
    <w:lvl w:ilvl="0">
      <w:lvlJc w:val="left"/>
      <w:lvlText w:val="(%1)"/>
      <w:numFmt w:val="lowerRoman"/>
      <w:start w:val="2"/>
    </w:lvl>
  </w:abstractNum>
  <w:abstractNum w:abstractNumId="178">
    <w:nsid w:val="501F9786"/>
    <w:multiLevelType w:val="hybridMultilevel"/>
    <w:lvl w:ilvl="0">
      <w:lvlJc w:val="left"/>
      <w:lvlText w:val="(%1)"/>
      <w:numFmt w:val="lowerRoman"/>
      <w:start w:val="1"/>
    </w:lvl>
  </w:abstractNum>
  <w:abstractNum w:abstractNumId="179">
    <w:nsid w:val="6B057295"/>
    <w:multiLevelType w:val="hybridMultilevel"/>
    <w:lvl w:ilvl="0">
      <w:lvlJc w:val="left"/>
      <w:lvlText w:val="(%1)"/>
      <w:numFmt w:val="lowerLetter"/>
      <w:start w:val="4"/>
    </w:lvl>
    <w:lvl w:ilvl="1">
      <w:lvlJc w:val="left"/>
      <w:lvlText w:val="(%2)"/>
      <w:numFmt w:val="lowerRoman"/>
      <w:start w:val="1"/>
    </w:lvl>
  </w:abstractNum>
  <w:abstractNum w:abstractNumId="180">
    <w:nsid w:val="2771AC80"/>
    <w:multiLevelType w:val="hybridMultilevel"/>
    <w:lvl w:ilvl="0">
      <w:lvlJc w:val="left"/>
      <w:lvlText w:val="(%1)"/>
      <w:numFmt w:val="lowerRoman"/>
      <w:start w:val="2"/>
    </w:lvl>
  </w:abstractNum>
  <w:abstractNum w:abstractNumId="181">
    <w:nsid w:val="1C4A08EC"/>
    <w:multiLevelType w:val="hybridMultilevel"/>
    <w:lvl w:ilvl="0">
      <w:lvlJc w:val="left"/>
      <w:lvlText w:val="(%1)"/>
      <w:numFmt w:val="lowerLetter"/>
      <w:start w:val="24"/>
    </w:lvl>
  </w:abstractNum>
  <w:abstractNum w:abstractNumId="182">
    <w:nsid w:val="1958BD17"/>
    <w:multiLevelType w:val="hybridMultilevel"/>
    <w:lvl w:ilvl="0">
      <w:lvlJc w:val="left"/>
      <w:lvlText w:val="(%1)"/>
      <w:numFmt w:val="lowerLetter"/>
      <w:start w:val="1"/>
    </w:lvl>
    <w:lvl w:ilvl="1">
      <w:lvlJc w:val="left"/>
      <w:lvlText w:val="(%2)"/>
      <w:numFmt w:val="lowerLetter"/>
      <w:start w:val="9"/>
    </w:lvl>
  </w:abstractNum>
  <w:abstractNum w:abstractNumId="183">
    <w:nsid w:val="4E647FE4"/>
    <w:multiLevelType w:val="hybridMultilevel"/>
    <w:lvl w:ilvl="0">
      <w:lvlJc w:val="left"/>
      <w:lvlText w:val="(%1)"/>
      <w:numFmt w:val="lowerRoman"/>
      <w:start w:val="2"/>
    </w:lvl>
  </w:abstractNum>
  <w:abstractNum w:abstractNumId="184">
    <w:nsid w:val="E0BB885"/>
    <w:multiLevelType w:val="hybridMultilevel"/>
    <w:lvl w:ilvl="0">
      <w:lvlJc w:val="left"/>
      <w:lvlText w:val="(%1)"/>
      <w:numFmt w:val="lowerLetter"/>
      <w:start w:val="2"/>
    </w:lvl>
  </w:abstractNum>
  <w:abstractNum w:abstractNumId="185">
    <w:nsid w:val="565976F1"/>
    <w:multiLevelType w:val="hybridMultilevel"/>
    <w:lvl w:ilvl="0">
      <w:lvlJc w:val="left"/>
      <w:lvlText w:val="(%1)"/>
      <w:numFmt w:val="lowerLetter"/>
      <w:start w:val="5"/>
    </w:lvl>
  </w:abstractNum>
  <w:abstractNum w:abstractNumId="186">
    <w:nsid w:val="64212B8C"/>
    <w:multiLevelType w:val="hybridMultilevel"/>
    <w:lvl w:ilvl="0">
      <w:lvlJc w:val="left"/>
      <w:lvlText w:val="%1"/>
      <w:numFmt w:val="lowerLetter"/>
      <w:start w:val="1"/>
    </w:lvl>
    <w:lvl w:ilvl="1">
      <w:lvlJc w:val="left"/>
      <w:lvlText w:val="(%2)"/>
      <w:numFmt w:val="lowerLetter"/>
      <w:start w:val="1"/>
    </w:lvl>
  </w:abstractNum>
  <w:abstractNum w:abstractNumId="187">
    <w:nsid w:val="5C17530C"/>
    <w:multiLevelType w:val="hybridMultilevel"/>
    <w:lvl w:ilvl="0">
      <w:lvlJc w:val="left"/>
      <w:lvlText w:val="(%1)"/>
      <w:numFmt w:val="lowerLetter"/>
      <w:start w:val="35"/>
    </w:lvl>
    <w:lvl w:ilvl="1">
      <w:lvlJc w:val="left"/>
      <w:lvlText w:val="(%2)"/>
      <w:numFmt w:val="lowerLetter"/>
      <w:start w:val="2"/>
    </w:lvl>
  </w:abstractNum>
  <w:abstractNum w:abstractNumId="188">
    <w:nsid w:val="19A52566"/>
    <w:multiLevelType w:val="hybridMultilevel"/>
    <w:lvl w:ilvl="0">
      <w:lvlJc w:val="left"/>
      <w:lvlText w:val="(%1)"/>
      <w:numFmt w:val="lowerRoman"/>
      <w:start w:val="2"/>
    </w:lvl>
    <w:lvl w:ilvl="1">
      <w:lvlJc w:val="left"/>
      <w:lvlText w:val="(%2)"/>
      <w:numFmt w:val="upperLetter"/>
      <w:start w:val="1"/>
    </w:lvl>
  </w:abstractNum>
  <w:abstractNum w:abstractNumId="189">
    <w:nsid w:val="335A1DF1"/>
    <w:multiLevelType w:val="hybridMultilevel"/>
    <w:lvl w:ilvl="0">
      <w:lvlJc w:val="left"/>
      <w:lvlText w:val="%1"/>
      <w:numFmt w:val="lowerRoman"/>
      <w:start w:val="1"/>
    </w:lvl>
    <w:lvl w:ilvl="1">
      <w:lvlJc w:val="left"/>
      <w:lvlText w:val="(%2)"/>
      <w:numFmt w:val="upperLetter"/>
      <w:start w:val="3"/>
    </w:lvl>
  </w:abstractNum>
  <w:abstractNum w:abstractNumId="190">
    <w:nsid w:val="28677B7C"/>
    <w:multiLevelType w:val="hybridMultilevel"/>
    <w:lvl w:ilvl="0">
      <w:lvlJc w:val="left"/>
      <w:lvlText w:val="(%1)"/>
      <w:numFmt w:val="lowerRoman"/>
      <w:start w:val="3"/>
    </w:lvl>
    <w:lvl w:ilvl="1">
      <w:lvlJc w:val="left"/>
      <w:lvlText w:val="%2"/>
      <w:numFmt w:val="upperLetter"/>
      <w:start w:val="1"/>
    </w:lvl>
  </w:abstractNum>
  <w:abstractNum w:abstractNumId="191">
    <w:nsid w:val="378D97C0"/>
    <w:multiLevelType w:val="hybridMultilevel"/>
    <w:lvl w:ilvl="0">
      <w:lvlJc w:val="left"/>
      <w:lvlText w:val="(%1)"/>
      <w:numFmt w:val="lowerLetter"/>
      <w:start w:val="6"/>
    </w:lvl>
  </w:abstractNum>
  <w:abstractNum w:abstractNumId="192">
    <w:nsid w:val="1D91467C"/>
    <w:multiLevelType w:val="hybridMultilevel"/>
    <w:lvl w:ilvl="0">
      <w:lvlJc w:val="left"/>
      <w:lvlText w:val="(%1)"/>
      <w:numFmt w:val="lowerLetter"/>
      <w:start w:val="1"/>
    </w:lvl>
  </w:abstractNum>
  <w:abstractNum w:abstractNumId="193">
    <w:nsid w:val="316032BB"/>
    <w:multiLevelType w:val="hybridMultilevel"/>
    <w:lvl w:ilvl="0">
      <w:lvlJc w:val="left"/>
      <w:lvlText w:val="(%1)"/>
      <w:numFmt w:val="lowerLetter"/>
      <w:start w:val="2"/>
    </w:lvl>
  </w:abstractNum>
  <w:abstractNum w:abstractNumId="194">
    <w:nsid w:val="44344C22"/>
    <w:multiLevelType w:val="hybridMultilevel"/>
    <w:lvl w:ilvl="0">
      <w:lvlJc w:val="left"/>
      <w:lvlText w:val="(%1)"/>
      <w:numFmt w:val="lowerLetter"/>
      <w:start w:val="4"/>
    </w:lvl>
  </w:abstractNum>
  <w:abstractNum w:abstractNumId="195">
    <w:nsid w:val="13CDFCFC"/>
    <w:multiLevelType w:val="hybridMultilevel"/>
    <w:lvl w:ilvl="0">
      <w:lvlJc w:val="left"/>
      <w:lvlText w:val="(%1)"/>
      <w:numFmt w:val="lowerLetter"/>
      <w:start w:val="1"/>
    </w:lvl>
  </w:abstractNum>
  <w:abstractNum w:abstractNumId="196">
    <w:nsid w:val="471745E4"/>
    <w:multiLevelType w:val="hybridMultilevel"/>
    <w:lvl w:ilvl="0">
      <w:lvlJc w:val="left"/>
      <w:lvlText w:val="(%1)"/>
      <w:numFmt w:val="lowerLetter"/>
      <w:start w:val="1"/>
    </w:lvl>
  </w:abstractNum>
  <w:abstractNum w:abstractNumId="197">
    <w:nsid w:val="1DDBC66"/>
    <w:multiLevelType w:val="hybridMultilevel"/>
    <w:lvl w:ilvl="0">
      <w:lvlJc w:val="left"/>
      <w:lvlText w:val="(%1)"/>
      <w:numFmt w:val="lowerLetter"/>
      <w:start w:val="1"/>
    </w:lvl>
    <w:lvl w:ilvl="1">
      <w:lvlJc w:val="left"/>
      <w:lvlText w:val="(%2)"/>
      <w:numFmt w:val="lowerRoman"/>
      <w:start w:val="1"/>
    </w:lvl>
  </w:abstractNum>
  <w:abstractNum w:abstractNumId="198">
    <w:nsid w:val="30AADFDA"/>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99">
    <w:nsid w:val="30EADA6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00">
    <w:nsid w:val="27179C0B"/>
    <w:multiLevelType w:val="hybridMultilevel"/>
    <w:lvl w:ilvl="0">
      <w:lvlJc w:val="left"/>
      <w:lvlText w:val="(%1)"/>
      <w:numFmt w:val="lowerLetter"/>
      <w:start w:val="1"/>
    </w:lvl>
  </w:abstractNum>
  <w:abstractNum w:abstractNumId="201">
    <w:nsid w:val="5E636063"/>
    <w:multiLevelType w:val="hybridMultilevel"/>
    <w:lvl w:ilvl="0">
      <w:lvlJc w:val="left"/>
      <w:lvlText w:val="(%1)"/>
      <w:numFmt w:val="lowerLetter"/>
      <w:start w:val="1"/>
    </w:lvl>
  </w:abstractNum>
  <w:abstractNum w:abstractNumId="202">
    <w:nsid w:val="215641AF"/>
    <w:multiLevelType w:val="hybridMultilevel"/>
    <w:lvl w:ilvl="0">
      <w:lvlJc w:val="left"/>
      <w:lvlText w:val="(%1)"/>
      <w:numFmt w:val="lowerLetter"/>
      <w:start w:val="1"/>
    </w:lvl>
  </w:abstractNum>
  <w:abstractNum w:abstractNumId="203">
    <w:nsid w:val="53280662"/>
    <w:multiLevelType w:val="hybridMultilevel"/>
    <w:lvl w:ilvl="0">
      <w:lvlJc w:val="left"/>
      <w:lvlText w:val="(%1)"/>
      <w:numFmt w:val="lowerLetter"/>
      <w:start w:val="2"/>
    </w:lvl>
  </w:abstractNum>
  <w:abstractNum w:abstractNumId="204">
    <w:nsid w:val="46B24DBC"/>
    <w:multiLevelType w:val="hybridMultilevel"/>
    <w:lvl w:ilvl="0">
      <w:lvlJc w:val="left"/>
      <w:lvlText w:val="(%1)"/>
      <w:numFmt w:val="lowerLetter"/>
      <w:start w:val="1"/>
    </w:lvl>
  </w:abstractNum>
  <w:abstractNum w:abstractNumId="205">
    <w:nsid w:val="75B52783"/>
    <w:multiLevelType w:val="hybridMultilevel"/>
    <w:lvl w:ilvl="0">
      <w:lvlJc w:val="left"/>
      <w:lvlText w:val="(%1)"/>
      <w:numFmt w:val="lowerLetter"/>
      <w:start w:val="1"/>
    </w:lvl>
  </w:abstractNum>
  <w:abstractNum w:abstractNumId="206">
    <w:nsid w:val="57CE66B4"/>
    <w:multiLevelType w:val="hybridMultilevel"/>
    <w:lvl w:ilvl="0">
      <w:lvlJc w:val="left"/>
      <w:lvlText w:val="(%1)"/>
      <w:numFmt w:val="lowerLetter"/>
      <w:start w:val="3"/>
    </w:lvl>
  </w:abstractNum>
  <w:abstractNum w:abstractNumId="207">
    <w:nsid w:val="67A70B69"/>
    <w:multiLevelType w:val="hybridMultilevel"/>
    <w:lvl w:ilvl="0">
      <w:lvlJc w:val="left"/>
      <w:lvlText w:val="(%1)"/>
      <w:numFmt w:val="lowerLetter"/>
      <w:start w:val="1"/>
    </w:lvl>
  </w:abstractNum>
  <w:abstractNum w:abstractNumId="208">
    <w:nsid w:val="5953172F"/>
    <w:multiLevelType w:val="hybridMultilevel"/>
    <w:lvl w:ilvl="0">
      <w:lvlJc w:val="left"/>
      <w:lvlText w:val="%1"/>
      <w:numFmt w:val="lowerLetter"/>
      <w:start w:val="1"/>
    </w:lvl>
    <w:lvl w:ilvl="1">
      <w:lvlJc w:val="left"/>
      <w:lvlText w:val="(%2)"/>
      <w:numFmt w:val="lowerRoman"/>
      <w:start w:val="1"/>
    </w:lvl>
  </w:abstractNum>
  <w:abstractNum w:abstractNumId="209">
    <w:nsid w:val="27EDFE3A"/>
    <w:multiLevelType w:val="hybridMultilevel"/>
    <w:lvl w:ilvl="0">
      <w:lvlJc w:val="left"/>
      <w:lvlText w:val="(%1)"/>
      <w:numFmt w:val="lowerLetter"/>
      <w:start w:val="2"/>
    </w:lvl>
    <w:lvl w:ilvl="1">
      <w:lvlJc w:val="left"/>
      <w:lvlText w:val="%2"/>
      <w:numFmt w:val="lowerRoman"/>
      <w:start w:val="1"/>
    </w:lvl>
  </w:abstractNum>
  <w:abstractNum w:abstractNumId="210">
    <w:nsid w:val="52AC7DFF"/>
    <w:multiLevelType w:val="hybridMultilevel"/>
    <w:lvl w:ilvl="0">
      <w:lvlJc w:val="left"/>
      <w:lvlText w:val="(%1)"/>
      <w:numFmt w:val="lowerLetter"/>
      <w:start w:val="1"/>
    </w:lvl>
  </w:abstractNum>
  <w:abstractNum w:abstractNumId="211">
    <w:nsid w:val="C4C3AF"/>
    <w:multiLevelType w:val="hybridMultilevel"/>
    <w:lvl w:ilvl="0">
      <w:lvlJc w:val="left"/>
      <w:lvlText w:val="(%1)"/>
      <w:numFmt w:val="lowerLetter"/>
      <w:start w:val="1"/>
    </w:lvl>
  </w:abstractNum>
  <w:abstractNum w:abstractNumId="212">
    <w:nsid w:val="44380727"/>
    <w:multiLevelType w:val="hybridMultilevel"/>
    <w:lvl w:ilvl="0">
      <w:lvlJc w:val="left"/>
      <w:lvlText w:val="(%1)"/>
      <w:numFmt w:val="lowerLetter"/>
      <w:start w:val="4"/>
    </w:lvl>
  </w:abstractNum>
  <w:abstractNum w:abstractNumId="213">
    <w:nsid w:val="6C053B16"/>
    <w:multiLevelType w:val="hybridMultilevel"/>
    <w:lvl w:ilvl="0">
      <w:lvlJc w:val="left"/>
      <w:lvlText w:val="(%1)"/>
      <w:numFmt w:val="lowerLetter"/>
      <w:start w:val="1"/>
    </w:lvl>
  </w:abstractNum>
  <w:abstractNum w:abstractNumId="214">
    <w:nsid w:val="4F294393"/>
    <w:multiLevelType w:val="hybridMultilevel"/>
    <w:lvl w:ilvl="0">
      <w:lvlJc w:val="left"/>
      <w:lvlText w:val="%1"/>
      <w:numFmt w:val="lowerLetter"/>
      <w:start w:val="1"/>
    </w:lvl>
    <w:lvl w:ilvl="1">
      <w:lvlJc w:val="left"/>
      <w:lvlText w:val="(%2)"/>
      <w:numFmt w:val="lowerLetter"/>
      <w:start w:val="2"/>
    </w:lvl>
  </w:abstractNum>
  <w:abstractNum w:abstractNumId="215">
    <w:nsid w:val="5243BFAC"/>
    <w:multiLevelType w:val="hybridMultilevel"/>
    <w:lvl w:ilvl="0">
      <w:lvlJc w:val="left"/>
      <w:lvlText w:val="(%1)"/>
      <w:numFmt w:val="lowerLetter"/>
      <w:start w:val="35"/>
    </w:lvl>
    <w:lvl w:ilvl="1">
      <w:lvlJc w:val="left"/>
      <w:lvlText w:val="%2"/>
      <w:numFmt w:val="lowerLetter"/>
      <w:start w:val="1"/>
    </w:lvl>
  </w:abstractNum>
  <w:abstractNum w:abstractNumId="216">
    <w:nsid w:val="425EB207"/>
    <w:multiLevelType w:val="hybridMultilevel"/>
    <w:lvl w:ilvl="0">
      <w:lvlJc w:val="left"/>
      <w:lvlText w:val="(%1)"/>
      <w:numFmt w:val="lowerLetter"/>
      <w:start w:val="1"/>
    </w:lvl>
  </w:abstractNum>
  <w:abstractNum w:abstractNumId="217">
    <w:nsid w:val="334A6F1F"/>
    <w:multiLevelType w:val="hybridMultilevel"/>
    <w:lvl w:ilvl="0">
      <w:lvlJc w:val="left"/>
      <w:lvlText w:val="(%1)"/>
      <w:numFmt w:val="lowerLetter"/>
      <w:start w:val="2"/>
    </w:lvl>
  </w:abstractNum>
  <w:abstractNum w:abstractNumId="218">
    <w:nsid w:val="2E5B12B8"/>
    <w:multiLevelType w:val="hybridMultilevel"/>
    <w:lvl w:ilvl="0">
      <w:lvlJc w:val="left"/>
      <w:lvlText w:val="(%1)"/>
      <w:numFmt w:val="lowerLetter"/>
      <w:start w:val="1"/>
    </w:lvl>
  </w:abstractNum>
  <w:abstractNum w:abstractNumId="219">
    <w:nsid w:val="5C03D76D"/>
    <w:multiLevelType w:val="hybridMultilevel"/>
    <w:lvl w:ilvl="0">
      <w:lvlJc w:val="left"/>
      <w:lvlText w:val="(%1)"/>
      <w:numFmt w:val="lowerLetter"/>
      <w:start w:val="1"/>
    </w:lvl>
  </w:abstractNum>
  <w:abstractNum w:abstractNumId="220">
    <w:nsid w:val="66A48D11"/>
    <w:multiLevelType w:val="hybridMultilevel"/>
    <w:lvl w:ilvl="0">
      <w:lvlJc w:val="left"/>
      <w:lvlText w:val="(%1)"/>
      <w:numFmt w:val="lowerRoman"/>
      <w:start w:val="1"/>
    </w:lvl>
  </w:abstractNum>
  <w:abstractNum w:abstractNumId="221">
    <w:nsid w:val="56C28E34"/>
    <w:multiLevelType w:val="hybridMultilevel"/>
    <w:lvl w:ilvl="0">
      <w:lvlJc w:val="left"/>
      <w:lvlText w:val="%1"/>
      <w:numFmt w:val="lowerLetter"/>
      <w:start w:val="1"/>
    </w:lvl>
    <w:lvl w:ilvl="1">
      <w:lvlJc w:val="left"/>
      <w:lvlText w:val="(%2)"/>
      <w:numFmt w:val="lowerRoman"/>
      <w:start w:val="10"/>
    </w:lvl>
  </w:abstractNum>
  <w:abstractNum w:abstractNumId="222">
    <w:nsid w:val="13916F2D"/>
    <w:multiLevelType w:val="hybridMultilevel"/>
    <w:lvl w:ilvl="0">
      <w:lvlJc w:val="left"/>
      <w:lvlText w:val="(%1)"/>
      <w:numFmt w:val="lowerLetter"/>
      <w:start w:val="2"/>
    </w:lvl>
    <w:lvl w:ilvl="1">
      <w:lvlJc w:val="left"/>
      <w:lvlText w:val="%2"/>
      <w:numFmt w:val="lowerRoman"/>
      <w:start w:val="1"/>
    </w:lvl>
  </w:abstractNum>
  <w:abstractNum w:abstractNumId="223">
    <w:nsid w:val="435D38D"/>
    <w:multiLevelType w:val="hybridMultilevel"/>
    <w:lvl w:ilvl="0">
      <w:lvlJc w:val="left"/>
      <w:lvlText w:val="(%1)"/>
      <w:numFmt w:val="lowerRoman"/>
      <w:start w:val="18"/>
    </w:lvl>
  </w:abstractNum>
  <w:abstractNum w:abstractNumId="224">
    <w:nsid w:val="822C0EF"/>
    <w:multiLevelType w:val="hybridMultilevel"/>
    <w:lvl w:ilvl="0">
      <w:lvlJc w:val="left"/>
      <w:lvlText w:val="(%1)"/>
      <w:numFmt w:val="lowerLetter"/>
      <w:start w:val="1"/>
    </w:lvl>
  </w:abstractNum>
  <w:abstractNum w:abstractNumId="225">
    <w:nsid w:val="57C5BB4F"/>
    <w:multiLevelType w:val="hybridMultilevel"/>
    <w:lvl w:ilvl="0">
      <w:lvlJc w:val="left"/>
      <w:lvlText w:val="(%1)"/>
      <w:numFmt w:val="lowerLetter"/>
      <w:start w:val="8"/>
    </w:lvl>
  </w:abstractNum>
  <w:abstractNum w:abstractNumId="226">
    <w:nsid w:val="1803D089"/>
    <w:multiLevelType w:val="hybridMultilevel"/>
    <w:lvl w:ilvl="0">
      <w:lvlJc w:val="left"/>
      <w:lvlText w:val="(%1)"/>
      <w:numFmt w:val="lowerLetter"/>
      <w:start w:val="1"/>
    </w:lvl>
  </w:abstractNum>
  <w:abstractNum w:abstractNumId="227">
    <w:nsid w:val="4F3A06D4"/>
    <w:multiLevelType w:val="hybridMultilevel"/>
    <w:lvl w:ilvl="0">
      <w:lvlJc w:val="left"/>
      <w:lvlText w:val="%1"/>
      <w:numFmt w:val="lowerLetter"/>
      <w:start w:val="1"/>
    </w:lvl>
    <w:lvl w:ilvl="1">
      <w:lvlJc w:val="left"/>
      <w:lvlText w:val="(%2)"/>
      <w:numFmt w:val="lowerLetter"/>
      <w:start w:val="1"/>
    </w:lvl>
  </w:abstractNum>
  <w:abstractNum w:abstractNumId="228">
    <w:nsid w:val="59A377B6"/>
    <w:multiLevelType w:val="hybridMultilevel"/>
    <w:lvl w:ilvl="0">
      <w:lvlJc w:val="left"/>
      <w:lvlText w:val="(%1)"/>
      <w:numFmt w:val="lowerLetter"/>
      <w:start w:val="1"/>
    </w:lvl>
    <w:lvl w:ilvl="1">
      <w:lvlJc w:val="left"/>
      <w:lvlText w:val="(%2)"/>
      <w:numFmt w:val="lowerLetter"/>
      <w:start w:val="3"/>
    </w:lvl>
  </w:abstractNum>
  <w:abstractNum w:abstractNumId="229">
    <w:nsid w:val="48AEB063"/>
    <w:multiLevelType w:val="hybridMultilevel"/>
    <w:lvl w:ilvl="0">
      <w:lvlJc w:val="left"/>
      <w:lvlText w:val="%1"/>
      <w:numFmt w:val="decimal"/>
      <w:start w:val="1"/>
    </w:lvl>
    <w:lvl w:ilvl="1">
      <w:lvlJc w:val="left"/>
      <w:lvlText w:val="(%2)"/>
      <w:numFmt w:val="lowerLetter"/>
      <w:start w:val="7"/>
    </w:lvl>
  </w:abstractNum>
  <w:abstractNum w:abstractNumId="230">
    <w:nsid w:val="24E135"/>
    <w:multiLevelType w:val="hybridMultilevel"/>
    <w:lvl w:ilvl="0">
      <w:lvlJc w:val="left"/>
      <w:lvlText w:val="(%1)"/>
      <w:numFmt w:val="decimal"/>
      <w:start w:val="2"/>
    </w:lvl>
    <w:lvl w:ilvl="1">
      <w:lvlJc w:val="left"/>
      <w:lvlText w:val="%2"/>
      <w:numFmt w:val="lowerLetter"/>
      <w:start w:val="1"/>
    </w:lvl>
  </w:abstractNum>
  <w:abstractNum w:abstractNumId="231">
    <w:nsid w:val="BB13C1"/>
    <w:multiLevelType w:val="hybridMultilevel"/>
    <w:lvl w:ilvl="0">
      <w:lvlJc w:val="left"/>
      <w:lvlText w:val="(%1)"/>
      <w:numFmt w:val="decimal"/>
      <w:start w:val="7"/>
    </w:lvl>
    <w:lvl w:ilvl="1">
      <w:lvlJc w:val="left"/>
      <w:lvlText w:val="(%2)"/>
      <w:numFmt w:val="lowerLetter"/>
      <w:start w:val="8"/>
    </w:lvl>
  </w:abstractNum>
  <w:abstractNum w:abstractNumId="232">
    <w:nsid w:val="271210C7"/>
    <w:multiLevelType w:val="hybridMultilevel"/>
    <w:lvl w:ilvl="0">
      <w:lvlJc w:val="left"/>
      <w:lvlText w:val="(%1)"/>
      <w:numFmt w:val="lowerLetter"/>
      <w:start w:val="11"/>
    </w:lvl>
  </w:abstractNum>
  <w:abstractNum w:abstractNumId="233">
    <w:nsid w:val="217B22E4"/>
    <w:multiLevelType w:val="hybridMultilevel"/>
    <w:lvl w:ilvl="0">
      <w:lvlJc w:val="left"/>
      <w:lvlText w:val="(%1)"/>
      <w:numFmt w:val="lowerRoman"/>
      <w:start w:val="3"/>
    </w:lvl>
  </w:abstractNum>
  <w:abstractNum w:abstractNumId="234">
    <w:nsid w:val="53E31A24"/>
    <w:multiLevelType w:val="hybridMultilevel"/>
    <w:lvl w:ilvl="0">
      <w:lvlJc w:val="left"/>
      <w:lvlText w:val="(%1)"/>
      <w:numFmt w:val="lowerRoman"/>
      <w:start w:val="5"/>
    </w:lvl>
  </w:abstractNum>
  <w:abstractNum w:abstractNumId="235">
    <w:nsid w:val="6DC45E83"/>
    <w:multiLevelType w:val="hybridMultilevel"/>
    <w:lvl w:ilvl="0">
      <w:lvlJc w:val="left"/>
      <w:lvlText w:val="(%1)"/>
      <w:numFmt w:val="lowerLetter"/>
      <w:start w:val="1"/>
    </w:lvl>
  </w:abstractNum>
  <w:abstractNum w:abstractNumId="236">
    <w:nsid w:val="17304A67"/>
    <w:multiLevelType w:val="hybridMultilevel"/>
    <w:lvl w:ilvl="0">
      <w:lvlJc w:val="left"/>
      <w:lvlText w:val="%1"/>
      <w:numFmt w:val="lowerLetter"/>
      <w:start w:val="1"/>
    </w:lvl>
    <w:lvl w:ilvl="1">
      <w:lvlJc w:val="left"/>
      <w:lvlText w:val="(%2)"/>
      <w:numFmt w:val="lowerLetter"/>
      <w:start w:val="1"/>
    </w:lvl>
  </w:abstractNum>
  <w:abstractNum w:abstractNumId="237">
    <w:nsid w:val="2BB180D8"/>
    <w:multiLevelType w:val="hybridMultilevel"/>
    <w:lvl w:ilvl="0">
      <w:lvlJc w:val="left"/>
      <w:lvlText w:val="(%1)"/>
      <w:numFmt w:val="lowerLetter"/>
      <w:start w:val="35"/>
    </w:lvl>
    <w:lvl w:ilvl="1">
      <w:lvlJc w:val="left"/>
      <w:lvlText w:val="%2"/>
      <w:numFmt w:val="lowerLetter"/>
      <w:start w:val="1"/>
    </w:lvl>
  </w:abstractNum>
  <w:abstractNum w:abstractNumId="238">
    <w:nsid w:val="556B69ED"/>
    <w:multiLevelType w:val="hybridMultilevel"/>
    <w:lvl w:ilvl="0">
      <w:lvlJc w:val="left"/>
      <w:lvlText w:val="(%1)"/>
      <w:numFmt w:val="lowerLetter"/>
      <w:start w:val="3"/>
    </w:lvl>
  </w:abstractNum>
  <w:abstractNum w:abstractNumId="239">
    <w:nsid w:val="70836196"/>
    <w:multiLevelType w:val="hybridMultilevel"/>
    <w:lvl w:ilvl="0">
      <w:lvlJc w:val="left"/>
      <w:lvlText w:val="(%1)"/>
      <w:numFmt w:val="lowerLetter"/>
      <w:start w:val="1"/>
    </w:lvl>
  </w:abstractNum>
  <w:abstractNum w:abstractNumId="240">
    <w:nsid w:val="539F7F12"/>
    <w:multiLevelType w:val="hybridMultilevel"/>
    <w:lvl w:ilvl="0">
      <w:lvlJc w:val="left"/>
      <w:lvlText w:val="(%1)"/>
      <w:numFmt w:val="lowerLetter"/>
      <w:start w:val="3"/>
    </w:lvl>
  </w:abstractNum>
  <w:abstractNum w:abstractNumId="241">
    <w:nsid w:val="2817E7EC"/>
    <w:multiLevelType w:val="hybridMultilevel"/>
    <w:lvl w:ilvl="0">
      <w:lvlJc w:val="left"/>
      <w:lvlText w:val="(%1)"/>
      <w:numFmt w:val="lowerLetter"/>
      <w:start w:val="1"/>
    </w:lvl>
  </w:abstractNum>
  <w:abstractNum w:abstractNumId="242">
    <w:nsid w:val="71482545"/>
    <w:multiLevelType w:val="hybridMultilevel"/>
    <w:lvl w:ilvl="0">
      <w:lvlJc w:val="left"/>
      <w:lvlText w:val="(%1)"/>
      <w:numFmt w:val="lowerLetter"/>
      <w:start w:val="2"/>
    </w:lvl>
  </w:abstractNum>
  <w:abstractNum w:abstractNumId="243">
    <w:nsid w:val="17D78639"/>
    <w:multiLevelType w:val="hybridMultilevel"/>
    <w:lvl w:ilvl="0">
      <w:lvlJc w:val="left"/>
      <w:lvlText w:val="(%1)"/>
      <w:numFmt w:val="lowerRoman"/>
      <w:start w:val="2"/>
    </w:lvl>
  </w:abstractNum>
  <w:abstractNum w:abstractNumId="244">
    <w:nsid w:val="141D2302"/>
    <w:multiLevelType w:val="hybridMultilevel"/>
    <w:lvl w:ilvl="0">
      <w:lvlJc w:val="left"/>
      <w:lvlText w:val="(%1)"/>
      <w:numFmt w:val="lowerRoman"/>
      <w:start w:val="4"/>
    </w:lvl>
  </w:abstractNum>
  <w:abstractNum w:abstractNumId="245">
    <w:nsid w:val="407168D8"/>
    <w:multiLevelType w:val="hybridMultilevel"/>
    <w:lvl w:ilvl="0">
      <w:lvlJc w:val="left"/>
      <w:lvlText w:val="(%1)"/>
      <w:numFmt w:val="lowerLetter"/>
      <w:start w:val="3"/>
    </w:lvl>
  </w:abstractNum>
  <w:abstractNum w:abstractNumId="246">
    <w:nsid w:val="6A1B45E5"/>
    <w:multiLevelType w:val="hybridMultilevel"/>
    <w:lvl w:ilvl="0">
      <w:lvlJc w:val="left"/>
      <w:lvlText w:val="(%1)"/>
      <w:numFmt w:val="lowerRoman"/>
      <w:start w:val="2"/>
    </w:lvl>
  </w:abstractNum>
  <w:abstractNum w:abstractNumId="247">
    <w:nsid w:val="567BD50A"/>
    <w:multiLevelType w:val="hybridMultilevel"/>
    <w:lvl w:ilvl="0">
      <w:lvlJc w:val="left"/>
      <w:lvlText w:val="(%1)"/>
      <w:numFmt w:val="lowerLetter"/>
      <w:start w:val="4"/>
    </w:lvl>
  </w:abstractNum>
  <w:abstractNum w:abstractNumId="248">
    <w:nsid w:val="73BBD7F8"/>
    <w:multiLevelType w:val="hybridMultilevel"/>
    <w:lvl w:ilvl="0">
      <w:lvlJc w:val="left"/>
      <w:lvlText w:val="(%1)"/>
      <w:numFmt w:val="lowerLetter"/>
      <w:start w:val="1"/>
    </w:lvl>
  </w:abstractNum>
  <w:abstractNum w:abstractNumId="249">
    <w:nsid w:val="1876589D"/>
    <w:multiLevelType w:val="hybridMultilevel"/>
    <w:lvl w:ilvl="0">
      <w:lvlJc w:val="left"/>
      <w:lvlText w:val="(%1)"/>
      <w:numFmt w:val="lowerLetter"/>
      <w:start w:val="2"/>
    </w:lvl>
  </w:abstractNum>
  <w:abstractNum w:abstractNumId="250">
    <w:nsid w:val="327FAC77"/>
    <w:multiLevelType w:val="hybridMultilevel"/>
    <w:lvl w:ilvl="0">
      <w:lvlJc w:val="left"/>
      <w:lvlText w:val="(%1)"/>
      <w:numFmt w:val="upperLetter"/>
      <w:start w:val="2"/>
    </w:lvl>
  </w:abstractNum>
  <w:abstractNum w:abstractNumId="251">
    <w:nsid w:val="5A606509"/>
    <w:multiLevelType w:val="hybridMultilevel"/>
    <w:lvl w:ilvl="0">
      <w:lvlJc w:val="left"/>
      <w:lvlText w:val="(%1)"/>
      <w:numFmt w:val="lowerLetter"/>
      <w:start w:val="8"/>
    </w:lvl>
  </w:abstractNum>
  <w:abstractNum w:abstractNumId="252">
    <w:nsid w:val="6F38E6D1"/>
    <w:multiLevelType w:val="hybridMultilevel"/>
    <w:lvl w:ilvl="0">
      <w:lvlJc w:val="left"/>
      <w:lvlText w:val="(%1)"/>
      <w:numFmt w:val="lowerLetter"/>
      <w:start w:val="1"/>
    </w:lvl>
  </w:abstractNum>
  <w:abstractNum w:abstractNumId="253">
    <w:nsid w:val="46111BA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jpeg"/><Relationship Id="rId165" Type="http://schemas.openxmlformats.org/officeDocument/2006/relationships/image" Target="media/image157.png"/><Relationship Id="rId166" Type="http://schemas.openxmlformats.org/officeDocument/2006/relationships/image" Target="media/image158.jpeg"/><Relationship Id="rId167" Type="http://schemas.openxmlformats.org/officeDocument/2006/relationships/image" Target="media/image159.png"/><Relationship Id="rId168" Type="http://schemas.openxmlformats.org/officeDocument/2006/relationships/image" Target="media/image160.jpe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20" Type="http://schemas.openxmlformats.org/officeDocument/2006/relationships/hyperlink" Target="http://www.sec.gov/Archives/edgar/data/1120193/000119312513253519/d55110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2020-12-21T15:41:08Z</dcterms:created>
  <dcterms:modified xsi:type="dcterms:W3CDTF">2020-12-21T15:41:08Z</dcterms:modified>
</cp:coreProperties>
</file>