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324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240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AUST BRUCE</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4"/>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NASDAQ OMX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NDAQ</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520" w:type="dxa"/>
            <w:vAlign w:val="bottom"/>
            <w:tcBorders>
              <w:top w:val="single" w:sz="8" w:color="0000EE"/>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880" w:type="dxa"/>
            <w:vAlign w:val="bottom"/>
            <w:gridSpan w:val="4"/>
            <w:vMerge w:val="restart"/>
          </w:tcPr>
          <w:p>
            <w:pPr>
              <w:ind w:left="160"/>
              <w:spacing w:after="0" w:line="175" w:lineRule="exact"/>
              <w:rPr>
                <w:sz w:val="20"/>
                <w:szCs w:val="20"/>
                <w:color w:val="auto"/>
              </w:rPr>
            </w:pPr>
            <w:r>
              <w:rPr>
                <w:rFonts w:ascii="Arial" w:cs="Arial" w:eastAsia="Arial" w:hAnsi="Arial"/>
                <w:sz w:val="17"/>
                <w:szCs w:val="17"/>
                <w:color w:val="0000FF"/>
              </w:rPr>
              <w:t>02/25/2009</w:t>
            </w: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ONE LIBERTY PLAZA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333" w:lineRule="exact"/>
        <w:rPr>
          <w:sz w:val="20"/>
          <w:szCs w:val="20"/>
          <w:color w:val="auto"/>
        </w:rPr>
      </w:pPr>
    </w:p>
    <w:p>
      <w:pPr>
        <w:sectPr>
          <w:pgSz w:w="11900" w:h="16838" w:orient="portrait"/>
          <w:cols w:equalWidth="0" w:num="2">
            <w:col w:w="7980" w:space="74"/>
            <w:col w:w="3466"/>
          </w:cols>
          <w:pgMar w:left="240" w:top="225" w:right="139" w:bottom="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10006</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0"/>
          <w:szCs w:val="20"/>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3"/>
                <w:szCs w:val="13"/>
                <w:color w:val="auto"/>
              </w:rPr>
            </w:pP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281"/>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ind w:left="2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jc w:val="center"/>
              <w:ind w:right="234"/>
              <w:spacing w:after="0" w:line="134" w:lineRule="exact"/>
              <w:rPr>
                <w:sz w:val="20"/>
                <w:szCs w:val="20"/>
                <w:color w:val="auto"/>
              </w:rPr>
            </w:pPr>
            <w:r>
              <w:rPr>
                <w:rFonts w:ascii="Arial" w:cs="Arial" w:eastAsia="Arial" w:hAnsi="Arial"/>
                <w:sz w:val="12"/>
                <w:szCs w:val="12"/>
                <w:b w:val="1"/>
                <w:bCs w:val="1"/>
                <w:color w:val="auto"/>
                <w:w w:val="93"/>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1"/>
              <w:spacing w:after="0" w:line="134"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6"/>
              </w:rPr>
              <w:t>Amount</w:t>
            </w:r>
          </w:p>
        </w:tc>
        <w:tc>
          <w:tcPr>
            <w:tcW w:w="880" w:type="dxa"/>
            <w:vAlign w:val="bottom"/>
            <w:gridSpan w:val="3"/>
          </w:tcPr>
          <w:p>
            <w:pPr>
              <w:ind w:left="400"/>
              <w:spacing w:after="0" w:line="134"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jc w:val="right"/>
              <w:ind w:right="46"/>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34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02/25/2009</w:t>
            </w: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161"/>
              <w:spacing w:after="0"/>
              <w:rPr>
                <w:sz w:val="20"/>
                <w:szCs w:val="20"/>
                <w:color w:val="auto"/>
              </w:rPr>
            </w:pPr>
            <w:r>
              <w:rPr>
                <w:rFonts w:ascii="Arial" w:cs="Arial" w:eastAsia="Arial" w:hAnsi="Arial"/>
                <w:sz w:val="13"/>
                <w:szCs w:val="13"/>
                <w:color w:val="0000FF"/>
              </w:rPr>
              <w:t>A</w:t>
            </w:r>
          </w:p>
        </w:tc>
        <w:tc>
          <w:tcPr>
            <w:tcW w:w="3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16"/>
              <w:spacing w:after="0"/>
              <w:rPr>
                <w:sz w:val="20"/>
                <w:szCs w:val="20"/>
                <w:color w:val="auto"/>
              </w:rPr>
            </w:pPr>
            <w:r>
              <w:rPr>
                <w:rFonts w:ascii="Arial" w:cs="Arial" w:eastAsia="Arial" w:hAnsi="Arial"/>
                <w:sz w:val="17"/>
                <w:szCs w:val="17"/>
                <w:color w:val="0000FF"/>
              </w:rPr>
              <w:t>12,396</w:t>
            </w:r>
            <w:r>
              <w:rPr>
                <w:rFonts w:ascii="Arial" w:cs="Arial" w:eastAsia="Arial" w:hAnsi="Arial"/>
                <w:sz w:val="22"/>
                <w:szCs w:val="22"/>
                <w:color w:val="008000"/>
                <w:vertAlign w:val="superscript"/>
              </w:rPr>
              <w:t>(1)</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32,222</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8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8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(3)</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200,000</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7.35</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4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2"/>
              </w:rPr>
              <w:t>11/15/2014</w:t>
            </w:r>
          </w:p>
        </w:tc>
        <w:tc>
          <w:tcPr>
            <w:tcW w:w="6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3"/>
              </w:rPr>
              <w:t>200,000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ind w:left="140"/>
              <w:spacing w:after="0" w:line="148" w:lineRule="exact"/>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(4)</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90,000</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9.15</w:t>
            </w: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4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02/18/2014</w:t>
            </w:r>
          </w:p>
        </w:tc>
        <w:tc>
          <w:tcPr>
            <w:tcW w:w="66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restart"/>
          </w:tcPr>
          <w:p>
            <w:pPr>
              <w:jc w:val="center"/>
              <w:ind w:left="157"/>
              <w:spacing w:after="0" w:line="148" w:lineRule="exact"/>
              <w:rPr>
                <w:sz w:val="20"/>
                <w:szCs w:val="20"/>
                <w:color w:val="auto"/>
              </w:rPr>
            </w:pPr>
            <w:r>
              <w:rPr>
                <w:rFonts w:ascii="Arial" w:cs="Arial" w:eastAsia="Arial" w:hAnsi="Arial"/>
                <w:sz w:val="13"/>
                <w:szCs w:val="13"/>
                <w:color w:val="0000FF"/>
                <w:w w:val="90"/>
              </w:rPr>
              <w:t>90,000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80" w:type="dxa"/>
            <w:vAlign w:val="bottom"/>
            <w:vMerge w:val="restart"/>
          </w:tcPr>
          <w:p>
            <w:pPr>
              <w:ind w:left="140"/>
              <w:spacing w:after="0"/>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(5)</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45,528</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25.07</w:t>
            </w: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4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12/17/2018</w:t>
            </w:r>
          </w:p>
        </w:tc>
        <w:tc>
          <w:tcPr>
            <w:tcW w:w="66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restart"/>
          </w:tcPr>
          <w:p>
            <w:pPr>
              <w:jc w:val="center"/>
              <w:ind w:left="157"/>
              <w:spacing w:after="0" w:line="148" w:lineRule="exact"/>
              <w:rPr>
                <w:sz w:val="20"/>
                <w:szCs w:val="20"/>
                <w:color w:val="auto"/>
              </w:rPr>
            </w:pPr>
            <w:r>
              <w:rPr>
                <w:rFonts w:ascii="Arial" w:cs="Arial" w:eastAsia="Arial" w:hAnsi="Arial"/>
                <w:sz w:val="13"/>
                <w:szCs w:val="13"/>
                <w:color w:val="0000FF"/>
                <w:w w:val="90"/>
              </w:rPr>
              <w:t>45,528</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80" w:type="dxa"/>
            <w:vAlign w:val="bottom"/>
            <w:vMerge w:val="restart"/>
          </w:tcPr>
          <w:p>
            <w:pPr>
              <w:ind w:left="140"/>
              <w:spacing w:after="0"/>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(6)</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32,558</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35.92</w:t>
            </w: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4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12/13/2016</w:t>
            </w:r>
          </w:p>
        </w:tc>
        <w:tc>
          <w:tcPr>
            <w:tcW w:w="66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restart"/>
          </w:tcPr>
          <w:p>
            <w:pPr>
              <w:jc w:val="center"/>
              <w:ind w:left="157"/>
              <w:spacing w:after="0" w:line="148" w:lineRule="exact"/>
              <w:rPr>
                <w:sz w:val="20"/>
                <w:szCs w:val="20"/>
                <w:color w:val="auto"/>
              </w:rPr>
            </w:pPr>
            <w:r>
              <w:rPr>
                <w:rFonts w:ascii="Arial" w:cs="Arial" w:eastAsia="Arial" w:hAnsi="Arial"/>
                <w:sz w:val="13"/>
                <w:szCs w:val="13"/>
                <w:color w:val="0000FF"/>
                <w:w w:val="90"/>
              </w:rPr>
              <w:t>32,558</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80" w:type="dxa"/>
            <w:vAlign w:val="bottom"/>
            <w:vMerge w:val="restart"/>
          </w:tcPr>
          <w:p>
            <w:pPr>
              <w:ind w:left="140"/>
              <w:spacing w:after="0"/>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(7)</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22,564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45.38</w:t>
            </w: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4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5"/>
              </w:rPr>
              <w:t>12/12/2017</w:t>
            </w:r>
          </w:p>
        </w:tc>
        <w:tc>
          <w:tcPr>
            <w:tcW w:w="66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restart"/>
          </w:tcPr>
          <w:p>
            <w:pPr>
              <w:jc w:val="center"/>
              <w:ind w:left="157"/>
              <w:spacing w:after="0" w:line="148" w:lineRule="exact"/>
              <w:rPr>
                <w:sz w:val="20"/>
                <w:szCs w:val="20"/>
                <w:color w:val="auto"/>
              </w:rPr>
            </w:pPr>
            <w:r>
              <w:rPr>
                <w:rFonts w:ascii="Arial" w:cs="Arial" w:eastAsia="Arial" w:hAnsi="Arial"/>
                <w:sz w:val="13"/>
                <w:szCs w:val="13"/>
                <w:color w:val="0000FF"/>
                <w:w w:val="90"/>
              </w:rPr>
              <w:t>22,564</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80" w:type="dxa"/>
            <w:vAlign w:val="bottom"/>
            <w:vMerge w:val="restart"/>
          </w:tcPr>
          <w:p>
            <w:pPr>
              <w:ind w:left="140"/>
              <w:spacing w:after="0"/>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settlement of performance share units (PSUs) that were granted under The NASDAQ OMX Group, Inc. Equity Incentive Plan on December 12, 2007. The ultimate amount of shares to be received under the grant depended upon the achievement of performance goals during a one-year performance period from January 1, 2008 through December 31, 2008. On February 25, 2009, the Management Compensation Committee of NASDAQ OMX's Board of Directors approved the settlement of the PSU grant. The shares underlying the PSUs will vest on December 31, 2011.</w:t>
      </w:r>
    </w:p>
    <w:p>
      <w:pPr>
        <w:spacing w:after="0" w:line="4" w:lineRule="exact"/>
        <w:rPr>
          <w:rFonts w:ascii="Arial" w:cs="Arial" w:eastAsia="Arial" w:hAnsi="Arial"/>
          <w:sz w:val="12"/>
          <w:szCs w:val="12"/>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(i) 7,000 shares of common stock acquired upon exercise of vested stock options, (ii) 10,870 unvested shares of restricted stock, (iii) 12,396 unvested shares underlying PSUs and (iv) 1,956 shares purchased under the Employee Stock Purchase Plan.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vested as to 100%.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vested as to 100%.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Options exercisable on December 17, 2012, subject to accelerated vesting on December 17, 2011, or extension of vesting until December 17, 2013, depending on the achievement of performance goals.</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exercisable as to 50% on December 13, 2009 and as to 50% on December 13, 2010.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exercisable on December 12, 2010.</w:t>
      </w:r>
    </w:p>
    <w:p>
      <w:pPr>
        <w:sectPr>
          <w:pgSz w:w="11900" w:h="16838" w:orient="portrait"/>
          <w:cols w:equalWidth="0" w:num="1">
            <w:col w:w="11520"/>
          </w:cols>
          <w:pgMar w:left="240" w:top="225" w:right="139" w:bottom="0" w:gutter="0" w:footer="0" w:header="0"/>
          <w:type w:val="continuous"/>
        </w:sectPr>
      </w:pPr>
    </w:p>
    <w:p>
      <w:pPr>
        <w:spacing w:after="0" w:line="8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Edward S. Knight,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98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82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0000FF"/>
        </w:rPr>
        <w:t>02/27/2009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9060" w:space="100"/>
            <w:col w:w="2360"/>
          </w:cols>
          <w:pgMar w:left="240" w:top="225" w:right="139" w:bottom="0" w:gutter="0" w:footer="0" w:header="0"/>
          <w:type w:val="continuous"/>
        </w:sectPr>
      </w:pPr>
    </w:p>
    <w:bookmarkStart w:id="1" w:name="page2"/>
    <w:bookmarkEnd w:id="1"/>
    <w:p>
      <w:pPr>
        <w:jc w:val="both"/>
        <w:ind w:right="2500" w:firstLine="8"/>
        <w:spacing w:after="0" w:line="320"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4646" TargetMode="External"/><Relationship Id="rId13"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2019-12-17T14:07:05Z</dcterms:created>
  <dcterms:modified xsi:type="dcterms:W3CDTF">2019-12-17T14:07:05Z</dcterms:modified>
</cp:coreProperties>
</file>