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84"/>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Nasdaq,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Inc. (“Nasdaq”) is filing Definitive Additional Materials contained in this Schedule 14A with the United States Securities and Exchange Commission in connection with the solicitation of proxies from its employee shareholders for its Annual Meeting of Shareholders, which meeting is to be held virtually on June 10, 2026 at 8:00 a.m. Eastern Time, at virtualshareholdermeeting.com/NDAQ2026.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2026, the following was posted on Nasdaq’s internal website:</w:t>
      </w:r>
    </w:p>
    <w:p>
      <w:pPr>
        <w:sectPr>
          <w:pgSz w:w="11900" w:h="16838" w:orient="portrait"/>
          <w:cols w:equalWidth="0" w:num="1">
            <w:col w:w="10840"/>
          </w:cols>
          <w:pgMar w:left="440" w:top="270"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Meeting Notice: </w:t>
      </w:r>
      <w:r>
        <w:rPr>
          <w:rFonts w:ascii="Times New Roman" w:cs="Times New Roman" w:eastAsia="Times New Roman" w:hAnsi="Times New Roman"/>
          <w:sz w:val="18"/>
          <w:szCs w:val="18"/>
          <w:b w:val="1"/>
          <w:bCs w:val="1"/>
          <w:color w:val="auto"/>
        </w:rPr>
        <w:t>2026 Annual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our 2026 Annual Meeting of Shareholders, which will take place virtually on </w:t>
      </w:r>
      <w:r>
        <w:rPr>
          <w:rFonts w:ascii="Times New Roman" w:cs="Times New Roman" w:eastAsia="Times New Roman" w:hAnsi="Times New Roman"/>
          <w:sz w:val="18"/>
          <w:szCs w:val="18"/>
          <w:b w:val="1"/>
          <w:bCs w:val="1"/>
          <w:color w:val="auto"/>
        </w:rPr>
        <w:t>June 10 at 8 a.m. ET/2.00 p.m. CET.</w:t>
      </w:r>
    </w:p>
    <w:p>
      <w:pPr>
        <w:spacing w:after="0" w:line="22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As a Nasdaq employee—and shareholder—we hope you’ll tune in to our 2026 Annual Meeting of Shareholders on June 10! Hear from Chair &amp; CEO, Adena Friedman, and Lead Independent Director, Mike Splinter, on the company’s latest financial performance as well as the items up for a vote.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Nasdaq’s Annual Meeting of Shareholders will take place virtually on Wednesday, June 10 at 8:00 a.m. ET. Join here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documents and shareholder voting are essential for several reasons:</w:t>
      </w:r>
    </w:p>
    <w:p>
      <w:pPr>
        <w:spacing w:after="0" w:line="127" w:lineRule="exact"/>
        <w:rPr>
          <w:sz w:val="20"/>
          <w:szCs w:val="20"/>
          <w:color w:val="auto"/>
        </w:rPr>
      </w:pPr>
    </w:p>
    <w:p>
      <w:pPr>
        <w:ind w:left="960" w:right="2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influence matters</w:t>
      </w:r>
      <w:r>
        <w:rPr>
          <w:rFonts w:ascii="Times New Roman" w:cs="Times New Roman" w:eastAsia="Times New Roman" w:hAnsi="Times New Roman"/>
          <w:sz w:val="18"/>
          <w:szCs w:val="18"/>
          <w:color w:val="auto"/>
        </w:rPr>
        <w:t>: Voting as a shareholder allows you to voice opinions on critical company decisions, from board selections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pay.</w:t>
      </w:r>
    </w:p>
    <w:p>
      <w:pPr>
        <w:spacing w:after="0" w:line="60" w:lineRule="exact"/>
        <w:rPr>
          <w:rFonts w:ascii="Times New Roman" w:cs="Times New Roman" w:eastAsia="Times New Roman" w:hAnsi="Times New Roman"/>
          <w:sz w:val="18"/>
          <w:szCs w:val="18"/>
          <w:color w:val="auto"/>
        </w:rPr>
      </w:pPr>
    </w:p>
    <w:p>
      <w:pPr>
        <w:ind w:left="960" w:right="4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 your investment</w:t>
      </w:r>
      <w:r>
        <w:rPr>
          <w:rFonts w:ascii="Times New Roman" w:cs="Times New Roman" w:eastAsia="Times New Roman" w:hAnsi="Times New Roman"/>
          <w:sz w:val="18"/>
          <w:szCs w:val="18"/>
          <w:color w:val="auto"/>
        </w:rPr>
        <w:t>: Decisions made through voting directly impact the company’s performance and your investment’s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ensuring accountability.</w:t>
      </w:r>
    </w:p>
    <w:p>
      <w:pPr>
        <w:spacing w:after="0" w:line="60" w:lineRule="exact"/>
        <w:rPr>
          <w:rFonts w:ascii="Times New Roman" w:cs="Times New Roman" w:eastAsia="Times New Roman" w:hAnsi="Times New Roman"/>
          <w:sz w:val="18"/>
          <w:szCs w:val="18"/>
          <w:color w:val="auto"/>
        </w:rPr>
      </w:pPr>
    </w:p>
    <w:p>
      <w:pPr>
        <w:ind w:left="9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Stay informed</w:t>
      </w:r>
      <w:r>
        <w:rPr>
          <w:rFonts w:ascii="Times New Roman" w:cs="Times New Roman" w:eastAsia="Times New Roman" w:hAnsi="Times New Roman"/>
          <w:sz w:val="18"/>
          <w:szCs w:val="18"/>
          <w:color w:val="auto"/>
        </w:rPr>
        <w:t>: Proxy materials offer insights into the company’s leadership and strategic plans, helping you make informed decisions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Ease of participation</w:t>
      </w:r>
      <w:r>
        <w:rPr>
          <w:rFonts w:ascii="Times New Roman" w:cs="Times New Roman" w:eastAsia="Times New Roman" w:hAnsi="Times New Roman"/>
          <w:sz w:val="18"/>
          <w:szCs w:val="18"/>
          <w:color w:val="auto"/>
        </w:rPr>
        <w:t>: Online platforms have simplified the voting process, making it accessible for all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reading proxy materials and voting, you’re exercising your rights as an owner and contributing to better corporate governance.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being voted on this year?</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summary of proposals and the Board’s recommendations below are intended to provide a general overview of voting matters and may not contain all the information that is important to you. Please review the entire Proxy Statement prior to voting.</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Election of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 12 directors to hold office until the 2027 Annual Meeting.</w:t>
      </w:r>
    </w:p>
    <w:p>
      <w:pPr>
        <w:spacing w:after="0" w:line="14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The Nominating &amp; Governance Committee has recommended, and the Board has nominated, 12 directors for election at the Annual Meeting to hold office until the 2027 Annual Meeting. We have built a highly engaged, independent Board with broad and diverse experience that is committed to representing the long-term interests of our shareholders.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Advisory Vote to Approve Executive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on an advisory (non-binding) basis, the 2025 compensation of the Company’s NEOs.</w:t>
      </w:r>
    </w:p>
    <w:p>
      <w:pPr>
        <w:spacing w:after="0" w:line="14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Our Board and the Management Compensation Committee are committed to executive compensation programs that align with our strategic priorities, business objectives, and shareholder interests. Compensation decisions are based on Nasdaq’s financial and operational performance and reflect a continued emphasis on variable, at-risk compensation paid over the long-term.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Ratification of Appointment of Independent Registered Public Accounting Firm</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2026.</w:t>
      </w:r>
    </w:p>
    <w:p>
      <w:pPr>
        <w:spacing w:after="0" w:line="7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Audit &amp; Risk Committee is directly responsible for the annual review, compensation, retention, and oversight of our independent external auditor. The Audit &amp; Risk Committee, and our Board, believe that the continued retention of Ernst &amp; Young LLP is in the best interests of Nasdaq and its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Cast your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haven’t already done so, take a minute or two to vote online.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4"/>
          <w:szCs w:val="14"/>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16510</wp:posOffset>
            </wp:positionV>
            <wp:extent cx="1397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firstLine="112"/>
        <w:spacing w:after="0" w:line="317" w:lineRule="auto"/>
        <w:rPr>
          <w:sz w:val="20"/>
          <w:szCs w:val="20"/>
          <w:color w:val="auto"/>
        </w:rPr>
      </w:pPr>
      <w:r>
        <w:rPr>
          <w:rFonts w:ascii="Times New Roman" w:cs="Times New Roman" w:eastAsia="Times New Roman" w:hAnsi="Times New Roman"/>
          <w:sz w:val="17"/>
          <w:szCs w:val="17"/>
          <w:b w:val="1"/>
          <w:bCs w:val="1"/>
          <w:color w:val="auto"/>
        </w:rPr>
        <w:t>FOR EACH OF THE 12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635" w:lineRule="exact"/>
        <w:rPr>
          <w:sz w:val="20"/>
          <w:szCs w:val="20"/>
          <w:color w:val="auto"/>
        </w:rPr>
      </w:pPr>
    </w:p>
    <w:p>
      <w:pPr>
        <w:sectPr>
          <w:pgSz w:w="11900" w:h="16838" w:orient="portrait"/>
          <w:cols w:equalWidth="0" w:num="2">
            <w:col w:w="8540" w:space="480"/>
            <w:col w:w="2000"/>
          </w:cols>
          <w:pgMar w:left="440" w:top="263" w:right="439" w:bottom="1440" w:gutter="0" w:footer="0" w:header="0"/>
        </w:sectPr>
      </w:pPr>
    </w:p>
    <w:p>
      <w:pPr>
        <w:spacing w:after="0" w:line="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Vote to make a difference: </w:t>
      </w:r>
      <w:r>
        <w:rPr>
          <w:rFonts w:ascii="Times New Roman" w:cs="Times New Roman" w:eastAsia="Times New Roman" w:hAnsi="Times New Roman"/>
          <w:sz w:val="18"/>
          <w:szCs w:val="18"/>
          <w:color w:val="auto"/>
        </w:rPr>
        <w:t>To express our appreciation for your participation, Nasdaq will make a $1 charitable donation to Accion on behalf of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unique shareholder that votes. Accion is a global nonprofit dedicated to improving the lives of underserved people by building innovative and responsible financial solutions, powering financial inclusion through digital technology.</w:t>
      </w:r>
    </w:p>
    <w:p>
      <w:pPr>
        <w:sectPr>
          <w:pgSz w:w="11900" w:h="16838" w:orient="portrait"/>
          <w:cols w:equalWidth="0" w:num="1">
            <w:col w:w="11020"/>
          </w:cols>
          <w:pgMar w:left="440" w:top="263" w:right="439" w:bottom="1440" w:gutter="0" w:footer="0" w:header="0"/>
          <w:type w:val="continuous"/>
        </w:sectPr>
      </w:pPr>
    </w:p>
    <w:bookmarkStart w:id="4" w:name="page5"/>
    <w:bookmarkEnd w:id="4"/>
    <w:p>
      <w:pPr>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Shareholders of record as of April 13, 2026 are eligible to vote. You will need your sixteen-digit control number, which you should have received via email from E*TRADE or other relevant brokerage (around the first week in May).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Tune in on June 10</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Access the virtual meeting here at 8 a.m. ET/2.00 p.m. CET. Our entire Board, as well as members of our Management Committee, will also be in attendance. Plus, if you missed the voting window, you have one last chance to do so during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about the proxy statement, the voting process, or the Annual Meeting of Shareholders, please contact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Thank you and we look forward to your participation!</w:t>
      </w:r>
    </w:p>
    <w:sectPr>
      <w:pgSz w:w="11900" w:h="16838" w:orient="portrait"/>
      <w:cols w:equalWidth="0" w:num="1">
        <w:col w:w="10960"/>
      </w:cols>
      <w:pgMar w:left="440" w:top="2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2026-05-27T15:08:56Z</dcterms:created>
  <dcterms:modified xsi:type="dcterms:W3CDTF">2026-05-27T15:08:56Z</dcterms:modified>
</cp:coreProperties>
</file>