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media/image2.gif" ContentType="image/gif"/>
  <Override PartName="/word/media/image3.gif" ContentType="image/gif"/>
  <Override PartName="/word/media/image4.gif" ContentType="image/gif"/>
  <Override PartName="/word/media/image5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6"/>
        </w:rPr>
        <w:t>UNITED STATES SECURITIES AND EXCHANGE COMMISSION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</w:rPr>
        <w:t>Washington, D.C. 20549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8"/>
        </w:rPr>
        <w:t>_______________________________</w:t>
      </w:r>
    </w:p>
    <w:p>
      <w:pPr>
        <w:pStyle w:val="TextBody"/>
        <w:bidi w:val="0"/>
        <w:spacing w:lineRule="atLeast" w:line="300" w:before="0" w:after="0"/>
        <w:jc w:val="left"/>
        <w:rPr>
          <w:sz w:val="3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6"/>
          <w:u w:val="none"/>
          <w:effect w:val="none"/>
        </w:rPr>
        <w:t>10-Q</w:t>
      </w:r>
      <w:r>
        <w:rPr>
          <w:caps w:val="false"/>
          <w:smallCaps w:val="false"/>
          <w:sz w:val="30"/>
        </w:rPr>
        <w:t xml:space="preserve"> </w:t>
      </w:r>
    </w:p>
    <w:tbl>
      <w:tblPr>
        <w:tblW w:w="97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4942"/>
        <w:gridCol w:w="4493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☒</w:t>
            </w:r>
          </w:p>
        </w:tc>
        <w:tc>
          <w:tcPr>
            <w:tcW w:w="94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QUARTERLY REPORT PURSUANT TO SECTION 13 OR 15(d) OF THE SECURITIES EXCHANGE ACT OF 1934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4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For the quarterly period ended</w:t>
            </w:r>
          </w:p>
        </w:tc>
        <w:tc>
          <w:tcPr>
            <w:tcW w:w="449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September 30, 2026</w:t>
            </w:r>
          </w:p>
        </w:tc>
      </w:tr>
      <w:tr>
        <w:trPr/>
        <w:tc>
          <w:tcPr>
            <w:tcW w:w="97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OR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4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TRANSITION REPORT PURSUANT TO SECTION 13 OR 15(d) OF THE SECURITIES EXCHANGE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ACT OF 1934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4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For the transition period </w:t>
            </w:r>
          </w:p>
        </w:tc>
        <w:tc>
          <w:tcPr>
            <w:tcW w:w="449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from ________ to ________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</w:rPr>
        <w:t xml:space="preserve">Commission file number: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001-38855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___________________________________</w:t>
      </w:r>
    </w:p>
    <w:p>
      <w:pPr>
        <w:pStyle w:val="TextBody"/>
        <w:bidi w:val="0"/>
        <w:spacing w:lineRule="atLeast" w:line="260" w:before="0" w:after="0"/>
        <w:jc w:val="left"/>
        <w:rPr>
          <w:sz w:val="2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6"/>
          <w:u w:val="none"/>
          <w:effect w:val="none"/>
        </w:rPr>
        <w:t>Nasdaq, Inc.</w:t>
      </w:r>
      <w:r>
        <w:rPr>
          <w:caps w:val="false"/>
          <w:smallCaps w:val="false"/>
          <w:sz w:val="26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</w:rPr>
        <w:t>(Exact name of registrant as specified in its charter)</w:t>
      </w:r>
    </w:p>
    <w:tbl>
      <w:tblPr>
        <w:tblW w:w="7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90"/>
        <w:gridCol w:w="2285"/>
        <w:gridCol w:w="1202"/>
        <w:gridCol w:w="1708"/>
      </w:tblGrid>
      <w:tr>
        <w:trPr/>
        <w:tc>
          <w:tcPr>
            <w:tcW w:w="2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Delaware</w:t>
            </w:r>
          </w:p>
        </w:tc>
        <w:tc>
          <w:tcPr>
            <w:tcW w:w="291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52-1165937</w:t>
            </w:r>
          </w:p>
        </w:tc>
      </w:tr>
      <w:tr>
        <w:trPr/>
        <w:tc>
          <w:tcPr>
            <w:tcW w:w="48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(State or Other Jurisdiction of Incorporation or Organization)</w:t>
            </w:r>
          </w:p>
        </w:tc>
        <w:tc>
          <w:tcPr>
            <w:tcW w:w="291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(I.R.S. Employer Identification No.)</w:t>
            </w:r>
          </w:p>
        </w:tc>
      </w:tr>
    </w:tbl>
    <w:tbl>
      <w:tblPr>
        <w:tblW w:w="447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6"/>
        <w:gridCol w:w="946"/>
        <w:gridCol w:w="901"/>
        <w:gridCol w:w="991"/>
      </w:tblGrid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151 W. 42nd Street,</w:t>
            </w:r>
          </w:p>
        </w:tc>
        <w:tc>
          <w:tcPr>
            <w:tcW w:w="9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New York,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New York</w:t>
            </w:r>
          </w:p>
        </w:tc>
        <w:tc>
          <w:tcPr>
            <w:tcW w:w="9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10036</w:t>
            </w:r>
          </w:p>
        </w:tc>
      </w:tr>
      <w:tr>
        <w:trPr/>
        <w:tc>
          <w:tcPr>
            <w:tcW w:w="3483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(Address of Principal Executive Offices)</w:t>
            </w:r>
          </w:p>
        </w:tc>
        <w:tc>
          <w:tcPr>
            <w:tcW w:w="9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(Zip Code)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</w:rPr>
        <w:t xml:space="preserve">Registrant’s telephone number, including area code: +1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212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401 8700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82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46"/>
        <w:gridCol w:w="109"/>
        <w:gridCol w:w="1456"/>
        <w:gridCol w:w="109"/>
        <w:gridCol w:w="3271"/>
      </w:tblGrid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Title of each class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Trading Symbol(s)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33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 Stock, $0.01 par value per 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NDAQ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Nasdaq Stock Market</w:t>
            </w:r>
          </w:p>
        </w:tc>
      </w:tr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 Stock, $0.01 par value per 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NDAQ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Nasdaq Texas, LLC</w:t>
            </w:r>
          </w:p>
        </w:tc>
      </w:tr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4.500% Senior Notes due 2032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NDAQ32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Nasdaq Stock Market</w:t>
            </w:r>
          </w:p>
        </w:tc>
      </w:tr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0.900% Senior Notes due 2033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NDAQ33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Nasdaq Stock Market</w:t>
            </w:r>
          </w:p>
        </w:tc>
      </w:tr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0.875% Senior Notes due 2030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NDAQ30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Nasdaq Stock Market</w:t>
            </w:r>
          </w:p>
        </w:tc>
      </w:tr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1.75% Senior Notes due 2029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NDAQ29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Nasdaq Stock Market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(1) has filed all reports required to be filed by Section 13 or 15(d) of the Securities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Exchange Act of 1934 during the preceding 12 months (or for such shorter period that the registrant was required to file such reports), and (2) has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been subject to such filing requirements for the past 90 days.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Yes</w:t>
      </w:r>
      <w:r>
        <w:rPr>
          <w:caps w:val="false"/>
          <w:smallCaps w:val="false"/>
          <w:sz w:val="24"/>
        </w:rPr>
        <w:t>  ☒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No  </w:t>
      </w:r>
      <w:r>
        <w:rPr>
          <w:caps w:val="false"/>
          <w:smallCaps w:val="false"/>
          <w:sz w:val="24"/>
        </w:rPr>
        <w:t>☐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has submitted electronically every Interactive Data File required to be submitted pursuant to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Rule 405 of Regulation S-T (§232.405 of this chapter) during the preceding 12 months (or for such shorter period that the registrant was required to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submit such files).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Yes</w:t>
      </w:r>
      <w:r>
        <w:rPr>
          <w:caps w:val="false"/>
          <w:smallCaps w:val="false"/>
          <w:sz w:val="24"/>
        </w:rPr>
        <w:t>  ☒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No  </w:t>
      </w:r>
      <w:r>
        <w:rPr>
          <w:caps w:val="false"/>
          <w:smallCaps w:val="false"/>
          <w:sz w:val="24"/>
        </w:rPr>
        <w:t>☐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is a large accelerated filer, an accelerated filer, a non-accelerated filer, a smaller reporting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company, or an emerging growth company. See the definitions of “large accelerated filer,” “accelerated filer,” “smaller reporting company” and 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emerging growth company” in Rule 12b-2 of the Exchange Act.</w:t>
      </w:r>
    </w:p>
    <w:tbl>
      <w:tblPr>
        <w:tblW w:w="475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56"/>
        <w:gridCol w:w="316"/>
        <w:gridCol w:w="2026"/>
        <w:gridCol w:w="361"/>
      </w:tblGrid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Large accelerated filer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☒</w:t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Accelerated filer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Non-accelerated filer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Smaller reporting company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Emerging growth company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period for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complying with any new or revised financial accounting standards provided pursuant to Section 13(a) of the Exchange Act.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Indicate by check mark whether the registrant is a shell company (as defined in Rule 12b-2 of the Exchange Act).    Yes 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☐</w:t>
      </w:r>
      <w:r>
        <w:rPr>
          <w:caps w:val="false"/>
          <w:smallCaps w:val="false"/>
          <w:sz w:val="24"/>
        </w:rPr>
        <w:t>   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No  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☒</w:t>
      </w:r>
      <w:r>
        <w:rPr>
          <w:caps w:val="false"/>
          <w:smallCaps w:val="false"/>
          <w:sz w:val="24"/>
        </w:rPr>
        <w:t> 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Indicate the number of shares outstanding of each of the registrant's classes of common stock, as of the latest practicable date.</w:t>
      </w:r>
    </w:p>
    <w:tbl>
      <w:tblPr>
        <w:tblW w:w="58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109"/>
        <w:gridCol w:w="1662"/>
        <w:gridCol w:w="993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Class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Outstanding at October 16, 2026</w:t>
            </w:r>
          </w:p>
        </w:tc>
      </w:tr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 Stock, $0.01 par value per 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554,962,751</w:t>
            </w:r>
          </w:p>
        </w:tc>
        <w:tc>
          <w:tcPr>
            <w:tcW w:w="99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shares</w:t>
            </w:r>
          </w:p>
        </w:tc>
      </w:tr>
    </w:tbl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8" w:type="dxa"/>
            <w:gridSpan w:val="2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 xml:space="preserve">Nasdaq, Inc. </w:t>
      </w:r>
    </w:p>
    <w:tbl>
      <w:tblPr>
        <w:tblW w:w="93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1"/>
        <w:gridCol w:w="796"/>
        <w:gridCol w:w="7366"/>
        <w:gridCol w:w="361"/>
      </w:tblGrid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0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40AE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40AEFF"/>
                <w:sz w:val="20"/>
                <w:u w:val="none"/>
                <w:effect w:val="none"/>
              </w:rPr>
              <w:t>TABLE OF CONTENTS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shd w:fill="40A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40A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shd w:fill="40A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shd w:fill="40A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40AE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40AEFF"/>
                <w:sz w:val="20"/>
                <w:u w:val="none"/>
                <w:effect w:val="none"/>
              </w:rPr>
              <w:t>PART I</w:t>
            </w:r>
          </w:p>
        </w:tc>
        <w:tc>
          <w:tcPr>
            <w:tcW w:w="816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Financial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1.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Financial Statements 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Condensed Consolidated Balance Sheets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1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Condensed Consolidated Statements of Income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2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Condensed Consolidated Statements of Comprehensive Income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3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3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Condensed Consolidated Statements of Changes in Stockholders' Equity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3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4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34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Condensed Consolidated Statements of Cash Flows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34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5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3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Notes to Condensed Consolidated Financial Statements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3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6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2.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0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Management’s Discussion and Analysis of Financial Condition and Results of Operations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0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29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 3.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7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Quantitative and Qualitative Disclosures About Market Risk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7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46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 4.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8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Controls and Procedures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8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49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shd w:fill="40A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40A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shd w:fill="40A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shd w:fill="40A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40AE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40AEFF"/>
                <w:sz w:val="20"/>
                <w:u w:val="none"/>
                <w:effect w:val="none"/>
              </w:rPr>
              <w:t>PART II</w:t>
            </w:r>
          </w:p>
        </w:tc>
        <w:tc>
          <w:tcPr>
            <w:tcW w:w="816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84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Other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1.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8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Legal Proceedings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8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49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Item 1A.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90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Risk Factors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90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50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2.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93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Unregistered Sales of Equity Securities and Use of Proceeds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93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50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5.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9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Other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19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51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6.</w:t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0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Exhibits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0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51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0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Signatures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f8aae632d9b3469db011836db6873de6_20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51</w:t>
              </w:r>
            </w:hyperlink>
          </w:p>
        </w:tc>
      </w:tr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ii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About this Form 10-Q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Throughout this Form 10-Q, unless otherwise specified: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Nasdaq,” “we,” “us” and “our” refer to Nasdaq, Inc.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Baltic” refers collectively to, Nasdaq Tallinn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AS, Nasdaq Riga, AS, and AB Nasdaq Vilnius.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Texas” refers to the cash equity exchange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operated by Nasdaq Texas, LLC, formerly Nasdaq BX.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NTX Options” refers to the options exchange operated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 Nasdaq Texas, LLC, formerly Nasdaq BX Options.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Clearing” refers to the clearing operations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conducted by Nasdaq Clearing AB.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CXC” and “Nasdaq CX2” refer to the Canadian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cash equity trading books operated by Nasdaq CXC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Limited.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First North” refers to our alternative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marketplaces for smaller companies and growth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companies in the Nordic and Baltic regions.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GEMX” refers to the options exchange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operated by Nasdaq GEMX, LLC.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ISE” refers to the options exchange operated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ISE, LLC. 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MRX” refers to the options exchange operated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 Nasdaq MRX, LLC. 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Nordic” refers collectively to, Nasdaq Clearing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AB, Nasdaq Stockholm AB, Nasdaq Copenhagen A/S,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Helsinki Ltd, and Nasdaq Iceland hf.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PHLX” refers to the options exchange operated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 Nasdaq PHLX LLC.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PSX” refers to the cash equity exchange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operated by Nasdaq PHLX LLC.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Nasdaq Options Market” refers to the options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 operated by The Nasdaq Stock Market LLC.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Nasdaq Stock Market” refers to the cash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 and listing venue operated by The Nasdaq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 Market LLC.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also provides the following list of abbreviations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acronyms used throughout this Quarterly Report on Form 10-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 as a tool for the reader.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2025 Notes: $500 million aggregate principal amount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5.650% senior unsecured notes paid at maturity on June 28,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2025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2026 Revolving Credit Facility: $1.50 billion senior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unsecured revolving credit facility, which matures on June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30, 2031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2026 Notes: $500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3.850% senior unsecured notes paid at maturity on June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30, 2026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2028 Notes: $1 billion aggregate principal amount issued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5.350% senior unsecured notes due June 28, 2028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2029 Notes: €600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1.75% senior unsecured notes due March 28, 2029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2030 Notes: €600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0.875% senior unsecured notes due February 13, 2030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2031 Notes: $650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1.650% senior unsecured notes due January 15, 2031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2032 Notes: €750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4.500% senior unsecured notes due February 15, 2032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2033 Notes: €615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0.900% senior unsecured notes due July 30, 2033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2034 Notes: $1.25 billion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5.550% senior unsecured notes due February 15, 2034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2040 Notes: $650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2.500% senior unsecured notes due December 21, 2040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2050 Notes: $500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3.250% senior unsecured notes due April 28, 2050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2052 Notes: $550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3.950% senior unsecured notes due March 7, 2052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2053 Notes: $750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5.950% senior unsecured notes due August 15, 2053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2063 Notes: $750 million aggregate principal amount issued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6.100% senior unsecured notes due June 28, 2063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Adenza: Adenza Holdings, Inc.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AI: Artificial Intelligence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ARR: Annualized Recurring Revenue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ASR: Accelerated Share Repurchase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AUM: Assets Under Management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CCP: Central Counterparty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CAT: A market-wide consolidated audit trail established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under an SEC approved plan by Nasdaq and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EMIR: European Market Infrastructure Regulation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Equity Plan: Nasdaq Equity Incentive Plan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ESPP: Nasdaq Employee Stock Purchase Plan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ETP: Exchange Traded Product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Euro Notes: The 2029, 2030, 2032 and 2033 Notes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 Act: Securities Exchange Act of 1934, as amended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FINRA: Financial Industry Regulatory Authority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GICS: Global Industry Classification Standard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IPO: Initial Public Offering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NPM: Nasdaq Private Market, LLC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NSCC: National Securities Clearing Corporation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OCC: The Options Clearing Corporation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OTC: Over-the-Counter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iii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PSU: Performance Share Unit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SaaS: Software as a Service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SEC: U.S. Securities and Exchange Commission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SERP: Supplemental Executive Retirement Plan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SFSA: Swedish Financial Supervisory Authority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SOFR: Secured Overnight Financing Rate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SPAC: Special Purpose Acquisition Company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S&amp;P: Standard &amp; Poor's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S&amp;P 500: S&amp;P 500 Stock Index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TSR: Total Shareholder Return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GAAP: U.S. Generally Accepted Accounting Principles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Tape plans: U.S. cash equity and U.S. options industry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data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NASDAQ, the NASDAQ logos, and other brand, service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product names or marks referred to in this report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trademarks or service marks, registered or otherwise,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Nasdaq, Inc. and/or its subsidiaries. FINRA and Trade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Reporting Facility are registered trademarks of FINRA.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This Quarterly Report on Form 10-Q includes market share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industry data that we obtained from industry publications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surveys, reports of governmental agencies and internal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company surveys. Industry publications and surveys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generally state that the information they contain has been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obtained from sources believed to be reliable, but we cannot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assure you that this information is accurate or complete.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have not independently verified any of the data from third-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party sources nor have we ascertained the underlying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economic assumptions relied upon therein. Statements as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market position are based on the most currently available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 data. For market comparison purposes, The Nasdaq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 Market data in this Quarterly Report on Form 10-Q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IPOs and new listings of equity securities (including issuers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that switched from other listings venues, closed-end funds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ETPs) is based on data generated internally by us;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therefore, the data may not be comparable to other publicly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available IPO data. Data in this Quarterly Report on Form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10-Q for IPOs and new listings of equity securities on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Nordic and Nasdaq Baltic exchanges and Nasdaq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First North also is based on data generated internally by us.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data regarding Nasdaq's combined market capitalization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U.S. is obtained from Bloomberg. IPOs and new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listings data is presented as of period end. While we are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aware of any misstatements regarding industry data presented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herein, our estimates involve risks and uncertainties and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subject to change based on various factors. We refer you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“Risk Factors” section in our Form 10-K for the fiscal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year ended December 31, 2025 that was filed with the SEC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 February 12, 2026.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intends to use its website, ir.nasdaq.com, as a means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disclosing material non-public information and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complying with SEC Regulation FD and other disclosure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obligations.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iv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Forward-Looking Statements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The SEC encourages companies to disclose forward-looking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information so that investors can better understand a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company’s future prospects and make informed investment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decisions. This Quarterly Report on Form 10-Q contains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these types of statements. Words such as “can,” “may,”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“</w:t>
      </w:r>
      <w:r>
        <w:rPr>
          <w:rFonts w:ascii="Times New Roman;serif" w:hAnsi="Times New Roman;serif"/>
          <w:b w:val="false"/>
          <w:i/>
          <w:sz w:val="20"/>
          <w:u w:val="single"/>
        </w:rPr>
        <w:t>will,” “could,” “should,” “anticipate,” “estimates,”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“</w:t>
      </w:r>
      <w:r>
        <w:rPr>
          <w:rFonts w:ascii="Times New Roman;serif" w:hAnsi="Times New Roman;serif"/>
          <w:b w:val="false"/>
          <w:i/>
          <w:sz w:val="20"/>
          <w:u w:val="single"/>
        </w:rPr>
        <w:t>expects,” “projects,” “intends,” “plans,” “believes” and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words or terms of similar substance used in connection with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any discussion of future expectations as to industry and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regulatory developments or business initiatives and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strategies, future operating results or financial performance,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and other future developments are intended to identify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forward-looking statements. These include, among others,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statements relating to: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our strategic direction;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the integration of acquired businesses, including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accounting decisions relating thereto;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the scope, nature or impact of acquisitions, divestitures,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investments or other transactional activities;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the effective dates for, and expected benefits of, ongoing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initiatives, including transactional activities and other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strategic, restructuring, technology, de-leveraging and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capital return initiatives;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our products and services;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the impact of pricing changes;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tax matters;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the cost and availability of liquidity and capital;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any litigation, or any regulatory or government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investigation or action, to which we are or could become a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party or which may affect us and any potential settlements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of litigation, regulatory or governmental investigations or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actions.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Forward-looking statements involve risks and uncertainties.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Factors that could cause actual results to differ materially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from those contemplated by the forward-looking statements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include, among others, the following: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our operating results may be lower than expected;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our ability to successfully integrate acquired businesses or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divest sold businesses or assets, including the fact that any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integration or transition may be more difficult, time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consuming or costly than expected, and we may be unable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to realize synergies from business combinations,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acquisitions, divestitures or other transactional activities;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loss of significant trading and clearing volumes or values,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fees, market share, listed companies, market data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customers or other customers;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our ability to develop and grow our non-trading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businesses;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our ability to keep up with rapid technological advances,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including our ability to effectively manage the development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and use of AI in certain of our products and offerings, and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adequately address cybersecurity risks;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economic, political, regulatory and market conditions and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fluctuations, including inflation, tariffs, interest rate and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foreign currency risk inherent in U.S. and international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operations, and geopolitical instability;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the performance and reliability of our technology and the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technology of third parties on which we rely;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any significant systems failures or errors in our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operational processes;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our ability to continue to generate cash and manage our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indebtedness;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adverse changes that may occur in the litigation or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regulatory areas, or in the securities markets generally, or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increased regulatory oversight domestically or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internationally.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Most of these factors are difficult to predict accurately and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are generally beyond our control. You should consider the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uncertainty and any risk related to forward-looking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statements that we make. These risk factors are more fully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described in the “Risk Factors” section in our Form 10-K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filed with the SEC on February 12, 2026. You are cautioned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not to place undue reliance on these forward-looking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statements, which speak only as of the date of this report. You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should carefully read this entire Quarterly Report on Form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10-Q, including “Part I. Item 2. Management’s Discussion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and Analysis of Financial Condition and Results of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Operations” and the condensed consolidated financial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statements and the related notes. Except as required by the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federal securities laws, we undertake no obligation to update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any forward-looking statement, release publicly any revisions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to any forward-looking statements or report the occurrence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of unanticipated events. For any forward-looking statements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contained in any document, we claim the protection of the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safe harbor for forward-looking statements contained in the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Private Securities Litigation Reform Act of 1995.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PART I - FINANCIAL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 1. Financial Statements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Nasdaq, Inc.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Balance Sheets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(in millions, except share and par value amounts)</w:t>
      </w:r>
    </w:p>
    <w:tbl>
      <w:tblPr>
        <w:tblW w:w="100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381"/>
        <w:gridCol w:w="1261"/>
        <w:gridCol w:w="109"/>
        <w:gridCol w:w="1261"/>
      </w:tblGrid>
      <w:tr>
        <w:trPr/>
        <w:tc>
          <w:tcPr>
            <w:tcW w:w="7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7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(unaudited)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Assets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Current assets: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and cash equivalents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$365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$604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Restricted cash and cash equivalents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210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Default funds and margin deposits (including restricted cash and cash equivalents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$755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and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$3,120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, respectively)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2,530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5,842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Short-term investments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Receivables, net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943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current assets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376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current assets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4,532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8,003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Property and equipment, net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767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728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Goodwill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14,247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14,371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Intangible assets, net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6,106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6,511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lease assets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447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non-current assets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1,250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993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assets</w:t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$27,383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$31,053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Current liabilities: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Accounts payable and accrued expenses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$252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$280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Section 31 fees payable to SEC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Accrued personnel costs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364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Deferred revenue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785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current liabilities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259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Default funds and margin deposits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2,530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5,842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Short-term debt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431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current liabilities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4,517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7,961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Long-term debt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8,471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8,573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Deferred tax liabilities, net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1,654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1,584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lease liabilities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462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non-current liabilities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241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liabilities</w:t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15,380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18,821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Commitments and contingencies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Equity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Nasdaq stockholders’ equity: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Common stock, $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0.01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par value,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900,000,000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shares authorized, shares issued: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583,979,697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at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September 30,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and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594,620,320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at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December 31, 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; shares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outstanding: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558,441,448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at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September 30,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and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569,894,024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at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December 31, 2025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Additional paid-in capital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4,067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5,122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Common stock in treasury, at cost: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25,538,249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shares at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September 30,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24,726,296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shares at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December 31, 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(784)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(716)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Accumulated other comprehensive loss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(1,944)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(1,773)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Retained earnings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10,654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9,588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Nasdaq stockholders’ equity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11,999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12,227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Noncontrolling interests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</w:t>
            </w:r>
          </w:p>
        </w:tc>
      </w:tr>
      <w:tr>
        <w:trPr/>
        <w:tc>
          <w:tcPr>
            <w:tcW w:w="7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equity</w:t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12,003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12,232</w:t>
            </w:r>
          </w:p>
        </w:tc>
      </w:tr>
      <w:tr>
        <w:trPr/>
        <w:tc>
          <w:tcPr>
            <w:tcW w:w="7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liabilities and equity</w:t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$27,383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$31,053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Nasdaq,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Statements of Income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(in millions, except per share amounts)</w:t>
      </w:r>
    </w:p>
    <w:tbl>
      <w:tblPr>
        <w:tblW w:w="842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61"/>
        <w:gridCol w:w="1000"/>
        <w:gridCol w:w="190"/>
        <w:gridCol w:w="1000"/>
        <w:gridCol w:w="109"/>
        <w:gridCol w:w="972"/>
        <w:gridCol w:w="153"/>
        <w:gridCol w:w="1035"/>
      </w:tblGrid>
      <w:tr>
        <w:trPr/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9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5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Revenues:</w:t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Capital Access Platforms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$641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$1,820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$1,552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Financial Technology</w:t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529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1,585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1,352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 Services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1,221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3,640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3,208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revenues</w:t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63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revenues</w:t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2,393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1,979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7,063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6,175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Transaction-based expenses:</w:t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 rebates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(623)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(658)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(2,059)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(1,882)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Brokerage, clearance and exchange fees</w:t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(289)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(616)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(436)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 less transaction-based expenses</w:t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1,481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1,315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4,388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3,857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expenses:</w:t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Compensation and benefits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379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1,118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1,033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Professional and contract services</w:t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42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124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112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Technology and communication infrastructure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93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264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236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Occupancy</w:t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103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General, administrative and other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51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Marketing and advertising</w:t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Depreciation and amortization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165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496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471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Regulatory</w:t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Merger and strategic initiatives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Restructuring charges</w:t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operating expenses</w:t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749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2,287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2,155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income</w:t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732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586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2,101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1,702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income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expense</w:t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(86)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(259)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(279)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gain (loss) on divestitures</w:t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84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income (loss)</w:t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Net income from unconsolidated investees</w:t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86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before income taxes</w:t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701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2,031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1,565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tax provision</w:t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162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466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296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income</w:t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$539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$1,565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$1,269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loss attributable to noncontrolling interests</w:t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income attributable to Nasdaq</w:t>
            </w:r>
          </w:p>
        </w:tc>
        <w:tc>
          <w:tcPr>
            <w:tcW w:w="100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$540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$1,566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$1,270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Per share information:</w:t>
            </w:r>
          </w:p>
        </w:tc>
        <w:tc>
          <w:tcPr>
            <w:tcW w:w="1000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Basic earnings per share</w:t>
            </w:r>
          </w:p>
        </w:tc>
        <w:tc>
          <w:tcPr>
            <w:tcW w:w="1000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$0.97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$0.74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$2.78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$2.21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Diluted earnings per share</w:t>
            </w:r>
          </w:p>
        </w:tc>
        <w:tc>
          <w:tcPr>
            <w:tcW w:w="1000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$0.96</w:t>
            </w:r>
          </w:p>
        </w:tc>
        <w:tc>
          <w:tcPr>
            <w:tcW w:w="1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$0.73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$2.76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$2.19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dividends declared per common share</w:t>
            </w:r>
          </w:p>
        </w:tc>
        <w:tc>
          <w:tcPr>
            <w:tcW w:w="1000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$0.31</w:t>
            </w:r>
          </w:p>
        </w:tc>
        <w:tc>
          <w:tcPr>
            <w:tcW w:w="1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$0.27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$0.89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$0.78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Nasdaq,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Statements of Comprehensive Income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(in millions)</w:t>
      </w:r>
    </w:p>
    <w:tbl>
      <w:tblPr>
        <w:tblW w:w="940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51"/>
        <w:gridCol w:w="992"/>
        <w:gridCol w:w="205"/>
        <w:gridCol w:w="992"/>
        <w:gridCol w:w="109"/>
        <w:gridCol w:w="970"/>
        <w:gridCol w:w="156"/>
        <w:gridCol w:w="1034"/>
      </w:tblGrid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495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income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$539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$1,565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$1,269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comprehensive income (loss):</w:t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Foreign currency translation gains (losses)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(62)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(138)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157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Income tax benefit (expense)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3"/>
              </w:rPr>
              <w:t>(1)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(7)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(32)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93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Foreign currency translation, net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(69)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(170)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250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Unrealized gain (loss) on derivative instruments, net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other comprehensive income (loss), net of tax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(70)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(171)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252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Comprehensive income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$469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$445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$1,394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$1,521</w:t>
            </w:r>
          </w:p>
        </w:tc>
      </w:tr>
      <w:tr>
        <w:trPr/>
        <w:tc>
          <w:tcPr>
            <w:tcW w:w="49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Comprehensive loss attributable to noncontrolling interests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49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Comprehensive income attributable to Nasdaq</w:t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$470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$445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$1,395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$1,522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</w:rPr>
        <w:t>____________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(1)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Primarily relates to the tax effect of unrealized gains and losses on our Euro Notes.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Nasdaq, Inc. 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Statements of Changes in Stockholders</w:t>
      </w:r>
      <w:r>
        <w:rPr>
          <w:caps w:val="false"/>
          <w:smallCaps w:val="false"/>
        </w:rPr>
        <w:t xml:space="preserve">’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Equity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(in millions)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49"/>
        <w:gridCol w:w="631"/>
        <w:gridCol w:w="109"/>
        <w:gridCol w:w="781"/>
        <w:gridCol w:w="109"/>
        <w:gridCol w:w="631"/>
        <w:gridCol w:w="109"/>
        <w:gridCol w:w="781"/>
        <w:gridCol w:w="109"/>
        <w:gridCol w:w="631"/>
        <w:gridCol w:w="109"/>
        <w:gridCol w:w="781"/>
        <w:gridCol w:w="109"/>
        <w:gridCol w:w="631"/>
        <w:gridCol w:w="109"/>
        <w:gridCol w:w="826"/>
      </w:tblGrid>
      <w:tr>
        <w:trPr/>
        <w:tc>
          <w:tcPr>
            <w:tcW w:w="37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96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37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1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1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1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7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$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$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$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$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stock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Additional paid-in capital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Beginning balance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4,353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5,425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5,122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5,530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 repurchase program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(333)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(115)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(1,236)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(330)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Share-based compensation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122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Issuance of stock under employee stock plans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issuances of common stock, net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Ending balance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4,067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5,351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4,067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5,351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stock in treasury, at cost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Beginning balance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(784)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(706)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(716)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(647)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Employee shares withheld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(63)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Ending balance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(784)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(710)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(784)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(710)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Accumulated other comprehensive loss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Beginning balance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(1,874)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(1,869)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(1,773)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(2,099)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comprehensive income (loss)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(171)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252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Ending balance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(1,944)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(1,847)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(1,944)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(1,847)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Retained earnings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Beginning balance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10,287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8,955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9,588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8,401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income attributable to Nasdaq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1,566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1,270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dividends declared and paid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(173)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(155)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(500)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(448)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Ending balance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10,654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9,223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10,654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9,223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Nasdaq stockholders’ equity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11,999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12,023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11,999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12,023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Noncontrolling interests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Beginning balance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Net activity related to noncontrolling interests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Ending balance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</w:tr>
      <w:tr>
        <w:trPr/>
        <w:tc>
          <w:tcPr>
            <w:tcW w:w="3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Equity</w:t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558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$12,003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$12,030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558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$12,003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$12,030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Nasdaq,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Condensed Consolidated Statements of Cash Flows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(unaudited)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(in millions)</w:t>
      </w:r>
    </w:p>
    <w:tbl>
      <w:tblPr>
        <w:tblW w:w="933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171"/>
        <w:gridCol w:w="962"/>
        <w:gridCol w:w="166"/>
        <w:gridCol w:w="1031"/>
      </w:tblGrid>
      <w:tr>
        <w:trPr/>
        <w:tc>
          <w:tcPr>
            <w:tcW w:w="7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7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 flows from operating activities:</w:t>
            </w:r>
          </w:p>
        </w:tc>
        <w:tc>
          <w:tcPr>
            <w:tcW w:w="96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Net income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$1,565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$1,269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Adjustments to reconcile net income to net cash provided by operating activities: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Depreciation and amortization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496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471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Share-based compensation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134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122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  <w:t>Deferred income tax expense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44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30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Net gain on divestitures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(84)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(37)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  <w:t>Net income from unconsolidated investees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(86)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(73)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reconciling items included in net income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15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Net change in operating assets and liabilities, excluding the effects of divestitures: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Receivables, net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(241)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172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assets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96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Accounts payable and accrued expenses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(34)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(22)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Section 31 fees payable to SEC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90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(319)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Accrued personnel costs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(38)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(25)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Deferred revenue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43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(10)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liabilities</w:t>
            </w:r>
          </w:p>
        </w:tc>
        <w:tc>
          <w:tcPr>
            <w:tcW w:w="96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(79)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(14)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1,921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1,630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 flows from investing activities:</w:t>
            </w:r>
          </w:p>
        </w:tc>
        <w:tc>
          <w:tcPr>
            <w:tcW w:w="96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Purchases of short-term investments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(1,152)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(234)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Proceeds from sales and redemptions of short-term investments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1,019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392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Purchases of corporate debt securities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(100)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Proceeds from divestitures, net of cash divested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92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52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Acquisition of businesses, net of cash and cash equivalents acquired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(58)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Purchases of property and equipment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(199)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(177)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  <w:t>Investments related to default funds and margin deposits, net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1"/>
              </w:rPr>
              <w:t>(1)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780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(419)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investing activities</w:t>
            </w:r>
          </w:p>
        </w:tc>
        <w:tc>
          <w:tcPr>
            <w:tcW w:w="96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(16)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(76)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7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7"/>
              </w:rPr>
              <w:t>Net cash provided by (used in) investing activities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(462)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 flows from financing activities:</w:t>
            </w:r>
          </w:p>
        </w:tc>
        <w:tc>
          <w:tcPr>
            <w:tcW w:w="96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Issuance of commercial paper, net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269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Repayments of debt and credit commitment 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(431)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(726)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Repurchases of common stock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(1,226)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(330)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Dividends paid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(500)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(448)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  <w:t>Proceeds from issuance of stock under employee stock plans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47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28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Payments related to employee shares withheld for taxes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(68)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(63)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Default funds and margin deposits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(3,065)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(847)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financing activities</w:t>
            </w:r>
          </w:p>
        </w:tc>
        <w:tc>
          <w:tcPr>
            <w:tcW w:w="96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(8)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7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7"/>
              </w:rPr>
              <w:t>Net cash used in financing activities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(4,982)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(2,386)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Effect of exchange rate changes on cash and cash equivalents and restricted cash and cash equivalents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(91)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653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Net decrease in cash and cash equivalents and restricted cash and cash equivalents</w:t>
            </w:r>
          </w:p>
        </w:tc>
        <w:tc>
          <w:tcPr>
            <w:tcW w:w="96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(2,786)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(565)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  <w:t>Cash and cash equivalents, restricted cash and cash equivalents</w:t>
            </w:r>
            <w:r>
              <w:rPr>
                <w:caps w:val="false"/>
                <w:smallCaps w:val="false"/>
                <w:strike w:val="false"/>
                <w:dstrike w:val="false"/>
                <w:color w:val="EE27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  <w:t>at beginning of period</w:t>
            </w:r>
          </w:p>
        </w:tc>
        <w:tc>
          <w:tcPr>
            <w:tcW w:w="96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3,934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5,006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 and cash equivalents, restricted cash and cash equivalents at end of period</w:t>
            </w:r>
          </w:p>
        </w:tc>
        <w:tc>
          <w:tcPr>
            <w:tcW w:w="96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$1,148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$4,441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Reconciliation of Cash, Cash Equivalents and Restricted Cash and Cash Equivalents</w:t>
            </w:r>
          </w:p>
        </w:tc>
        <w:tc>
          <w:tcPr>
            <w:tcW w:w="962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 and cash equivalents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$365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$470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Restricted cash and cash equivalents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28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227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Restricted cash and cash equivalents (default funds and margin deposits)</w:t>
            </w:r>
          </w:p>
        </w:tc>
        <w:tc>
          <w:tcPr>
            <w:tcW w:w="96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755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3,744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</w:t>
            </w:r>
          </w:p>
        </w:tc>
        <w:tc>
          <w:tcPr>
            <w:tcW w:w="96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$1,148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$4,441</w:t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7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7"/>
              </w:rPr>
              <w:t>Supplemental Disclosure - Cash Flow Information</w:t>
            </w:r>
          </w:p>
        </w:tc>
        <w:tc>
          <w:tcPr>
            <w:tcW w:w="962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 paid for: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Interest paid</w:t>
            </w:r>
          </w:p>
        </w:tc>
        <w:tc>
          <w:tcPr>
            <w:tcW w:w="9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$272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$283</w:t>
            </w:r>
          </w:p>
        </w:tc>
      </w:tr>
      <w:tr>
        <w:trPr/>
        <w:tc>
          <w:tcPr>
            <w:tcW w:w="7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7"/>
              </w:rPr>
              <w:t>Income taxes paid, net of refunds</w:t>
            </w:r>
          </w:p>
        </w:tc>
        <w:tc>
          <w:tcPr>
            <w:tcW w:w="9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$350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$220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6"/>
          <w:u w:val="single"/>
        </w:rPr>
        <w:t>_____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6"/>
          <w:u w:val="single"/>
        </w:rPr>
        <w:t>_____________________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 xml:space="preserve">(1)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See "Default Fund Contributions and Margin Deposits," of Note 14, "Clearing Operations," for further details.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Nasdaq,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Notes to Condensed Consolidated 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1.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ORGANIZATION AND NATURE OF OPERATIONS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is a leading technology platform that powers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world’s economies. We architect the infrastructure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world’s most modern markets, power the innovation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economy, and build trust in the financial system.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empower economic opportunity by designing and deploying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advanced technology, data, and intelligence solutions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enable our clients to capture opportunities, navigate risk,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strengthen resilience.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organizational structure aligns our businesses with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foundational shifts that are driving the evolution of the global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system. We manage, operate and provide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products and services in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segments: Capital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Access Platforms, Financial Technology and Market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Services.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Access Platforms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Capital Access Platforms segment comprises our Data &amp;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Listing Services, Index and Workflow &amp; Insights businesses.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Data business distributes historical and real-time market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data to sell-side customers, the institutional investing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community, retail online brokers, proprietary trading firms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other venues, as well as various client portals and data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distributors. Our data products can enhance the transparency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market activity within our exchanges and provide critical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information to professional and non-professional investors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globally.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Listing Services business operates listing platforms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U.S. and Europe and provides multiple global capital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raising solutions for public companies. Our main listing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markets are The Nasdaq Stock Market and the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Nordic and Nasdaq Baltic exchanges. Through Nasdaq First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North, our Nordic and Baltic operations also offer alternative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marketplaces for smaller companies and growth companies.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a total of 5,829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companies listed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securities on our U.S., Nasdaq Nordic, Nasdaq Baltic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First North exchanges. As of September 30, 2026,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there were 4,726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listings on The Nasdaq Stock Market,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1,292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ETPs. The Nasdaq combined market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capitalization in the U.S. was approximately $47.1 trillion.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Europe, the Nasdaq Nordic and Nasdaq Baltic exchanges,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together with Nasdaq First North, were home to 1,103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listed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companies with a combined market capitalization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approximately $2.4 trillion.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Index business develops and licenses Nasdaq-branded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indices and financial products. We also license cash-settled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futures, options and options on futures on our indices.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2026, 487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ETPs listed on 28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over 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countries tracked a Nasdaq index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accounted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$1.2 trillion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AUM.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Workflow &amp; Insights includes our analytics and corporate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solutions businesses. Our analytics business provides hedge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funds, asset managers, investment consultants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institutional asset owners with information and analytics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make data-driven investment decisions, deploy their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resources more productively, and provide liquidity solutions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private funds. Through our eVestment solution,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provide a suite of cloud-based solutions that help institutional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investors and consultants conduct pre-investment due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diligence, and monitor their portfolios post-investment.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eVestment platform also enables asset managers to efficiently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distribute information about their firms and funds to asset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owners and consultants worldwide. The Nasdaq Fund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Network and Nasdaq Data Link are additional platforms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suite of investment data analytics offerings and data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management tools. In October 2025, we sold our Solovis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business, a financial technology platform offering portfolio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monitoring and analytics tools. In September 2026,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acquired Dasseti, Inc., an AI-powered due diligence platform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used by institutional asset allocators and managers across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public and private markets. This business will be integrated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into our analytics business within Workflow &amp; Insights.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2026, we also completed the sale of Nasdaq Fund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Secondaries, a liquidity solution for private fund interests.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corporate solutions business serves both public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private companies and organizations through our Investor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Relations Intelligence and Governance Solutions products.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public company clients can be companies listed on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exchanges or other U.S. and global exchanges. Our private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clients include a diverse group of organizations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ranging from family-owned companies, government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organizations, law firms, privately held entities, and various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non-profit organizations to hospitals and healthcare systems.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help organizations enhance their ability to understand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expand their global shareholder base and improve corporate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governance.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August 2026, we completed the sale of Nasdaq Metrio's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platform and customer contracts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third party and also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commenced an orderly wind-down of our sustainability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advisory business. We expect this wind-down to continue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2027.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Technology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Financial Technology segment comprises our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Crime Management Technology, Regulatory Technology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Markets Technology businesses.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Crime Management Technology includes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Verafin solution, a cloud-based platform leveraging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consortium data and AI to help more than 2,800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institutions detect, investigate, and report money laundering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financial fraud.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Regulatory Technology comprises our AxiomSL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surveillance solutions. AxiomSL is a global leader in risk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data management and regulatory reporting solutions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industry, including banks, broker dealers and asset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managers. Its unique enterprise data management platform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delivers data lineage, risk aggregation, analytics, workflow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automation, reconciliation, validation and audit functionality,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well as disclosures. AxiomSL’s platform supports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compliance across a wide range of global and local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regulations. Our surveillance solutions are designed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banks, brokers and other market participants to assist them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complying with market abuse and integrity rules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regulations. In addition, we provide regulators and exchanges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a platform for surveillance.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Markets Technology includes our market technology,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trade management services and Calypso solutions.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 technology business is a leading global technology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solutions provider and partner to exchanges, clearing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organizations, central securities depositories, regulators,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banks, brokers, buy-side firms and corporate businesses.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 technology solutions are utilized by leading markets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North America, Europe and Asia as well as emerging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markets in the Middle East, Latin America, and Africa.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trade management services provide market participants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wide variety of alternatives for connecting to and accessing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markets for a fee. Our marketplaces may be accessed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different protocols used for quoting, order entry,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trade reporting and connectivity to various data feeds.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also provide colocation services to market participants,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whereby we offer firms cabinet space and power to house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their own equipment and servers within our data centers.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Additionally, we offer a number of wireless connectivity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offerings between select data centers using millimeter wave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microwave technology. Calypso is a leading platform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providing cross-asset, front-to-back trading, treasury, risk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collateral management solutions. The Calypso solution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provides customers with a single platform designed from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outset to enable consolidation, innovation and growth.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 Services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Market Services segment includes revenues from equity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derivatives trading, cash equity trading, Nordic fixed income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trading &amp; clearing and U.S. Tape plans data. We operate 18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exchanges across several asset classes, including derivatives,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equity, debt, structured products and ETPs. In addition,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certain countries where we operate exchanges, we also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provide clearing, settlement and central depository services.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first quarter of 2026, we completed the transfer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existing open positions in our Nordic power futures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a European exchange. See Note 4,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Divestitures,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further discussion. Revenues from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are reflected in Other revenues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Income for all periods presented,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in our Corporate segment for our segment disclosures.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transaction-based platforms provide market participants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the ability to access, process, display and integrate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orders and quotes. The platforms allow the routing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execution of buy and sell orders as well as the reporting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transactions, providing fee-based revenues.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third quarter of 2026, we formed Digital Liquidity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Networks, a new organization under our Market Services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segment focused on advancing the company’s leadership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digital assets and market modernization.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 xml:space="preserve">2.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BASIS OF PRESENTATION AND PRINCIPLES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CONSOLIDATION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condensed consolidated financial statements are prepared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accordance with U.S. GAAP and include the accounts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Nasdaq, its wholly-owned subsidiaries and other entities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which Nasdaq has a controlling financial interest. When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do not have a controlling interest in an entity, but exercise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significant influence over the entity’s operating and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policies, such investment is accounted for under the equity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method of accounting. We primarily recognize our share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or losses of an equity method investee based on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ownership percentage. See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 Investments,”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Note 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Investments,” for further discussion of our equity method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accompanying condensed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statements reflect all adjustments which are, in the opinion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management, necessary for a fair statement of the results.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adjustments are of a normal recurring nature. All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significant intercompany accounts and transactions have been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eliminated in consolidation.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permitted under U.S. GAAP, certain footnotes or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information can be condensed or omitted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interim condensed consolidated financial statements.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information included in this Quarterly Report on Form 10-Q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should be read in conjunction with the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statements and accompanying notes included in Nasdaq’s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Form 10-K. The year-end balance sheet data was derived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the audited financial statements, but does not include all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disclosures required by U.S. GAAP.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Certain prior year amounts have been reclassified to conform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the current year presentation.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Certain percentages and per share amounts herein may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sum or recalculate due to rounding.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Accounting Estimates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preparing our condensed consolidated financial statements,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make assumptions, judgments and estimates that can have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significant impact on our revenues, operating income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income, as well as on the value of certain assets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liabilities in our Condensed Consolidated Balance Sheets. 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least quarterly, we evaluate our assumptions, judgments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estimates, and make changes as deemed necessary.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Subsequent Events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have evaluated subsequent events through the issuance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date of this Quarterly Report on Form 10-Q. See Note 4,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Acquisitions and Divestitures,” and Note 11, “Nasdaq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Stockholders’ Equity,” for a discussion of subsequent events.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Accounting Pronouncements Not Yet Adopted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November 2024, the FASB issued ASU 2024-03,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 Statement—Reporting Comprehensive Income—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 Disaggregation Disclosures (Subtopic 220-40):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Disaggregation of Income Statement Expenses.”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guidance will require disclosures about specific types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expenses included in the expense captions presented on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face of the income statement. The update is effective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annual periods beginning after December 15, 2026,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interim periods beginning after December 15, 2027,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early adoption permitted. Prospective application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required and retrospective application is permitted. We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currently evaluating the impact of adopting this ASU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income statement disaggregation disclosures. We do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 believe this update will have a material impact on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financial statement disclosures.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September 2025, the FASB issued ASU 2025-06,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Intangibles – Goodwill and Other – Internal-Use Software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(Subtopic 350-40): Targeted Improvements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Accounting for Internal-Use Software.” The new guidance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removes references to various stages of a software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development project to align better with current software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development methods, such as agile programming.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new standard, entities will start capitalizing eligible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costs when (1) management has authorized and committed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funding the software project, and (2) it is probable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project will be completed and the software will be used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perform the function intended. The update is effective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interim and annual periods beginning after December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15, 2027, with early adoption permitted. The guidance can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 applied on a prospective basis, a modified basis for in-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process projects, or a retrospective basis. We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evaluating the impact this amended guidance may have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3.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REVENUE FROM CONTRACTS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CUSTOMERS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Disaggregation of Revenue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summarize the disaggregation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 by major product and service and by segment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2025:</w:t>
      </w:r>
    </w:p>
    <w:tbl>
      <w:tblPr>
        <w:tblW w:w="481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1003"/>
        <w:gridCol w:w="161"/>
        <w:gridCol w:w="1070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2026</w:t>
            </w:r>
          </w:p>
        </w:tc>
        <w:tc>
          <w:tcPr>
            <w:tcW w:w="1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2025</w:t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2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Capital Access Platforms: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Data &amp; Listing Services</w:t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$224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$204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Index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286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206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Workflow &amp; Insights</w:t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131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124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Financial Technology: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Financial Crime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Technology</w:t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103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84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Regulatory Technology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123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109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Capital Markets Technology</w:t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303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264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 Services, net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309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303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revenues</w:t>
            </w:r>
          </w:p>
        </w:tc>
        <w:tc>
          <w:tcPr>
            <w:tcW w:w="100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 less transaction-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based expenses</w:t>
            </w:r>
          </w:p>
        </w:tc>
        <w:tc>
          <w:tcPr>
            <w:tcW w:w="100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$1,481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$1,315</w:t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4" w:type="dxa"/>
            <w:gridSpan w:val="3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Capital Access Platforms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Data &amp; Listing Services</w:t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$655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$594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Index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778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595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Workflow &amp; Insights</w:t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387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363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Financial Technology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Financial Crime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Technology</w:t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294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241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Regulatory Technology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361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315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Capital Markets Technology</w:t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930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796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 Services, net</w:t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965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890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revenues</w:t>
            </w:r>
          </w:p>
        </w:tc>
        <w:tc>
          <w:tcPr>
            <w:tcW w:w="100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63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 less transaction-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based expenses</w:t>
            </w:r>
          </w:p>
        </w:tc>
        <w:tc>
          <w:tcPr>
            <w:tcW w:w="100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$4,388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$3,857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Substantially all revenues from the Capital Access Platforms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Financial Technology segments were recognized over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time for the three and 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 Substantially all revenues from our Market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Services segment were recognized at a point in time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same periods.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order to facilitate comparability between periods,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reclassify revenues related to divestitures or business wind-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downs to Other Revenues in the Condensed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Statements of Income for all periods presented. For the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2026, Other revenues related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Nasdaq Metrio platform and our sustainability advisory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that is in the process of being wound down.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nine months ended September 30, 2026, Other revenues also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 our Nordic power futures business and Nasdaq Fund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Secondaries. For the three and nine months ended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2025, Other revenues also included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Solovis business.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See Note 4,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Acquisitions and Divestitures,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further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discussion.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Contract Balances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ubstantially all of our revenues are considered to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revenues from contracts with customers. The related accounts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receivable balances are recorded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 as receivables, which are net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allowance for doubtful accounts of $11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 31, 2025. Changes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allowance for doubtful accounts during the nine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not material to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financial statements. We do not have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obligations for warranties, returns or refunds to customers.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Deferred revenue represents consideration received that is yet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be recognized as revenue for unsatisfied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obligations and is the only significant contract asset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liability as of September 30, 2026. See Note 7, “Deferred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Revenue,” for our discussion on deferred revenue balances,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activity, and expected timing of recognition.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do not provide disclosures about the transaction price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allocated to unsatisfied performance obligations if contract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durations are less than one year. For our initial listings,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transaction price allocated to remaining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obligations is included in deferred revenue, and therefore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below. For our Financial Crime Management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Technology, Regulatory Technology, Capital Markets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Technology and Workflow &amp; Insights contracts, the portion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transaction price allocated to unsatisfied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obligations is presented in the table below. The timing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table below is based on our best estimates as, for certain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contracts, the recognition is primarily dependent upon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completion of customization and any significant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modifications made pursuant to existing contracts.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extent consideration has been received, unsatisfied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obligations would be included in the table below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well as deferred revenue.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summarizes the amount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transaction price allocated to performance obligations that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unsatisfied, for contract durations greater than one year,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2026:</w:t>
      </w:r>
    </w:p>
    <w:tbl>
      <w:tblPr>
        <w:tblW w:w="5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"/>
        <w:gridCol w:w="901"/>
        <w:gridCol w:w="109"/>
        <w:gridCol w:w="811"/>
        <w:gridCol w:w="109"/>
        <w:gridCol w:w="811"/>
        <w:gridCol w:w="109"/>
        <w:gridCol w:w="736"/>
        <w:gridCol w:w="109"/>
        <w:gridCol w:w="646"/>
      </w:tblGrid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Financial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Crime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Management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Technology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Regulatory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Technology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Markets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Technology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Workflow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&amp;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Insights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1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Remainder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 2026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$353</w:t>
            </w:r>
          </w:p>
        </w:tc>
      </w:tr>
      <w:tr>
        <w:trPr/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2027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1,218</w:t>
            </w:r>
          </w:p>
        </w:tc>
      </w:tr>
      <w:tr>
        <w:trPr/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2028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900</w:t>
            </w:r>
          </w:p>
        </w:tc>
      </w:tr>
      <w:tr>
        <w:trPr/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2029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532</w:t>
            </w:r>
          </w:p>
        </w:tc>
      </w:tr>
      <w:tr>
        <w:trPr/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2030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289</w:t>
            </w:r>
          </w:p>
        </w:tc>
      </w:tr>
      <w:tr>
        <w:trPr/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2031+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339</w:t>
            </w:r>
          </w:p>
        </w:tc>
      </w:tr>
      <w:tr>
        <w:trPr/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9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$895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$1,037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$1,363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$3,631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4.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ACQUISITIONS AND DIVESTITURES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Acquisitions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September 2026, we completed the acquisition of Dasseti,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AI-powered due diligence and monitoring platform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consultants, institutional investors, and asset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managers. Dasseti's capabilities will be integrated into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analytics business within Workflow &amp; Insights.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 builds on our pre-existing minority investment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Dasseti.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October 2026, we acquired the remaining ownership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LeveL Holdings, LLC, parent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LeveL Markets,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LLC, or LeveL Markets, an institutional alternative trading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system and broker-dealer serving the institutional equity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trading market. Prior to the acquisition, we held a minority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LeveL Markets. Following the transaction, LeveL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Markets became a wholly owned subsidiary of Nasdaq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will be integrated into Digital Liquidity Networks, a new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organization under our Market Services segment.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Divestitures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September 2026, we completed the sale of our subsidiary,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Fund Secondaries,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NPM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exchange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additional equity interests in NPM. Following the transaction,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continue to maintain a minority interest in NPM. During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August 2026, we completed the sale of Nasdaq Metrio's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platform and customer contracts to a third party. We also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commenced an orderly wind-down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sustainability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advisory business. We expect this wind-down to continue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2027. In October 2025, Nasdaq completed the sale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Solovis business. The divestitures discussed above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previously included in Workflow &amp; Insights within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Access Platforms segment.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April 2025, Nasdaq completed the sale of our Nasdaq Risk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Modelling for Catastrophes business previously included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Markets Technology within our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Technology segment.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January 2025, we entered into an agreement to transfer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existing open positions in our Nordic power futures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a European exchange. In June 2025, this transaction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completed and partial consideration was received. Migration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open positions was completed during the first quarter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2026, resulting in an incremental gain of $88 million, net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costs to sell. This additional consideration was received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 2026. We no longer provide commodities clearing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trading services as of June 2026, and will continue to wind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down business operations through the remainder of 2026.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connection with the successful migration of open positions,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may receive additional consideration in 2027, and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expected to release regulatory capital in the medium term.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impact of the transactions described above is net of cost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sell and is included in net gain (loss) on divestitures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Statements of Income.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5.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GOODWILL AND ACQUIRED INTANGIBLE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Goodwill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the changes in goodwill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segment during the nine months ended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2026:</w:t>
      </w:r>
    </w:p>
    <w:tbl>
      <w:tblPr>
        <w:tblW w:w="43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886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Capital Access Platforms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at December 31, 2025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$4,285</w:t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Goodwill acquired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</w:t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Foreign currency translation adjustments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(83)</w:t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at September 30, 2026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$4,272</w:t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Financial Technology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at December 31, 2025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$7,952</w:t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Foreign currency translation adjustments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(13)</w:t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at September 30, 2026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$7,939</w:t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 Services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at December 31, 2025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$2,134</w:t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Foreign currency translation adjustments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(98)</w:t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at September 30, 2026</w:t>
            </w:r>
          </w:p>
        </w:tc>
        <w:tc>
          <w:tcPr>
            <w:tcW w:w="88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$2,036</w:t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at December 31, 2025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$14,371</w:t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Goodwill acquired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</w:t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Foreign currency translation adjustments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(194)</w:t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at September 30, 2026</w:t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$14,247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Goodwill represents the excess of purchase price over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value assigned to the net assets, including identifiable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intangible assets, of a business acquired. Goodwill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allocated to our reporting units based on the assignment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fair values of each reporting unit of the acquired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company. We test goodwill for impairment at the reporting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unit level annually, or in interim periods if certain events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occur indicating that the carrying amount may be impaired,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such as changes in the business climate, poor indicators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operating performance or the sale or disposition of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significant portion of a reporting unit.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There was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impairment of goodwill for the three and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2025; however,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events such as prolonged economic weakness or unexpected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significant declines in operating results of any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reporting units or businesses may result in goodwill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impairment charges in the future.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Intangible Assets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details of our total acquired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intangible assets, both finite- and indefinite-lived:</w:t>
      </w:r>
    </w:p>
    <w:tbl>
      <w:tblPr>
        <w:tblW w:w="50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71"/>
        <w:gridCol w:w="961"/>
        <w:gridCol w:w="109"/>
        <w:gridCol w:w="961"/>
      </w:tblGrid>
      <w:tr>
        <w:trPr/>
        <w:tc>
          <w:tcPr>
            <w:tcW w:w="2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September 30,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9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Finite-Lived Intangible Assets</w:t>
            </w:r>
          </w:p>
        </w:tc>
        <w:tc>
          <w:tcPr>
            <w:tcW w:w="203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9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Gross Amount: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Technology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$1,222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Customer relationships</w:t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5,645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5,711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Trade names and other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405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Foreign currency translation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adjustment</w:t>
            </w:r>
          </w:p>
        </w:tc>
        <w:tc>
          <w:tcPr>
            <w:tcW w:w="9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(170)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(163)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gross amount</w:t>
            </w:r>
          </w:p>
        </w:tc>
        <w:tc>
          <w:tcPr>
            <w:tcW w:w="9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$7,102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$7,175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Accumulated Amortization:</w:t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Technology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$(673)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$(531)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Customer relationships</w:t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(1,584)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(1,432)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Trade names and other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(53)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Foreign currency translation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adjustment</w:t>
            </w:r>
          </w:p>
        </w:tc>
        <w:tc>
          <w:tcPr>
            <w:tcW w:w="9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113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accumulated amortization</w:t>
            </w:r>
          </w:p>
        </w:tc>
        <w:tc>
          <w:tcPr>
            <w:tcW w:w="9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$(2,203)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$(1,903)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Net Amount:</w:t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Technology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$549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$691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Customer relationships</w:t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4,061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4,279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Trade names and other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352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Foreign currency translation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adjustment</w:t>
            </w:r>
          </w:p>
        </w:tc>
        <w:tc>
          <w:tcPr>
            <w:tcW w:w="9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(50)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finite-lived intangible assets</w:t>
            </w:r>
          </w:p>
        </w:tc>
        <w:tc>
          <w:tcPr>
            <w:tcW w:w="9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$4,899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$5,272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Indefinite-Lived Intangible Assets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Exchange and clearing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registrations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$1,257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$1,257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Trade names</w:t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121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Licenses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52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Foreign currency translation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adjustment</w:t>
            </w:r>
          </w:p>
        </w:tc>
        <w:tc>
          <w:tcPr>
            <w:tcW w:w="9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(221)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(191)</w:t>
            </w:r>
          </w:p>
        </w:tc>
      </w:tr>
      <w:tr>
        <w:trPr/>
        <w:tc>
          <w:tcPr>
            <w:tcW w:w="29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indefinite-lived intangible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assets</w:t>
            </w:r>
          </w:p>
        </w:tc>
        <w:tc>
          <w:tcPr>
            <w:tcW w:w="9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$1,207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$1,239</w:t>
            </w:r>
          </w:p>
        </w:tc>
      </w:tr>
      <w:tr>
        <w:trPr/>
        <w:tc>
          <w:tcPr>
            <w:tcW w:w="29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intangible assets, net</w:t>
            </w:r>
          </w:p>
        </w:tc>
        <w:tc>
          <w:tcPr>
            <w:tcW w:w="9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$6,106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$6,511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connection with the wind-down of our Nordic power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futures business during the second quarter of 2026,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recognized a $20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impairment primarily related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customer relationships and licenses. There was no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impairment of intangible assets for the three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present our amortization expense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acquired finite-lived intangible assets:</w:t>
      </w:r>
    </w:p>
    <w:tbl>
      <w:tblPr>
        <w:tblW w:w="41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06"/>
        <w:gridCol w:w="975"/>
        <w:gridCol w:w="202"/>
        <w:gridCol w:w="1058"/>
      </w:tblGrid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9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Amortization expense</w:t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$121</w:t>
            </w:r>
          </w:p>
        </w:tc>
        <w:tc>
          <w:tcPr>
            <w:tcW w:w="2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$122</w:t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9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Amortization expense</w:t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$364</w:t>
            </w:r>
          </w:p>
        </w:tc>
        <w:tc>
          <w:tcPr>
            <w:tcW w:w="2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$365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table below presents the estimated future amortization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 (excluding the impact of foreign currency translation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adjustments of $48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2026)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acquired finite-lived intangible assets as of 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2026: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81"/>
        <w:gridCol w:w="886"/>
      </w:tblGrid>
      <w:tr>
        <w:trPr/>
        <w:tc>
          <w:tcPr>
            <w:tcW w:w="1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Remainder of 2026</w:t>
            </w:r>
          </w:p>
        </w:tc>
        <w:tc>
          <w:tcPr>
            <w:tcW w:w="8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$123</w:t>
            </w:r>
          </w:p>
        </w:tc>
      </w:tr>
      <w:tr>
        <w:trPr/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2027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492</w:t>
            </w:r>
          </w:p>
        </w:tc>
      </w:tr>
      <w:tr>
        <w:trPr/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2028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459</w:t>
            </w:r>
          </w:p>
        </w:tc>
      </w:tr>
      <w:tr>
        <w:trPr/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2029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433</w:t>
            </w:r>
          </w:p>
        </w:tc>
      </w:tr>
      <w:tr>
        <w:trPr/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2030</w:t>
            </w:r>
          </w:p>
        </w:tc>
        <w:tc>
          <w:tcPr>
            <w:tcW w:w="8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271</w:t>
            </w:r>
          </w:p>
        </w:tc>
      </w:tr>
      <w:tr>
        <w:trPr/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2031+</w:t>
            </w:r>
          </w:p>
        </w:tc>
        <w:tc>
          <w:tcPr>
            <w:tcW w:w="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3,169</w:t>
            </w:r>
          </w:p>
        </w:tc>
      </w:tr>
      <w:tr>
        <w:trPr/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8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$4,947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6.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the details of our investments:</w:t>
      </w:r>
    </w:p>
    <w:tbl>
      <w:tblPr>
        <w:tblW w:w="4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6"/>
        <w:gridCol w:w="1261"/>
        <w:gridCol w:w="109"/>
        <w:gridCol w:w="1261"/>
      </w:tblGrid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Short-term investments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$28</w:t>
            </w:r>
          </w:p>
        </w:tc>
      </w:tr>
      <w:tr>
        <w:trPr/>
        <w:tc>
          <w:tcPr>
            <w:tcW w:w="2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Corporate debt securities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Equity investments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787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687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Short-Term Investments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Short-term investments are comprised of trading securities,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primarily highly rated European government debt securities,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which $134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$18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December 31, 2025,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assets primarily utilized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meet regulatory capital requirements, mainly for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operations at Nasdaq Clearing. Capital held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regulatory purposes is invested to optimize returns while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staying within approved risk tolerances. This active portfolio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management can result in investments with original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maturities of 90 days or less that qualify as cash equivalents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are included in restricted cash and cash equivalents,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with original maturities greater than 90 days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less than one year that are classified as short-term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in the Condensed Consolidated Balance Sheets.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Corporate Debt Securities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September 2026, we purchased Series E preferred stock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Payward, Inc., the parent company of Kraken,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cryptocurrency platform and digital asset infrastructure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provider, for an aggregate purchase price of $100 million.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investment is generally redeemable at cost on the tenth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anniversary of issuance at the option of Payward, Inc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Nasdaq, subject to applicable law. This investment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convertible into common stock at our option, in connection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an initial public offering that meets defined criteria, or 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issuer’s option in connection with an initial public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offering subject to certain price adjustments.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elected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 option for this investment as we believe carrying 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fair value and recognizing changes in fair value through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best reflects its underlying economics. Accordingly,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any changes in the fair value will be recognized in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 (loss) in the Condensed Consolidated Statements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Income. There was no change in the fair value for the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nine months ended September 30, 2026. This investment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included in other non-current assets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 Investments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strategic equity investments include our equity method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investments, for which we have the ability to exercise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significant influence, but not control, over the investees,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well as minority investments made through our corporate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venture program in equity securities without readily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determinable fair values and marketable equity securities.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 31, 2025, the carrying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value of our equity method investments is $614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$512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million, respectively, and the carrying value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minority equity investments is $173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 and $175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million, respectively. These investments are included in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non-current assets in the Condensed Consolidated Balance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Sheets.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equity method investments, we record our estimated pro-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rata share of earnings or losses each reporting period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record any dividends as a reduction in the investment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balance. As 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our equity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method investments primarily included our 40.0%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in OCC. Net income</w:t>
      </w:r>
      <w:r>
        <w:rPr>
          <w:caps w:val="false"/>
          <w:smallCaps w:val="false"/>
          <w:strike w:val="false"/>
          <w:dstrike w:val="false"/>
          <w:color w:val="EE2724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recognized from our equity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in the earnings and losses of these equity method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was $38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$24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respectively,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$86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$73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nine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respectively, and is included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net income from unconsolidated investees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Statements of Income.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impairments were recorded for the three and nine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majority of our equity securities as of 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do not have a readily determinable fair value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therefore we have elected the measurement alternative.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recognized a net gain from the change in the carrying value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these equity securities of $17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nine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September 30, 2026, primarily related to an upward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adjustment due to the identification of an observable price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change for a similar investment of an investee. There were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adjustments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the carrying value of these equity securities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 months ended September 30, 2026, and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 adjustments for the three and nine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2025.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mark-to-market equity securities that have a readily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determinable fair value. Gains and losses from the change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fair value of these securities were immaterial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the three and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2025. Net loss from the change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fair value of these securities was $13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nine months ended September 30, 2026.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Gains and losses from our equity securities without readily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determinable fair values and marketable equity securities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recognized in other income (loss)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Income.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7.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DEFERRED REVENUE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Deferred revenue represents consideration received that is yet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be recognized as revenue. The changes in our deferred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 during the 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reflected in the following table: </w:t>
      </w:r>
    </w:p>
    <w:tbl>
      <w:tblPr>
        <w:tblW w:w="50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11"/>
        <w:gridCol w:w="766"/>
        <w:gridCol w:w="691"/>
        <w:gridCol w:w="781"/>
        <w:gridCol w:w="841"/>
        <w:gridCol w:w="811"/>
      </w:tblGrid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  <w:u w:val="single"/>
              </w:rPr>
              <w:t xml:space="preserve">Balance 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  <w:u w:val="single"/>
              </w:rPr>
              <w:t xml:space="preserve">December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  <w:u w:val="single"/>
              </w:rPr>
              <w:t>31, 2025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  <w:t>Additions</w:t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  <w:t xml:space="preserve">Revenue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  <w:t>Recognized</w:t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  <w:t>Adjustments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  <w:t xml:space="preserve">Balance 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  <w:t xml:space="preserve">September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3"/>
                <w:u w:val="single"/>
              </w:rPr>
              <w:t>30, 2026</w:t>
            </w:r>
          </w:p>
        </w:tc>
      </w:tr>
      <w:tr>
        <w:trPr/>
        <w:tc>
          <w:tcPr>
            <w:tcW w:w="256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6"/>
              </w:rPr>
              <w:t>Capital Access Platforms:</w:t>
            </w:r>
          </w:p>
        </w:tc>
        <w:tc>
          <w:tcPr>
            <w:tcW w:w="162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Initial Listings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$96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$(30)</w:t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$(1)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$102</w:t>
            </w:r>
          </w:p>
        </w:tc>
      </w:tr>
      <w:tr>
        <w:trPr/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Annual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Listings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</w:t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</w:t>
            </w:r>
          </w:p>
        </w:tc>
      </w:tr>
      <w:tr>
        <w:trPr/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Workflow &amp;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Insights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199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179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(173)</w:t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207</w:t>
            </w:r>
          </w:p>
        </w:tc>
      </w:tr>
      <w:tr>
        <w:trPr/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(10)</w:t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</w:t>
            </w:r>
          </w:p>
        </w:tc>
      </w:tr>
      <w:tr>
        <w:trPr/>
        <w:tc>
          <w:tcPr>
            <w:tcW w:w="1877" w:type="dxa"/>
            <w:gridSpan w:val="2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Technology: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Financial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Crime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Management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Technology</w:t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189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166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(167)</w:t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188</w:t>
            </w:r>
          </w:p>
        </w:tc>
      </w:tr>
      <w:tr>
        <w:trPr/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Regulatory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Technology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166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138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(145)</w:t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159</w:t>
            </w:r>
          </w:p>
        </w:tc>
      </w:tr>
      <w:tr>
        <w:trPr/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Markets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Technology</w:t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196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</w:t>
            </w:r>
          </w:p>
        </w:tc>
        <w:tc>
          <w:tcPr>
            <w:tcW w:w="7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(141)</w:t>
            </w:r>
          </w:p>
        </w:tc>
        <w:tc>
          <w:tcPr>
            <w:tcW w:w="8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</w:t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128</w:t>
            </w:r>
          </w:p>
        </w:tc>
      </w:tr>
      <w:tr>
        <w:trPr/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$873</w:t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$709</w:t>
            </w:r>
          </w:p>
        </w:tc>
        <w:tc>
          <w:tcPr>
            <w:tcW w:w="7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$(668)</w:t>
            </w:r>
          </w:p>
        </w:tc>
        <w:tc>
          <w:tcPr>
            <w:tcW w:w="84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$(4)</w:t>
            </w:r>
          </w:p>
        </w:tc>
        <w:tc>
          <w:tcPr>
            <w:tcW w:w="8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$910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above table: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Additions include deferred revenue billed in the current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period, net of recognition.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 recognized includes revenue recognized during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current period that was included in the beginning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balance.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13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Adjustments include the impact from foreign currency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translation adjustments and the impact of any acquisitions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divestitures completed during the period.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Other, within our Capital Access Platforms segment,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primarily includes deferred revenue from our non-U.S.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listing of additional shares fees and our Index business.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we estimate that our deferred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 will be recognized in the following years:</w:t>
      </w:r>
    </w:p>
    <w:tbl>
      <w:tblPr>
        <w:tblW w:w="422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66"/>
        <w:gridCol w:w="466"/>
        <w:gridCol w:w="466"/>
        <w:gridCol w:w="406"/>
        <w:gridCol w:w="406"/>
        <w:gridCol w:w="406"/>
        <w:gridCol w:w="496"/>
        <w:gridCol w:w="511"/>
      </w:tblGrid>
      <w:tr>
        <w:trPr/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  <w:t xml:space="preserve">Fiscal year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  <w:u w:val="single"/>
              </w:rPr>
              <w:t>ended:</w:t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  <w:t>2026</w:t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  <w:t>2027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  <w:t>2028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  <w:t>2029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  <w:t>2030</w:t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  <w:u w:val="single"/>
              </w:rPr>
              <w:t>2031+</w:t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5"/>
                <w:u w:val="single"/>
              </w:rPr>
              <w:t>Total</w:t>
            </w:r>
          </w:p>
        </w:tc>
      </w:tr>
      <w:tr>
        <w:trPr/>
        <w:tc>
          <w:tcPr>
            <w:tcW w:w="199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Capital Access Platforms:</w:t>
            </w:r>
          </w:p>
        </w:tc>
        <w:tc>
          <w:tcPr>
            <w:tcW w:w="121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Initial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Listings</w:t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</w:t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$24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</w:t>
            </w:r>
          </w:p>
        </w:tc>
        <w:tc>
          <w:tcPr>
            <w:tcW w:w="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$102</w:t>
            </w:r>
          </w:p>
        </w:tc>
      </w:tr>
      <w:tr>
        <w:trPr/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Annual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Listings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102</w:t>
            </w:r>
          </w:p>
        </w:tc>
      </w:tr>
      <w:tr>
        <w:trPr/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Workflow &amp;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Insights</w:t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</w:t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112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207</w:t>
            </w:r>
          </w:p>
        </w:tc>
      </w:tr>
      <w:tr>
        <w:trPr/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Other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</w:t>
            </w:r>
          </w:p>
        </w:tc>
      </w:tr>
      <w:tr>
        <w:trPr/>
        <w:tc>
          <w:tcPr>
            <w:tcW w:w="1998" w:type="dxa"/>
            <w:gridSpan w:val="3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Financial Technology: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Financial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Crime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Management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Technology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84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100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188</w:t>
            </w:r>
          </w:p>
        </w:tc>
      </w:tr>
      <w:tr>
        <w:trPr/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Regulatory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Technology</w:t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</w:t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159</w:t>
            </w:r>
          </w:p>
        </w:tc>
      </w:tr>
      <w:tr>
        <w:trPr/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Markets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Technology</w:t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</w:t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</w:t>
            </w:r>
          </w:p>
        </w:tc>
        <w:tc>
          <w:tcPr>
            <w:tcW w:w="4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</w:t>
            </w:r>
          </w:p>
        </w:tc>
        <w:tc>
          <w:tcPr>
            <w:tcW w:w="4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4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4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5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128</w:t>
            </w:r>
          </w:p>
        </w:tc>
      </w:tr>
      <w:tr>
        <w:trPr/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$428</w:t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$406</w:t>
            </w:r>
          </w:p>
        </w:tc>
        <w:tc>
          <w:tcPr>
            <w:tcW w:w="4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$37</w:t>
            </w:r>
          </w:p>
        </w:tc>
        <w:tc>
          <w:tcPr>
            <w:tcW w:w="4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$22</w:t>
            </w:r>
          </w:p>
        </w:tc>
        <w:tc>
          <w:tcPr>
            <w:tcW w:w="4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</w:t>
            </w:r>
          </w:p>
        </w:tc>
        <w:tc>
          <w:tcPr>
            <w:tcW w:w="4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</w:t>
            </w:r>
          </w:p>
        </w:tc>
        <w:tc>
          <w:tcPr>
            <w:tcW w:w="5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$910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preceding table, 2026 represents the remaining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of 2026.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Deferred revenue that will be recognized beyond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2027 is included in other non-current liabilities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Balance Sheets. The timing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recognition of deferred revenue related to certain contracts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represents our best estimates as the recognition is primarily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dependent upon the completion of customization and 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significant modifications made pursuant to existing contracts.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8.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DEBT OBLIGATIONS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the changes in the carrying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amounts of our debt obligations during the nine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September 30, 2026:</w:t>
      </w:r>
    </w:p>
    <w:tbl>
      <w:tblPr>
        <w:tblW w:w="51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06"/>
        <w:gridCol w:w="916"/>
        <w:gridCol w:w="109"/>
        <w:gridCol w:w="691"/>
        <w:gridCol w:w="109"/>
        <w:gridCol w:w="826"/>
        <w:gridCol w:w="109"/>
        <w:gridCol w:w="796"/>
      </w:tblGrid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3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3"/>
                <w:u w:val="none"/>
                <w:effect w:val="none"/>
              </w:rPr>
              <w:t xml:space="preserve">December 31,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3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3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  <w:t>Additions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  <w:t xml:space="preserve">Payments,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  <w:t>Foreign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  <w:t>Currency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  <w:t>Translation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3"/>
              </w:rPr>
              <w:t>Accretion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3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3"/>
                <w:u w:val="none"/>
                <w:effect w:val="none"/>
              </w:rPr>
              <w:t xml:space="preserve">September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3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3"/>
                <w:u w:val="none"/>
                <w:effect w:val="none"/>
              </w:rPr>
              <w:t>30, 2026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Short-term debt:</w:t>
            </w:r>
          </w:p>
        </w:tc>
        <w:tc>
          <w:tcPr>
            <w:tcW w:w="3556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Commercial paper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$1,346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$(1,077)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$269</w:t>
            </w:r>
          </w:p>
        </w:tc>
      </w:tr>
      <w:tr>
        <w:trPr/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2026 Notes</w:t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(431)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short-term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debt</w:t>
            </w:r>
          </w:p>
        </w:tc>
        <w:tc>
          <w:tcPr>
            <w:tcW w:w="9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$1,346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$(1,508)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$269</w:t>
            </w:r>
          </w:p>
        </w:tc>
      </w:tr>
      <w:tr>
        <w:trPr/>
        <w:tc>
          <w:tcPr>
            <w:tcW w:w="5162" w:type="dxa"/>
            <w:gridSpan w:val="8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Long-term debt - senior unsecured notes: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2028 Notes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794</w:t>
            </w:r>
          </w:p>
        </w:tc>
      </w:tr>
      <w:tr>
        <w:trPr/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2029 Notes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678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2030 Notes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677</w:t>
            </w:r>
          </w:p>
        </w:tc>
      </w:tr>
      <w:tr>
        <w:trPr/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2031 Notes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647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2032 Notes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874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844</w:t>
            </w:r>
          </w:p>
        </w:tc>
      </w:tr>
      <w:tr>
        <w:trPr/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2033 Notes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694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2034 Notes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1,123</w:t>
            </w:r>
          </w:p>
        </w:tc>
      </w:tr>
      <w:tr>
        <w:trPr/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2040 Notes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645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2050 Notes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488</w:t>
            </w:r>
          </w:p>
        </w:tc>
      </w:tr>
      <w:tr>
        <w:trPr/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2052 Notes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407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2053 Notes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739</w:t>
            </w:r>
          </w:p>
        </w:tc>
      </w:tr>
      <w:tr>
        <w:trPr/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2063 Notes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739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2026 Revolving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Credit Facility</w:t>
            </w:r>
          </w:p>
        </w:tc>
        <w:tc>
          <w:tcPr>
            <w:tcW w:w="9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long-term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debt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$8,573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$(99)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$8,471</w:t>
            </w:r>
          </w:p>
        </w:tc>
      </w:tr>
      <w:tr>
        <w:trPr/>
        <w:tc>
          <w:tcPr>
            <w:tcW w:w="16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debt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obligations</w:t>
            </w:r>
          </w:p>
        </w:tc>
        <w:tc>
          <w:tcPr>
            <w:tcW w:w="91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$9,004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$(1,607)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$8,740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Senior Unsecured Notes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2040 Notes were issued at par. All of our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senior unsecured notes were issued at a discount.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a result of the discount, the proceeds received from each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issuance were less than the aggregate principal amount.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2026, the amounts in the table above reflect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carrying amount, which is net of discount and debt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issuance costs, which are being accreted and amortized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interest expense over the life of the applicable notes.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accretion of the discount and amortization of the debt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issuance costs was $7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nine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2026. Our Euro Notes are adjusted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impact of foreign currency translation. Our senior unsecured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notes are general unsecured obligations which rank equally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all of our existing and future unsubordinated obligations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are not guaranteed by any of our subsidiaries. The senior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unsecured notes were issued under indentures that, among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things, limit our ability to consolidate, merge or sell all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substantially all of our assets, create liens, and enter into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sale and leaseback transactions. The senior unsecured notes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may be redeemed by Nasdaq at any time, subject to a make-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whole amount.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14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Upon a change of control triggering event (as defined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various supplemental indentures governing the applicable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notes), the terms require us to repurchase all or part of each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holder’s notes for cash equal to 101%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aggregate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principal amount purchased plus accrued and unpaid interest,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any.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Euro Notes pay interest annually. All other notes pay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 semi-annually. The U.S. dollar senior unsecured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notes coupon rates may vary with Nasdaq’s debt rating,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extent Nasdaq is downgraded below investment grade, up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upward rate adjustment not to exceed 2%.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Investment Hedge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Euro Notes have been designated as a hedge of our net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in certain foreign subsidiaries to mitigate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foreign exchange risk associated with certain investments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subsidiaries. Accordingly, the remeasurement of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notes is recorded in foreign currency translation gains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(losses) within accumulated other comprehensive loss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Balance Sheets. For the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2026, the impact of translation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U.S. dollar value of our Euro Notes by $106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Credit Facilities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2026 Revolving Credit Facility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June 2026, we amended and restated our existing $1.25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five-year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revolving credit facility, with a new maturity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date of June 30, 2031, and increased the borrowing capacity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$1.50 billion. We intend to use funds available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 Revolving Credit Facility for general corporate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purposes and to provide liquidity to support our commercial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paper program. We are permitted to repay borrowings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2026 Revolving Credit Facility at any time in whole or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part, without penalty.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amounts were outstanding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2026 Revolving Credit Facility. The $(4)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balance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represents unamortized debt issuance costs which are being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amortized through interest expense over the life of the credit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facility.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Borrowings under the revolving credit facility and swingline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borrowings bear interest on the principal amount outstanding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a variable interest rate based on either the SOFR (or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successor rate to SOFR), the base rate (as defined in the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Revolving Credit Facility agreement), or other applicable 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respect to non-dollar borrowings, plus an applicable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margin that varies with our debt rating. We are charged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commitment fees of 0.080%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0.150%, depending on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credit rating, on undrawn amounts. These commitment fees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included in interest expense and were not material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2026 Revolving Credit Facility contains financial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operating covenants. Financial covenants include a maximum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leverage ratio. Operating covenants include, among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things, limitations on our ability to incur additional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indebtedness, grant liens on assets, dispose of assets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make certain restricted payments. The facility also contains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customary affirmative covenants, including access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statements, notice of defaults and certain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 events, maintenance of properties and insurance,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customary events of default, including cross-defaults to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 indebtedness.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2026 Revolving Credit Facility includes an option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to increase the available aggregate amount by up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$1.0 billion, subject to the consent of the lenders funding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 and certain other conditions.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maintain a U.S. dollar commercial paper program,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may utilize at various times to support liquidity needs.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This program is supported by our 2026 Revolving Credit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Facility. The effective interest rate of commercial paper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issuances fluctuates as short-term interest rates and demand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fluctuate. These fluctuations may impact our interest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expense. As of September 30, 2026, we had $269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under our commercial paper program and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balance as of December 31, 2025.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Other Credit Facilities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Certain of our European subsidiaries have several other credit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facilities, which are available in multiple currencies,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primarily to support our Nasdaq Clearing operations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Europe, as well as to provide a cash pool credit line.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credit facilities, in aggregate, totaled $192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$208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December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available liquidity, none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which was utilized.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Generally, these facilities each have a one-year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term,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renew automatically.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amounts borrowed under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various credit facilities bear interest on the principal amount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at a variable interest rate based on a base rate (as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defined in the applicable credit agreement), plus 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applicable margin. We are charged commitment fees (as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defined in the applicable credit agreement), whether or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amounts have been borrowed. These commitment fees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in interest expense and were not material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facilities include customary affirmative and negative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operating covenants and events of default.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Debt Covenants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we were in compliance with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covenants of all of our debt obligations.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9.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RETIREMENT PLANS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Defined Contribution Savings Plan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sponsor a 401(k) plan, which is a voluntary defined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contribution savings plan, for U.S. employees. Employees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immediately eligible to make contributions to the plan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also eligible for an employer contribution match at 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amount equal to 100.0%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first 6.0%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eligible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 contributions. The following table presents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savings plan expense for the three and nine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which is included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and benefits expense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Income:</w:t>
      </w:r>
    </w:p>
    <w:tbl>
      <w:tblPr>
        <w:tblW w:w="46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76"/>
        <w:gridCol w:w="602"/>
        <w:gridCol w:w="161"/>
        <w:gridCol w:w="602"/>
        <w:gridCol w:w="109"/>
        <w:gridCol w:w="564"/>
        <w:gridCol w:w="146"/>
        <w:gridCol w:w="625"/>
      </w:tblGrid>
      <w:tr>
        <w:trPr/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Nine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</w:tr>
      <w:tr>
        <w:trPr/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9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8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Savings Plan expense</w:t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$16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$16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Pension, SERP and Other Post-Retirement Benefit Plans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maintain nonqualified SERPs for certain senior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executives and other post-retirement benefit plans for eligible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employees in the U.S. Most employees outside the U.S.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covered by local retirement plans or by applicable social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laws. Benefits under social laws are generally expensed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periods in which the costs are incurred.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total expense for these plans is included in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benefits expense in the Condensed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Statements of Income:</w:t>
      </w:r>
    </w:p>
    <w:tbl>
      <w:tblPr>
        <w:tblW w:w="43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6"/>
        <w:gridCol w:w="614"/>
        <w:gridCol w:w="159"/>
        <w:gridCol w:w="592"/>
        <w:gridCol w:w="109"/>
        <w:gridCol w:w="564"/>
        <w:gridCol w:w="146"/>
        <w:gridCol w:w="625"/>
      </w:tblGrid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Nine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5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9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5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Retirement Plans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expense</w:t>
            </w:r>
          </w:p>
        </w:tc>
        <w:tc>
          <w:tcPr>
            <w:tcW w:w="6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</w:t>
            </w:r>
          </w:p>
        </w:tc>
        <w:tc>
          <w:tcPr>
            <w:tcW w:w="15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$31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Nonqualified Deferred Compensation Plan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maintain a non-qualified deferred compensation plan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senior executives that provides certain eligible employees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the opportunity to defer a portion of their annual salary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bonus up to certain approval limits. The plan is funded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corporate-owned life insurance. The cash surrender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value, or CSV, of these policies is included in other non-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current assets in the Condensed Consolidated Balance Sheets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the related deferred compensation obligations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recorded within other non-current liabilities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Sheets. Gains and losses on the CSV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recorded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Other (income) loss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Income. The related change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deferred compensation liability is included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and benefits expense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Income. The impact of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items materially offset each other.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10.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SHARE-BASED COMPENSATION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have a share-based compensation program for employees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non-employee directors. Share-based awards granted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under this program include restricted stock (consisting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restricted stock units), PSUs and stock options.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accounting purposes, we consider PSUs to be a form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restricted stock. Annual employee awards are generally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granted on or about April 1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3"/>
          <w:u w:val="none"/>
          <w:effect w:val="none"/>
        </w:rPr>
        <w:t>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each year.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Summary of Share-Based Compensation Expense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the total share-based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expense resulting from equity awards and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discount for the ESPP for the three and nine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which is primarily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in compensation and benefits expense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Statements of Income:</w:t>
      </w:r>
    </w:p>
    <w:tbl>
      <w:tblPr>
        <w:tblW w:w="41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81"/>
        <w:gridCol w:w="604"/>
        <w:gridCol w:w="156"/>
        <w:gridCol w:w="604"/>
        <w:gridCol w:w="109"/>
        <w:gridCol w:w="582"/>
        <w:gridCol w:w="120"/>
        <w:gridCol w:w="632"/>
      </w:tblGrid>
      <w:tr>
        <w:trPr/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36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Nine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</w:tr>
      <w:tr>
        <w:trPr/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2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807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Share-based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expense before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taxes</w:t>
            </w:r>
          </w:p>
        </w:tc>
        <w:tc>
          <w:tcPr>
            <w:tcW w:w="60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$47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$134</w:t>
            </w:r>
          </w:p>
        </w:tc>
        <w:tc>
          <w:tcPr>
            <w:tcW w:w="1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$122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Shares Available Under Our Equity Plan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we had approximately 20.1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common stock authorized for future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issuance under our Equity Plan.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Restricted Stock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grant restricted stock to most employees. The grant date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 of restricted stock units awarded is based on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closing stock price at the date of grant less the present value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future cash dividends. Restricted stock unit awards granted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employees below the manager level generally vest 33%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first anniversary of the grant date, 33%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the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anniversary of the grant date, and the remainder on the third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anniversary of the grant date. Restricted stock unit awards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granted to employees at or above the manager level generally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vest 33%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the second anniversary of the grant date, 33%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third anniversary of the grant date, and the remainder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fourth anniversary of the grant date.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16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summarizes our restricted stock activity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nine months ended September 30, 2026:</w:t>
      </w:r>
    </w:p>
    <w:tbl>
      <w:tblPr>
        <w:tblW w:w="4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26"/>
        <w:gridCol w:w="1201"/>
        <w:gridCol w:w="109"/>
        <w:gridCol w:w="1291"/>
      </w:tblGrid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0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Restricted Stock</w:t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2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Number of Awards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Weighted-Average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Grant Date Fair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Value</w:t>
            </w:r>
          </w:p>
        </w:tc>
      </w:tr>
      <w:tr>
        <w:trPr/>
        <w:tc>
          <w:tcPr>
            <w:tcW w:w="23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Unvested at December 31,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2025</w:t>
            </w:r>
          </w:p>
        </w:tc>
        <w:tc>
          <w:tcPr>
            <w:tcW w:w="12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3,920,464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$64.06</w:t>
            </w:r>
          </w:p>
        </w:tc>
      </w:tr>
      <w:tr>
        <w:trPr/>
        <w:tc>
          <w:tcPr>
            <w:tcW w:w="23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Granted</w:t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1,456,954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82.58</w:t>
            </w:r>
          </w:p>
        </w:tc>
      </w:tr>
      <w:tr>
        <w:trPr/>
        <w:tc>
          <w:tcPr>
            <w:tcW w:w="23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Vested</w:t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(1,306,736)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59.11</w:t>
            </w:r>
          </w:p>
        </w:tc>
      </w:tr>
      <w:tr>
        <w:trPr/>
        <w:tc>
          <w:tcPr>
            <w:tcW w:w="23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Forfeited</w:t>
            </w:r>
          </w:p>
        </w:tc>
        <w:tc>
          <w:tcPr>
            <w:tcW w:w="12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(198,074)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70.63</w:t>
            </w:r>
          </w:p>
        </w:tc>
      </w:tr>
      <w:tr>
        <w:trPr/>
        <w:tc>
          <w:tcPr>
            <w:tcW w:w="23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at September 30,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2026</w:t>
            </w:r>
          </w:p>
        </w:tc>
        <w:tc>
          <w:tcPr>
            <w:tcW w:w="12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3,872,608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$72.37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$169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total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unrecognized compensation cost related to restricted stock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expected to be recognized over a weighted-average period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2.3 years.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PSUs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grant three-year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PSUs to certain eligible employees.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PSUs are based on performance measures that impact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amount of shares that each PSU eligible individual receives,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subject to the satisfaction of applicable market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conditions, with a three-year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cumulative performance period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that vest at the end of the performance period and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settle in shares of our common stock. Compensation cost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recognized over the three-year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period, taking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into account an estimated forfeiture rate, regardless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whether the market condition is satisfied, provided that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requisite service period has been completed.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will be determined by comparing Nasdaq’s TSR to two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groups, each weighted 50.0%. The first peer group consists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S&amp;P 500 GICS 4020 Index, which is a blend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exchanges, as well as data, financial technology and banking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companies, and the second peer group consists of all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companies in the S&amp;P 500. Nasdaq’s relative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ranking against each of these groups will determine the final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number of shares delivered to each individual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program. The award issuance under this program will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between 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number of PSUs granted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will be determined by Nasdaq’s overall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against both peer groups. However, if Nasdaq’s TSR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negative for the three-year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period, regardless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TSR ranking, the award issuance will not exceed 100.0%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number of PSUs granted. We estimate the fair value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PSUs granted under the three-year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PSU program using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Monte Carlo simulation model, as these awards contain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 condition.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Grants of PSUs that were issued in 2023 with a three-year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period exceeded the applicable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metrics. As a result, an additional 121,475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above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original target amount were issued in the first quarter of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were fully vested upon issuance.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2024, we also granted PSUs with a two-year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period to certain eligible executives at the senior vice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president level and above. These PSUs were based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measures relating to the implementation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certain integration actions in connection with the Adenza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acquisition. Achievement of the targets impacted the amount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shares that each PSU eligible individual was entitled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receive. The PSUs had a two-year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period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will vest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 after the end of the performance period,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settled in shares of our common stock. The grantees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PSUs under this program were eligible to receive between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number of PSUs granted.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period for these PSUs has ended and exceeded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applicable performance metrics, and resulted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issuance of an additional 87,460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for overachievement.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shares were issued in the first quarter of 2026 and will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vest in January 2027.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weighted-average assumptions were used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determine the weighted-average fair values of the outstanding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PSU awards granted under the three-year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PSU program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the 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2025:</w:t>
      </w:r>
    </w:p>
    <w:tbl>
      <w:tblPr>
        <w:tblW w:w="41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61"/>
        <w:gridCol w:w="781"/>
        <w:gridCol w:w="109"/>
        <w:gridCol w:w="781"/>
      </w:tblGrid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 of grant date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risk-free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rate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3.80%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3.82%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Expected volatility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22.57%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23.27%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grant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 share price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$85.24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$76.10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at grant date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$100.20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$92.57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summarizes our PSU activity for the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2026:</w:t>
      </w:r>
    </w:p>
    <w:tbl>
      <w:tblPr>
        <w:tblW w:w="45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26"/>
        <w:gridCol w:w="109"/>
        <w:gridCol w:w="931"/>
        <w:gridCol w:w="109"/>
        <w:gridCol w:w="1081"/>
      </w:tblGrid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PSUs</w:t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Awards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Average Grant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Date Fair Value</w:t>
            </w:r>
          </w:p>
        </w:tc>
      </w:tr>
      <w:tr>
        <w:trPr/>
        <w:tc>
          <w:tcPr>
            <w:tcW w:w="23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Unvested at December 31,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2,378,130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$74.91</w:t>
            </w:r>
          </w:p>
        </w:tc>
      </w:tr>
      <w:tr>
        <w:trPr/>
        <w:tc>
          <w:tcPr>
            <w:tcW w:w="23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Granted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1,021,588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92.19</w:t>
            </w:r>
          </w:p>
        </w:tc>
      </w:tr>
      <w:tr>
        <w:trPr/>
        <w:tc>
          <w:tcPr>
            <w:tcW w:w="23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Vested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(778,716)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52.72</w:t>
            </w:r>
          </w:p>
        </w:tc>
      </w:tr>
      <w:tr>
        <w:trPr/>
        <w:tc>
          <w:tcPr>
            <w:tcW w:w="23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Forfeited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(19,640)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90.39</w:t>
            </w:r>
          </w:p>
        </w:tc>
      </w:tr>
      <w:tr>
        <w:trPr/>
        <w:tc>
          <w:tcPr>
            <w:tcW w:w="23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at September 30,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2,601,362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$87.13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the total unrecognized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cost related to the outstanding PSU awards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$103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is expected to be recognized over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weighted-average period of 1.2 years.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 Options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There were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 option awards granted for the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2026. There were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options exercised for the three months ended 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2026. We received net cash proceeds of $18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exercise of 806,451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 options for the nine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17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summary of our outstanding stock options at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as follows:</w:t>
      </w:r>
    </w:p>
    <w:tbl>
      <w:tblPr>
        <w:tblW w:w="48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6"/>
        <w:gridCol w:w="826"/>
        <w:gridCol w:w="721"/>
        <w:gridCol w:w="826"/>
        <w:gridCol w:w="766"/>
      </w:tblGrid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Stock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  <w:u w:val="single"/>
              </w:rPr>
              <w:t>Options</w:t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Weighted-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Exercise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  <w:u w:val="single"/>
              </w:rPr>
              <w:t>Price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Weighted-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Remaining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Contractual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Term (in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  <w:u w:val="single"/>
              </w:rPr>
              <w:t>years)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Aggregate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Intrinsic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Value (in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  <w:u w:val="single"/>
              </w:rPr>
              <w:t>millions)</w:t>
            </w:r>
          </w:p>
        </w:tc>
      </w:tr>
      <w:tr>
        <w:trPr/>
        <w:tc>
          <w:tcPr>
            <w:tcW w:w="16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Outstanding at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December 31, 2025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1,420,323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$41.79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Exercised</w:t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(806,451)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22.23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Outstanding at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September 30, 2026</w:t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613,872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$67.49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5.3</w:t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the aggregate pre-tax intrinsic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value represents the difference between our closing stock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price on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$92.01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the exercise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price, times the number of shares that would have been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received by the option holder had the option holder exercised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stock options on that date. This amount can change based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the fair market value of our common stock.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2026, no outstanding stock options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exercisable. 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ESPP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have an ESPP under which approximately 9.6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our common stock were available for future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issuance as of September 30, 2026. Under our ESPP,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employees may purchase shares having a value not exceeding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their annual compensation, subject to applicable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annual Internal Revenue Service limitations. We record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expense related to the 15.0%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discount that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given to our employees.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11.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STOCKHOLDERS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’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900,000,000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 were authorized, 583,979,697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issued and 558,441,448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were outstanding.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2025, 900,000,000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our common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 were authorized, 594,620,320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were issued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569,894,024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were outstanding. The holders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 are entitled to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vote per share, except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certificate of incorporation limits the ability of 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shareholder to vote in excess of 5.0%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then-outstanding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Nasdaq common stock.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 in Treasury, at Cost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account for the purchase of treasury stock under the cost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method with the shares of stock repurchased reflected as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reduction to Nasdaq stockholders’ equity and included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 in treasury, at cost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Sheets. Shares repurchased under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 repurchase program are currently retired and canceled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are therefore not included in the common stock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treasury balance. If treasury shares are reissued, they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recorded at the average cost of the treasury shares acquired.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held 25,538,249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common stock in treasury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24,726,296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as of December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31, 2025, most of which are related to shares of our common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 withheld for the settlement of employee tax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withholding obligations arising from the vesting of restricted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 and PSUs.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 Repurchase Program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February 2026, our board of directors authorized 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 to our share repurchase program, bringing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aggregate authorized amount to $3.0 billion. As of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2026, the remaining aggregate authorized amount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existing share repurchase program was $2.2 billion.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part of this program, repurchases may be made from time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time at prevailing market prices in open market purchases,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privately-negotiated transactions, block purchase techniques,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accelerated share repurchase program or otherwise,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determined by our management. The repurchases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primarily funded from existing cash balances. The share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repurchase program may be suspended, modified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discontinued at any time, and has no defined expiration date.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is a summary of our share repurchase activity,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reported based on settlement date, for the nine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2026:</w:t>
      </w:r>
    </w:p>
    <w:tbl>
      <w:tblPr>
        <w:tblW w:w="43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01"/>
        <w:gridCol w:w="1336"/>
      </w:tblGrid>
      <w:tr>
        <w:trPr/>
        <w:tc>
          <w:tcPr>
            <w:tcW w:w="3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Nine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</w:tr>
      <w:tr>
        <w:trPr/>
        <w:tc>
          <w:tcPr>
            <w:tcW w:w="30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Number of shares of common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repurchased</w:t>
            </w:r>
          </w:p>
        </w:tc>
        <w:tc>
          <w:tcPr>
            <w:tcW w:w="13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13,960,673</w:t>
            </w:r>
          </w:p>
        </w:tc>
      </w:tr>
      <w:tr>
        <w:trPr/>
        <w:tc>
          <w:tcPr>
            <w:tcW w:w="3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Average price paid per share </w:t>
            </w:r>
          </w:p>
        </w:tc>
        <w:tc>
          <w:tcPr>
            <w:tcW w:w="13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$87.82</w:t>
            </w:r>
          </w:p>
        </w:tc>
      </w:tr>
      <w:tr>
        <w:trPr/>
        <w:tc>
          <w:tcPr>
            <w:tcW w:w="30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Total purchase price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(in millions)</w:t>
            </w:r>
          </w:p>
        </w:tc>
        <w:tc>
          <w:tcPr>
            <w:tcW w:w="13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$1,226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table above excludes an aggregate of 811,953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withheld to satisfy tax obligations of the grantee upon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vesting of restricted stock and PSUs. Total purchase price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table above and repurchases of common stock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Statements of Cash Flows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exclude $10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accrued excise tax that had not been paid as of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2026. The table above includes shares repurchased related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ASR agreements settled in the nine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 described below.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January 2026, we entered into a variable notional ASR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agreement and paid an upfront maximum of $300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 for an initial delivery of shares of common stock.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Upon final settlement in February 2026, we received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remaining shares for a total of 3,142,730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plus $15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reflecting the difference between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prepayment and final notional amount.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July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2026, we entered into a variable notional ASR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agreement and paid an upfront maximum of $250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 for an initial delivery of shares of common stock.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Upon final settlement in September 2026, we received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remaining shares for a total of 2,175,752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plus $48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reflecting the difference between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prepayment and final notional amount.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18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October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2026, we entered into a variable notional ASR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agreement, for which we paid the maximum notional amount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$385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a third-party financial institution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 for an initial delivery of shares of common stock.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final notional amount is subject to a minimum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maximum and will depend on the price of our shares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 during the term of the ASR. The final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settlement of the ASR agreement is expected to be completed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fourth quarter of 2026.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Under ASR agreements, we make payments to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counterparties and receive an initial delivery of shares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stock. The final number of shares to be repurchased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based on the volume-weighted average price of Nasdaq's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 during the term of the ASR agreement, less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discount and subject to adjustments pursuant to the terms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ASR agreement. At settlement, our counterparty may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required to deliver additional shares of common stock to us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or, under certain circumstances, we may be required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deliver shares of our common stock or may elect to make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payment to our counterparty. Receiving our shares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stock, during initial delivery and the final receipt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upon settlement of the ASR agreements, results in 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immediate reduction of the outstanding shares used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calculate the weighted-average common shares outstanding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basic and diluted earnings per share.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Preferred Stock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certificate of incorporation authorizes the issuance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30,000,000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preferred stock, par value $0.01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share, issuable from time to time in one or more series.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 31, 2025,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preferred stock were issued or outstanding.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Dividends on Common Stock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the nine months ended September 30, 2026, our board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directors declared and paid the following cash dividends:</w:t>
      </w:r>
    </w:p>
    <w:tbl>
      <w:tblPr>
        <w:tblW w:w="481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1"/>
        <w:gridCol w:w="109"/>
        <w:gridCol w:w="901"/>
        <w:gridCol w:w="109"/>
        <w:gridCol w:w="901"/>
        <w:gridCol w:w="111"/>
        <w:gridCol w:w="617"/>
        <w:gridCol w:w="111"/>
        <w:gridCol w:w="961"/>
      </w:tblGrid>
      <w:tr>
        <w:trPr/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Declaration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Dividend Per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Record Date</w:t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Amount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Paid</w:t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Payment Date</w:t>
            </w:r>
          </w:p>
        </w:tc>
      </w:tr>
      <w:tr>
        <w:trPr/>
        <w:tc>
          <w:tcPr>
            <w:tcW w:w="9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3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9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January 28,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March 16,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$153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March 30,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</w:tr>
      <w:tr>
        <w:trPr/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April 23,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June 12,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174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June 26,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</w:tr>
      <w:tr>
        <w:trPr/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July 22,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September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11, 2026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173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September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25, 2026</w:t>
            </w:r>
          </w:p>
        </w:tc>
      </w:tr>
      <w:tr>
        <w:trPr/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$500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total amount paid of $500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recorded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retained earnings in the Condensed Consolidated Balance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Sheets at September 30, 2026.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October 2026, the board of directors approved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quarterly cash dividend of $0.31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 share on our outstanding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stock. The dividend is payable on December 18,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 to shareholders of record at the close of business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4, 2026. The estimated aggregate payment of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dividend is $173 million.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Future declarations of quarterly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dividends and the establishment of future record and payment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dates are subject to approval by the board of directors.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board of directors maintains a dividend policy with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intention to provide shareholders with regular and increasing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dividends as earnings and cash flows increase.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12.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PER SHARE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set forth the computation of basic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diluted earnings per share:</w:t>
      </w:r>
    </w:p>
    <w:tbl>
      <w:tblPr>
        <w:tblW w:w="48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6"/>
        <w:gridCol w:w="1141"/>
        <w:gridCol w:w="109"/>
        <w:gridCol w:w="1186"/>
      </w:tblGrid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43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1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Numerator:</w:t>
            </w:r>
          </w:p>
        </w:tc>
        <w:tc>
          <w:tcPr>
            <w:tcW w:w="24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(in millions, except share and per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share amounts)</w:t>
            </w:r>
          </w:p>
        </w:tc>
      </w:tr>
      <w:tr>
        <w:trPr/>
        <w:tc>
          <w:tcPr>
            <w:tcW w:w="2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Net income attributable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shareholders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$423</w:t>
            </w:r>
          </w:p>
        </w:tc>
      </w:tr>
      <w:tr>
        <w:trPr/>
        <w:tc>
          <w:tcPr>
            <w:tcW w:w="24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Denominator:</w:t>
            </w:r>
          </w:p>
        </w:tc>
        <w:tc>
          <w:tcPr>
            <w:tcW w:w="11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2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outstanding for basic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earnings per share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558,930,776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573,286,343</w:t>
            </w:r>
          </w:p>
        </w:tc>
      </w:tr>
      <w:tr>
        <w:trPr/>
        <w:tc>
          <w:tcPr>
            <w:tcW w:w="24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effect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dilutive securities -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Employee equity awards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4,382,745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5,691,159</w:t>
            </w:r>
          </w:p>
        </w:tc>
      </w:tr>
      <w:tr>
        <w:trPr/>
        <w:tc>
          <w:tcPr>
            <w:tcW w:w="2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outstanding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diluted earnings per share</w:t>
            </w:r>
          </w:p>
        </w:tc>
        <w:tc>
          <w:tcPr>
            <w:tcW w:w="11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563,313,521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578,977,502</w:t>
            </w:r>
          </w:p>
        </w:tc>
      </w:tr>
      <w:tr>
        <w:trPr/>
        <w:tc>
          <w:tcPr>
            <w:tcW w:w="4852" w:type="dxa"/>
            <w:gridSpan w:val="4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 and diluted earnings per share:</w:t>
            </w:r>
          </w:p>
        </w:tc>
      </w:tr>
      <w:tr>
        <w:trPr/>
        <w:tc>
          <w:tcPr>
            <w:tcW w:w="2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Basic earnings per share</w:t>
            </w:r>
          </w:p>
        </w:tc>
        <w:tc>
          <w:tcPr>
            <w:tcW w:w="1141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$0.74</w:t>
            </w:r>
          </w:p>
        </w:tc>
      </w:tr>
      <w:tr>
        <w:trPr/>
        <w:tc>
          <w:tcPr>
            <w:tcW w:w="24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Diluted earnings per share</w:t>
            </w:r>
          </w:p>
        </w:tc>
        <w:tc>
          <w:tcPr>
            <w:tcW w:w="1141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$0.96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$0.73</w:t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Numerator:</w:t>
            </w:r>
          </w:p>
        </w:tc>
        <w:tc>
          <w:tcPr>
            <w:tcW w:w="243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(in millions, except share and per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share amounts)</w:t>
            </w:r>
          </w:p>
        </w:tc>
      </w:tr>
      <w:tr>
        <w:trPr/>
        <w:tc>
          <w:tcPr>
            <w:tcW w:w="2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Net income attributable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shareholders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$1,566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$1,270</w:t>
            </w:r>
          </w:p>
        </w:tc>
      </w:tr>
      <w:tr>
        <w:trPr/>
        <w:tc>
          <w:tcPr>
            <w:tcW w:w="24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Denominator:</w:t>
            </w:r>
          </w:p>
        </w:tc>
        <w:tc>
          <w:tcPr>
            <w:tcW w:w="11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outstanding for basic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earnings per share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563,274,845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574,128,432</w:t>
            </w:r>
          </w:p>
        </w:tc>
      </w:tr>
      <w:tr>
        <w:trPr/>
        <w:tc>
          <w:tcPr>
            <w:tcW w:w="24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effect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dilutive securities -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Employee equity awards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4,299,644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5,178,964</w:t>
            </w:r>
          </w:p>
        </w:tc>
      </w:tr>
      <w:tr>
        <w:trPr/>
        <w:tc>
          <w:tcPr>
            <w:tcW w:w="2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outstanding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diluted earnings per share</w:t>
            </w:r>
          </w:p>
        </w:tc>
        <w:tc>
          <w:tcPr>
            <w:tcW w:w="114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567,574,489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579,307,396</w:t>
            </w:r>
          </w:p>
        </w:tc>
      </w:tr>
      <w:tr>
        <w:trPr/>
        <w:tc>
          <w:tcPr>
            <w:tcW w:w="4852" w:type="dxa"/>
            <w:gridSpan w:val="4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Basic and diluted earnings per share:</w:t>
            </w:r>
          </w:p>
        </w:tc>
      </w:tr>
      <w:tr>
        <w:trPr/>
        <w:tc>
          <w:tcPr>
            <w:tcW w:w="2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Basic earnings per share</w:t>
            </w:r>
          </w:p>
        </w:tc>
        <w:tc>
          <w:tcPr>
            <w:tcW w:w="1141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$2.78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$2.21</w:t>
            </w:r>
          </w:p>
        </w:tc>
      </w:tr>
      <w:tr>
        <w:trPr/>
        <w:tc>
          <w:tcPr>
            <w:tcW w:w="24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Diluted earnings per share</w:t>
            </w:r>
          </w:p>
        </w:tc>
        <w:tc>
          <w:tcPr>
            <w:tcW w:w="1141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$2.76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doub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$2.19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19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tables above, employee equity awards from our PSU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program, which are considered contingently issuable,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in the computation of dilutive earnings per share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weighted average basis when management determines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applicable performance criteria would have been met if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performance period ended as of the date of the relevant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computation.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Securities whose antidilutive effect were immaterial were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in the computation of diluted earnings per share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three and 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13.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 OF FINANCIAL INSTRUMENTS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present substantially all of our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assets that were measured at fair value on a recurring basis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 31, 2025.</w:t>
      </w:r>
    </w:p>
    <w:tbl>
      <w:tblPr>
        <w:tblW w:w="41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21"/>
        <w:gridCol w:w="526"/>
        <w:gridCol w:w="109"/>
        <w:gridCol w:w="541"/>
        <w:gridCol w:w="109"/>
        <w:gridCol w:w="541"/>
        <w:gridCol w:w="109"/>
        <w:gridCol w:w="586"/>
      </w:tblGrid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52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</w:tr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5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Total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Level 1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Level 2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Level 3</w:t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(in millions)</w:t>
            </w:r>
          </w:p>
        </w:tc>
      </w:tr>
      <w:tr>
        <w:trPr/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European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government debt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securities</w:t>
            </w:r>
          </w:p>
        </w:tc>
        <w:tc>
          <w:tcPr>
            <w:tcW w:w="5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short-term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investments</w:t>
            </w:r>
          </w:p>
        </w:tc>
        <w:tc>
          <w:tcPr>
            <w:tcW w:w="5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Corporate debt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securities</w:t>
            </w:r>
          </w:p>
        </w:tc>
        <w:tc>
          <w:tcPr>
            <w:tcW w:w="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</w:t>
            </w:r>
          </w:p>
        </w:tc>
      </w:tr>
      <w:tr>
        <w:trPr/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Equity securities</w:t>
            </w:r>
          </w:p>
        </w:tc>
        <w:tc>
          <w:tcPr>
            <w:tcW w:w="5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assets at fair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value</w:t>
            </w:r>
          </w:p>
        </w:tc>
        <w:tc>
          <w:tcPr>
            <w:tcW w:w="5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$100</w:t>
            </w:r>
          </w:p>
        </w:tc>
      </w:tr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1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Total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Level 1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Level 2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Level 3</w:t>
            </w:r>
          </w:p>
        </w:tc>
      </w:tr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(in millions)</w:t>
            </w:r>
          </w:p>
        </w:tc>
      </w:tr>
      <w:tr>
        <w:trPr/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European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government debt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securities</w:t>
            </w:r>
          </w:p>
        </w:tc>
        <w:tc>
          <w:tcPr>
            <w:tcW w:w="5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short-term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investments</w:t>
            </w:r>
          </w:p>
        </w:tc>
        <w:tc>
          <w:tcPr>
            <w:tcW w:w="5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Equity securities</w:t>
            </w:r>
          </w:p>
        </w:tc>
        <w:tc>
          <w:tcPr>
            <w:tcW w:w="5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assets at fair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value</w:t>
            </w:r>
          </w:p>
        </w:tc>
        <w:tc>
          <w:tcPr>
            <w:tcW w:w="5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Corporate Debt Securities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September 2026, we purchased preferred stock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Payward, Inc. for an aggregate purchase price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$100 million. See “Corporate Debt Securities,” of Note 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Investments,” for further discussion.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have elected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 option for this investment, and it is included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non-current assets in the Condensed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Balance Sheets. Accordingly, any changes in the fair value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will be recognized in other income (loss)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Income. There was no change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fair value for this investment as it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purchased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2026. This investment is classified within Level 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fair value hierarchy.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Derivative Instruments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utilize foreign exchange forward contracts primarily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reduce the volatility of earnings and cash flows associated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changes in foreign exchange rates. We use these foreign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 forward contracts as net investment hedges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certain foreign subsidiaries, with changes in fair value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recorded in accumulated other comprehensive income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Balance Sheets, and as cash flow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hedges of certain foreign currency-denominated revenues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expenses, with fair value changes initially recorded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accumulated other comprehensive income. For our cash flow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hedges, when the forecasted transaction affects earnings,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event the underlying forecasted transaction does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occur, or it becomes probable that it will not occur,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reclassify the related gain or loss to revenue or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expenses, as applicable.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also use foreign exchange forward contracts as economic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hedges of foreign currency-denominated assets and liabilities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that are not designated as hedging instruments. The fair value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changes of these contracts are recorded in general,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administrative and other expenses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Income, together with the re-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measurement gain or loss from the hedged balance sheet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position.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 derivative contracts are measured at fair value using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Level 2 inputs based on observable foreign currency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exchange rates and interest rates, and recorded under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current and other non-current assets and other current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non-current liabilities in the Condensed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Balance Sheets. As 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2025, the fair value of these contracts was not material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therefore not included in the tables above. We do not use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derivative instruments for trading or speculative purposes.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Instruments Not Measured at Fair Value on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Recurring Basis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Some of our financial instruments are not measured at fair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value on a recurring basis but are recorded at amounts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approximate fair value due to their liquid or short-term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nature. Such financial assets and financial liabilities include: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and cash equivalents, restricted cash and cash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equivalents, receivables, net, certain other current assets,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accounts payable and accrued expenses, Section 31 fees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payable to SEC, accrued personnel costs and certain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current liabilities.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also consider our debt obligations to be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instruments. As of September 30, 2026, the majority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debt obligations were fixed-rate obligations.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exposed to changes in interest rates on amounts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from the sale of commercial paper under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commercial paper program. We may also be exposed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changes in interest rates as a result of borrowings under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 Revolving Credit Facility, as the interest rates on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facility have a variable rate depending on the maturity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borrowing and the implied underlying reference rate. The fair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value of our remaining debt obligations utilizing prevailing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20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 rates for our fixed rate debt was $7.8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$8.6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December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2025. The discounted cash flow analyses are based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borrowing rates currently available to us for debt with similar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terms and maturities. Our commercial paper and our fixed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rate and floating rate debt are categorized as Level 2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 hierarchy.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further discussion of our debt obligations, see Note 8,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Debt Obligations.”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Measured at Fair Value on a Non-Recurring Basis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have certain investments, primarily our investment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OCC, which are accounted for under the equity method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accounting. We have elected the measurement alternative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 of our equity securities that do not have a readily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determinable fair value, which primarily represent various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strategic investments made through our corporate venture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program. These investments are measured at fair value on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non-recurring basis, if they are deemed to be impaired.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in equity securities without readily determinable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values are also adjusted, on a non-recurring basis, upon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observable price changes in orderly transactions for identical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similar investments of the same issuer.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See “Equity Investments,” of Note 6, “Investments,”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further discussion.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non-financial assets, which include goodwill, intangible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assets, and other long-lived assets, are not required to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carried at fair value on a recurring basis. Fair value measures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non-financial assets are primarily used in the impairment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analysis of these assets. Any resulting asset impairment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would require that the non-financial asset be recorded at 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value. Nasdaq uses Level 3 inputs to measure the fair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value of the above assets on a non-recurring basis.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 31, 2025, there were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non-financial assets measured at fair value on a non-recurring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basis.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14.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OPERATIONS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 is authorized and supervised under EMIR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multi-asset clearinghouse by the SFSA. Such authorization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effective for all member states of the European Union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certain other non-member states that are part of the European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Economic Area, including Norway. The clearinghouse acts 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CCP for exchange and OTC trades in equity derivatives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fixed income derivatives. Historically, we also acted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CCP for power derivatives and emissions allowance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derivatives. All open interest relating to these products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transferred to another exchange in March 2026. See Note 4,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Acquisitions and Divestitures,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further discussion of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transaction.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our clearing operations in the financial markets,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which includes the resale and repurchase market,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is the legal counterparty for, and guarantees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fulfillment of, each contract cleared. These contracts are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used by Nasdaq Clearing for the purpose of trading on 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own behalf. As the legal counterparty of each transaction,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 bears the counterparty risk between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purchaser and seller in the contract. In its guarantor role,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 has precisely equal and offsetting claims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from clearing members on opposite sides of each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contract, standing as the CCP on every contract cleared.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accordance with the rules and regulations of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Clearing, default fund and margin collateral requirements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calculated for each clearing member’s positions in accounts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the CCP. See “Default Fund Contributions and Margin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Deposits” below for further discussion of Nasdaq Clearing’s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default fund and margin requirements.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 maintains a member sponsored default fund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to financial markets. Under this structure,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and its clearing members must contribute to the total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regulatory capital related to the clearing operations of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Clearing. See “Default Fund Contributions” below for further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discussion of Nasdaq Clearing’s default fund. A power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assessment and a liability waterfall have also been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implemented to further align risk between Nasdaq Clearing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its clearing members. See “Power of Assessment”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Liability Waterfall” below for further discussion.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Default Fund Contributions and Margin Deposits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clearing member default fund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contributions and margin deposits were as follows:</w:t>
      </w:r>
    </w:p>
    <w:tbl>
      <w:tblPr>
        <w:tblW w:w="45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41"/>
        <w:gridCol w:w="946"/>
        <w:gridCol w:w="109"/>
        <w:gridCol w:w="946"/>
        <w:gridCol w:w="109"/>
        <w:gridCol w:w="991"/>
      </w:tblGrid>
      <w:tr>
        <w:trPr/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01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</w:tr>
      <w:tr>
        <w:trPr/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Cash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Contributions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Non-Cash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Contributions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Contributions</w:t>
            </w:r>
          </w:p>
        </w:tc>
      </w:tr>
      <w:tr>
        <w:trPr/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01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4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Default fund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contributions</w:t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$417</w:t>
            </w:r>
          </w:p>
        </w:tc>
      </w:tr>
      <w:tr>
        <w:trPr/>
        <w:tc>
          <w:tcPr>
            <w:tcW w:w="14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Margin deposits</w:t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5,692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7,903</w:t>
            </w:r>
          </w:p>
        </w:tc>
      </w:tr>
      <w:tr>
        <w:trPr/>
        <w:tc>
          <w:tcPr>
            <w:tcW w:w="14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94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$2,530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$5,790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$8,320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clearinghouse holds material amounts of clearing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member cash deposits which are held or invested primarily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provide security of capital while minimizing credit, market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liquidity risks. While we seek to achieve a reasonable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rate of return, we are primarily concerned with preservation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capital and managing the risks associated with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deposits.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member cash contributions are maintained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demand deposits held at central banks and large, highly rated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institutions or secured through direct investments,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primarily central bank certificates and highly rated European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government debt securities with original maturities primarily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 or less, reverse repurchase agreements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multilateral development bank debt securities. Investments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reverse repurchase agreements range in maturity from 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days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are secured with highly rated government securities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multilateral development banks. The carrying value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securities approximates their fair value due to the short-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term nature of the instruments and reverse repurchase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agreements.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21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 has invested the total cash contributions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$2,530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$5,842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December 31, 2025, in accordance with its investment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policy as follows:</w:t>
      </w:r>
    </w:p>
    <w:tbl>
      <w:tblPr>
        <w:tblW w:w="50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71"/>
        <w:gridCol w:w="1261"/>
        <w:gridCol w:w="109"/>
        <w:gridCol w:w="1261"/>
      </w:tblGrid>
      <w:tr>
        <w:trPr/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63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3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Demand deposits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$715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$3,011</w:t>
            </w:r>
          </w:p>
        </w:tc>
      </w:tr>
      <w:tr>
        <w:trPr/>
        <w:tc>
          <w:tcPr>
            <w:tcW w:w="23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Central bank certificates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109</w:t>
            </w:r>
          </w:p>
        </w:tc>
      </w:tr>
      <w:tr>
        <w:trPr/>
        <w:tc>
          <w:tcPr>
            <w:tcW w:w="23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Restricted cash and cash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equivalents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$755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$3,120</w:t>
            </w:r>
          </w:p>
        </w:tc>
      </w:tr>
      <w:tr>
        <w:trPr/>
        <w:tc>
          <w:tcPr>
            <w:tcW w:w="23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European government debt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securities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292</w:t>
            </w:r>
          </w:p>
        </w:tc>
      </w:tr>
      <w:tr>
        <w:trPr/>
        <w:tc>
          <w:tcPr>
            <w:tcW w:w="23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Reverse repurchase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agreements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1,311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2,245</w:t>
            </w:r>
          </w:p>
        </w:tc>
      </w:tr>
      <w:tr>
        <w:trPr/>
        <w:tc>
          <w:tcPr>
            <w:tcW w:w="23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Multilateral development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bank debt securities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185</w:t>
            </w:r>
          </w:p>
        </w:tc>
      </w:tr>
      <w:tr>
        <w:trPr/>
        <w:tc>
          <w:tcPr>
            <w:tcW w:w="23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Investments</w:t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$1,775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$2,722</w:t>
            </w:r>
          </w:p>
        </w:tc>
      </w:tr>
      <w:tr>
        <w:trPr/>
        <w:tc>
          <w:tcPr>
            <w:tcW w:w="23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$2,530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$5,842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table above, the decrease from December 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primarily due to the sale of our Nordic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power futures business and includes an unfavorable impact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currency translation adjustments of $80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restricted cash and cash equivalents and $167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investments related to default funds and margin deposits, net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includes purchases of investment securities of $101,721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$70,866 million, respectively, and proceeds 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sales and redemptions of investment securities of $102,501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$70,447 million, respectively.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investment activity related to default fund and margin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contributions, we are exposed to counterparty risk related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reverse repurchase agreement transactions, which reflect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risk that the counterparty might become insolvent and, thus,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fail to meet its obligations to Nasdaq Clearing. We mitigate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this risk by only engaging in transactions with high credit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quality reverse repurchase agreement counterparties and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limiting the acceptable collateral under the reverse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repurchase agreement to high quality issuers, primarily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government securities and other securities explicitly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guaranteed by a government. The value of the underlying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security is monitored during the lifetime of the contract,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event the market value of the underlying security falls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below the reverse repurchase amount, our clearinghouse may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 additional collateral or a reset of the contract.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Default Fund Contributions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Required contributions to the default fund are proportional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exposures of each clearing member. Clearing members’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eligible contributions may include cash and non-cash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contributions. Cash contributions received are maintained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demand deposits held at central banks and large, highly rated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institutions or invested by Nasdaq Clearing,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accordance with its investment policy, either in central bank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certificates, highly rated government debt securities, reverse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repurchase agreements with highly rated government debt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securities as collateral, or multilateral development bank debt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securities. Nasdaq Clearing maintains and manages all cash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deposits related to margin collateral. All risks and rewards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collateral ownership, including interest, belong to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Clearing. Clearing members’ cash contributions are included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default funds and margin deposits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 as both a current asset and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current liability. Non-cash contributions include highly rated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government debt securities that must meet specific criteria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approved by Nasdaq Clearing. Non-cash contributions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pledged assets that are not recorded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 as Nasdaq Clearing does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take legal ownership of these assets and the risks and rewards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remain with the clearing members. These balances may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fluctuate over time due to changes in the amount of deposits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required and whether members choose to provide cash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non-cash contributions.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addition to clearing members’ required contributions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liability waterfall, Nasdaq Clearing is also required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contribute capital to the liability waterfall and overall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regulatory capital as specified under its clearinghouse rules.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2026, Nasdaq Clearing committed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totaling $104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the liability waterfall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overall regulatory capital, in the form of government debt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securities, which are recorded as short-term investments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Condensed Consolidated Balance Sheets. The combined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regulatory capital of the clearing members and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is intended to secure the obligations of a clearing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member exceeding such member’s own margin and default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 deposits and may be used to cover losses sustained by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member in the event of a default.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Margin Deposits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 requires all clearing members to provide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collateral, which may consist of cash and non-cash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contributions, to guarantee performance on the clearing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members’ open positions, or initial margin. In addition,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members must also provide collateral to cover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daily margin call if needed. See “Default Fund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Contributions” above for further discussion of cash and non-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contributions.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Similar to default fund contributions, Nasdaq Clearing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maintains and manages all cash deposits related to margin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collateral. All risks and rewards of collateral ownership,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interest, belong to Nasdaq Clearing and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recorded in revenues. These cash deposits are recorded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default funds and margin deposits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 as both a current asset and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current liability. Pledged margin collateral is not recorded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Condensed Consolidated Balance Sheets as all risks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rewards of collateral ownership, including interest, belong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counterparty.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 marks to market all outstanding contracts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requires payment from clearing members whose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positions have lost value. The mark-to-market process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performed multiple times on a daily basis helps to identify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any clearing members that may not be able to satisfy their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obligations in a timely manner allowing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22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the ability to mitigate the risk of a clearing member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defaulting due to exceptionally large losses. In the event of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default, Nasdaq Clearing can access the defaulting member’s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margin and default fund deposits to cover the defaulting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member’s losses.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Regulatory Capital and Risk Management Calculations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 manages risk through a comprehensive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counterparty risk management framework, which comprises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policies, procedures, standards and financial resources.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level of regulatory capital is determined in accordance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Clearing’s regulatory capital and default fund policy,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approved by the SFSA. Regulatory capital calculations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continuously updated through a proprietary capital-at-risk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calculation model that establishes the appropriate level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mentioned above, Nasdaq Clearing is the legal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counterparty for each contract cleared and thereby guarantees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fulfillment of each contract. Nasdaq Clearing accounts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this guarantee as a performance guarantee. We determine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fair value of the performance guarantee by considering daily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settlement of contracts and other margining and default fund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requirements, the risk management program, historical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evidence of default payments, and the estimated probability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potential default payouts. The calculation is determined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using proprietary risk management software that simulates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gains and losses based on historical market prices, extreme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but plausible market scenarios, volatility and other factors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present at that point in time for those particular unsettled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contracts. Based on this analysis the estimated liability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nominal and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liability was recorded as of 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Power of Assessment 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further strengthen the contingent financial resources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clearinghouse, Nasdaq Clearing has power of assessment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provides the ability to collect additional funds from 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members to cover a defaulting member’s remaining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obligations up to the limits established under the terms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clearinghouse rules. The power of assessment corresponds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230%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clearing member’s aggregate contribution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default fund.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Liability Waterfall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liability waterfall is the priority order in which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resources would be utilized in the event of a default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where the defaulting clearing member’s collateral and default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fund contribution would not be sufficient to cover the cost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settle its portfolio. If a default occurs and the defaulting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member’s collateral, including cash deposits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pledged assets, is depleted, then capital is utilized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following amount and order: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junior capital contributed by Nasdaq Clearing,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totaled $16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loss-sharing pool related only to the financial market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contributed to by clearing members and only applies if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defaulting member’s portfolio includes interest 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swap products;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default fund which includes capital contributions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members on a pro-rata basis;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senior capital contributed by Nasdaq Clearing, calculated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accordance with clearinghouse rules, which totaled $16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If additional funds are needed after utilization of the liability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waterfall, or if part of the waterfall has been utilized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needs to be replenished, then Nasdaq Clearing will utilize 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power of assessment and additional capital contributions will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 required by non-defaulting members up to the limits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established under the terms of the clearinghouse rules.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addition to the capital held to withstand counterparty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defaults described above, Nasdaq Clearing also has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committed capital of $72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ensure that it can handle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orderly wind-down of its operation, and that it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adequately protected against investment, operational, legal,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business risks.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 Value of Derivative Contracts Outstanding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the market value of derivative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contracts outstanding prior to netting:</w:t>
      </w:r>
    </w:p>
    <w:tbl>
      <w:tblPr>
        <w:tblW w:w="41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306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3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8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Fixed-income swaps and forwards</w:t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$961</w:t>
            </w:r>
          </w:p>
        </w:tc>
      </w:tr>
      <w:tr>
        <w:trPr/>
        <w:tc>
          <w:tcPr>
            <w:tcW w:w="28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Stock options and forwards</w:t>
            </w:r>
          </w:p>
        </w:tc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374</w:t>
            </w:r>
          </w:p>
        </w:tc>
      </w:tr>
      <w:tr>
        <w:trPr/>
        <w:tc>
          <w:tcPr>
            <w:tcW w:w="28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Index options and forwards</w:t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172</w:t>
            </w:r>
          </w:p>
        </w:tc>
      </w:tr>
      <w:tr>
        <w:trPr/>
        <w:tc>
          <w:tcPr>
            <w:tcW w:w="28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3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$1,507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the table above: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determined the fair value of our option contracts using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standard valuation models that were based on market-based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observable inputs including implied volatility, interest rates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the spot price of the underlying instrument.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determined the fair value of our forward contracts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using standard valuation models that were based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market-based observable inputs including benchmark rates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the spot price of the underlying instrument.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23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Derivative Contracts Cleared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the total number of derivative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contracts cleared through Nasdaq Clearing for the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nine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2025:</w:t>
      </w:r>
    </w:p>
    <w:tbl>
      <w:tblPr>
        <w:tblW w:w="46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61"/>
        <w:gridCol w:w="1036"/>
        <w:gridCol w:w="109"/>
        <w:gridCol w:w="1081"/>
      </w:tblGrid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6" w:type="dxa"/>
            <w:gridSpan w:val="3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Commodity futures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forwards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59,986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191,088</w:t>
            </w:r>
          </w:p>
        </w:tc>
      </w:tr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Fixed-income swaps, futures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and forwards</w:t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14,674,211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14,269,081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Stock options, futures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forwards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19,598,045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17,875,224</w:t>
            </w:r>
          </w:p>
        </w:tc>
      </w:tr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Index options, futures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forwards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21,983,458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23,362,390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03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56,315,700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55,697,783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Resale and Repurchase Agreements Contracts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and Cleared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outstanding contract value of resale and repurchase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agreements was $1.2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number of resale and repurchase agreements contracts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cleared was 2,037,195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2,812,945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nine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15.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LEASES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11111"/>
          <w:sz w:val="20"/>
          <w:u w:val="none"/>
          <w:effect w:val="none"/>
        </w:rPr>
        <w:t>We have operating leases, which are primarily real estate</w:t>
      </w:r>
      <w:r>
        <w:rPr>
          <w:caps w:val="false"/>
          <w:smallCaps w:val="false"/>
          <w:strike w:val="false"/>
          <w:dstrike w:val="false"/>
          <w:color w:val="111111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11111"/>
          <w:sz w:val="20"/>
          <w:u w:val="none"/>
          <w:effect w:val="none"/>
        </w:rPr>
        <w:t>leases, predominantly for our U.S. and European</w:t>
      </w:r>
      <w:r>
        <w:rPr>
          <w:caps w:val="false"/>
          <w:smallCaps w:val="false"/>
          <w:strike w:val="false"/>
          <w:dstrike w:val="false"/>
          <w:color w:val="111111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11111"/>
          <w:sz w:val="20"/>
          <w:u w:val="none"/>
          <w:effect w:val="none"/>
        </w:rPr>
        <w:t>headquarters, data centers and for general office space. The</w:t>
      </w:r>
      <w:r>
        <w:rPr>
          <w:caps w:val="false"/>
          <w:smallCaps w:val="false"/>
          <w:strike w:val="false"/>
          <w:dstrike w:val="false"/>
          <w:color w:val="111111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11111"/>
          <w:sz w:val="20"/>
          <w:u w:val="none"/>
          <w:effect w:val="none"/>
        </w:rPr>
        <w:t>following table provides supplemental balance sheet</w:t>
      </w:r>
      <w:r>
        <w:rPr>
          <w:caps w:val="false"/>
          <w:smallCaps w:val="false"/>
          <w:strike w:val="false"/>
          <w:dstrike w:val="false"/>
          <w:color w:val="111111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11111"/>
          <w:sz w:val="20"/>
          <w:u w:val="none"/>
          <w:effect w:val="none"/>
        </w:rPr>
        <w:t>information related to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’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111111"/>
          <w:sz w:val="20"/>
          <w:u w:val="none"/>
          <w:effect w:val="none"/>
        </w:rPr>
        <w:t>s operating leases:</w:t>
      </w:r>
    </w:p>
    <w:tbl>
      <w:tblPr>
        <w:tblW w:w="51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1"/>
        <w:gridCol w:w="109"/>
        <w:gridCol w:w="1216"/>
        <w:gridCol w:w="109"/>
        <w:gridCol w:w="1261"/>
        <w:gridCol w:w="109"/>
        <w:gridCol w:w="1261"/>
      </w:tblGrid>
      <w:tr>
        <w:trPr/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Balance Sheet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Classification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Assets: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lease 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$481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$447</w:t>
            </w:r>
          </w:p>
        </w:tc>
      </w:tr>
      <w:tr>
        <w:trPr/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Liabilities: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Current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Other current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$60</w:t>
            </w:r>
          </w:p>
        </w:tc>
      </w:tr>
      <w:tr>
        <w:trPr/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current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462</w:t>
            </w:r>
          </w:p>
        </w:tc>
      </w:tr>
      <w:tr>
        <w:trPr/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lease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$522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summarizes Nasdaq’s lease cost: </w:t>
      </w:r>
    </w:p>
    <w:tbl>
      <w:tblPr>
        <w:tblW w:w="45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6"/>
        <w:gridCol w:w="604"/>
        <w:gridCol w:w="156"/>
        <w:gridCol w:w="604"/>
        <w:gridCol w:w="109"/>
        <w:gridCol w:w="638"/>
        <w:gridCol w:w="132"/>
        <w:gridCol w:w="565"/>
      </w:tblGrid>
      <w:tr>
        <w:trPr/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Nine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</w:tr>
      <w:tr>
        <w:trPr/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3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8" w:type="dxa"/>
            <w:gridSpan w:val="7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lease cost</w:t>
            </w:r>
          </w:p>
        </w:tc>
        <w:tc>
          <w:tcPr>
            <w:tcW w:w="60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$24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$70</w:t>
            </w:r>
          </w:p>
        </w:tc>
        <w:tc>
          <w:tcPr>
            <w:tcW w:w="1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$60</w:t>
            </w:r>
          </w:p>
        </w:tc>
      </w:tr>
      <w:tr>
        <w:trPr/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Variable lease cost</w:t>
            </w:r>
          </w:p>
        </w:tc>
        <w:tc>
          <w:tcPr>
            <w:tcW w:w="60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</w:t>
            </w:r>
          </w:p>
        </w:tc>
        <w:tc>
          <w:tcPr>
            <w:tcW w:w="1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</w:t>
            </w:r>
          </w:p>
        </w:tc>
      </w:tr>
      <w:tr>
        <w:trPr/>
        <w:tc>
          <w:tcPr>
            <w:tcW w:w="17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Sublease income</w:t>
            </w:r>
          </w:p>
        </w:tc>
        <w:tc>
          <w:tcPr>
            <w:tcW w:w="60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(2)</w:t>
            </w:r>
          </w:p>
        </w:tc>
        <w:tc>
          <w:tcPr>
            <w:tcW w:w="1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17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lease cost</w:t>
            </w:r>
          </w:p>
        </w:tc>
        <w:tc>
          <w:tcPr>
            <w:tcW w:w="60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$34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$103</w:t>
            </w:r>
          </w:p>
        </w:tc>
        <w:tc>
          <w:tcPr>
            <w:tcW w:w="1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table above, operating lease costs include short-term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lease costs, which were immaterial.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reconciles the undiscounted cash flows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following years and total of the remaining years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operating lease liabilities recorded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Sheets.</w:t>
      </w:r>
    </w:p>
    <w:tbl>
      <w:tblPr>
        <w:tblW w:w="41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86"/>
        <w:gridCol w:w="109"/>
        <w:gridCol w:w="1306"/>
      </w:tblGrid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Remainder of 2026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$25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98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96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2029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2030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84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2031+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255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lease payments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$648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Less: interest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(93)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Present value of lease liabilities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$555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table above, interest is calculated using an incremental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borrowing rate for each lease. Present value of lease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liabilities includes the current portion of $79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Lease payments in the table above exclude $34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legally binding minimum lease payments for leases signed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but not yet commenced primarily related to data center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expansion.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provides information related to Nasdaq’s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lease term and discount rate:</w:t>
      </w:r>
    </w:p>
    <w:tbl>
      <w:tblPr>
        <w:tblW w:w="47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76"/>
        <w:gridCol w:w="109"/>
        <w:gridCol w:w="1306"/>
      </w:tblGrid>
      <w:tr>
        <w:trPr/>
        <w:tc>
          <w:tcPr>
            <w:tcW w:w="3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</w:tr>
      <w:tr>
        <w:trPr/>
        <w:tc>
          <w:tcPr>
            <w:tcW w:w="33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remaining lease term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(in years)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7.4</w:t>
            </w:r>
          </w:p>
        </w:tc>
      </w:tr>
      <w:tr>
        <w:trPr/>
        <w:tc>
          <w:tcPr>
            <w:tcW w:w="33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Weighted-average discount rate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4.3%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provides supplemental cash flow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information related to Nasdaq’s operating leases:</w:t>
      </w:r>
    </w:p>
    <w:tbl>
      <w:tblPr>
        <w:tblW w:w="4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46"/>
        <w:gridCol w:w="826"/>
        <w:gridCol w:w="213"/>
        <w:gridCol w:w="1120"/>
      </w:tblGrid>
      <w:tr>
        <w:trPr/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1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7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Cash paid for amounts included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the measurement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lease liabilities</w:t>
            </w:r>
          </w:p>
        </w:tc>
        <w:tc>
          <w:tcPr>
            <w:tcW w:w="82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$70</w:t>
            </w:r>
          </w:p>
        </w:tc>
        <w:tc>
          <w:tcPr>
            <w:tcW w:w="2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0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$59</w:t>
            </w:r>
          </w:p>
        </w:tc>
      </w:tr>
      <w:tr>
        <w:trPr/>
        <w:tc>
          <w:tcPr>
            <w:tcW w:w="27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0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Lease assets obtained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exchange for operating lease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82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$92</w:t>
            </w:r>
          </w:p>
        </w:tc>
        <w:tc>
          <w:tcPr>
            <w:tcW w:w="2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0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$107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Lease assets obtained in exchange for operating lease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liabilities primarily relate to expansion and renewals of data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center leases for the nine 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 For the nine months ended September 30, 2025, 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also related to a new lease signed for our European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headquarters.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16.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 TAXES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 Tax Provision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present our income tax provision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effective tax rate:</w:t>
      </w:r>
    </w:p>
    <w:tbl>
      <w:tblPr>
        <w:tblW w:w="40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996"/>
        <w:gridCol w:w="172"/>
        <w:gridCol w:w="1067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7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tax provision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$162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$106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Effective tax rate</w:t>
            </w:r>
          </w:p>
        </w:tc>
        <w:tc>
          <w:tcPr>
            <w:tcW w:w="9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22.9%</w:t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20.0%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7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tax provision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$466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$296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Effective tax rate</w:t>
            </w:r>
          </w:p>
        </w:tc>
        <w:tc>
          <w:tcPr>
            <w:tcW w:w="9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22.9%</w:t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18.9%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higher effective tax rate for the three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2026, as compared to the prior year period,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primarily due to higher energy-related tax credits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recognized in the prior-year period.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higher effective tax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rate for the nine months ended September 30, 2026,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compared to the prior year period, was primarily due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impact of a favorable audit settlement and a tax benefit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to payments made to former Adenza employees, both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recognized in the prior-year period.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effective tax rate may vary from period to period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depending on, among other factors, the geographic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mix of earnings and losses. These and other factors,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history of pre-tax earnings and losses, are taken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into account in assessing the ability to realize deferred tax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assets.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Tax Audits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and its eligible subsidiaries file a consolidated U.S.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federal income tax return, applicable state and local income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tax returns and non-U.S. income tax returns. We are subject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examination by federal, state and local, and foreign tax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authorities. Our federal income tax return is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examination by the Internal Revenue Service for the years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2021 through 2025. Several state tax returns are currently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under examination by the respective tax authorities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years 2014 through 2024. Non-U.S. tax returns are subject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examination by the respective tax authorities for the years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2020 through 2025.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regularly assess the likelihood of additional assessments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by each jurisdiction and have established tax reserves that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believe are adequate in relation to the potential for additional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assessments. Examination outcomes and the timing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examination settlements are subject to uncertainty. Although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results of such examinations may have an impact on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unrecognized tax benefits, we do not anticipate that such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impact will be material to our condensed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position or results of operations, but may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 to our operating results for a particular period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effective tax rate for that period.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 xml:space="preserve">17.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COMMITMENTS, CONTINGENCIES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GUARANTEES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Guarantees Issued and Credit Facilities Available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addition to the default fund contributions and margin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collateral pledged by clearing members discussed in Note 14,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Operations,” we have obtained financial guarantees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credit facilities, which are guaranteed by us through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counter indemnities, to provide further liquidity related to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businesses. Financial guarantees issued to us totaled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 31, 2025.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discussed in “Other Credit Facilities,” of Note 8, “Debt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Obligations,” we also have credit facilities primarily related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our Nasdaq Clearing operations, which are available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multiple currencies.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Guarantees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our clearing operations in the financial markets,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Clearing is the legal counterparty for, and guarantees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performance of, its clearing members. See Note 14,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Operations,” for further discussion of Nasdaq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performance guarantees.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believe that the potential for us to be required to make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payments under these arrangements is unlikely. Accordingly,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 contingent liability is recorded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 for the above guarantees.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Routing Brokerage Activities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 of our broker-dealer subsidiaries, Nasdaq Execution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Services, provides a guarantee to securities clearinghouses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exchanges under its standard membership agreements,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which require members to guarantee the performance of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members. If a member becomes unable to satisfy 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obligations to a clearinghouse or exchange, other members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would be required to meet its shortfalls. To mitigate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risks, the exchanges and clearinghouses often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 members to post collateral, as well as meet certain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minimum financial standards. Nasdaq Execution Services’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maximum potential liability under these arrangements cannot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 quantified. However, we believe that the potential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Nasdaq Execution Services to be required to make payments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under these arrangements is unlikely. Accordingly,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contingent liability is recorded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Balance Sheets for these arrangements.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Legal and Regulatory Matters 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European Commission Matter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September 2024, the European Commission, or the EC,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conducted an inspection at the Nasdaq Stockholm offices.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inspection related to a potential competition law concern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regarding the trading of Nordic financial derivatives.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understand that the EC's focus is a cooperative arrangement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Eurex that was announced by Eurex and the Helsinki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 Exchange in 1999. The Helsinki Stock Exchange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acquired by Nasdaq as part of our acquisition of OMX AB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2008. The cooperative arrangement with Eurex fully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before Nasdaq learned of the EC's investigation.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25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November 2025, the EC opened a formal antitrust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investigation to assess whether Nasdaq and Deutsche Börse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had breached European Union competition rules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coordinating their conduct in the sector for listing, trading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clearing of financial derivatives in the European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Economic Area.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have been cooperating with the EC but are uncertain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about the duration or ultimate outcome of its review, or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extent there is any finding against us, the amount of any fines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other remedies.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</w:rPr>
        <w:t>Other Matters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Except as disclosed above and in our prior reports filed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Exchange Act, we are not currently a party to 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litigation or proceeding that we believe could have a material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adverse effect on our business,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condition, or operating results. However, from time to time,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have been threatened with, or named as a defendant in,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lawsuits or involved in regulatory proceedings.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normal course of business, Nasdaq discusses matters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its regulators raised during regulatory examinations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otherwise subject to their inquiries. Management believes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that censures, fines, penalties or other sanctions that could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result from any ongoing examinations or inquiries will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have a material impact on our consolidated financial position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results of operations. However, we are unable to predict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outcome or the timing of the ultimate resolution of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matters, or the potential fines, penalties or injunctive or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equitable relief, if any, that may result from these matters.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Tax Audits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are engaged in ongoing discussions and audits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taxing authorities on various tax matters, the resolutions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which are uncertain. Currently, there are matters that may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lead to assessments, some of which may not be resolved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several years. Based on currently available information,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believe we have adequately provided for any assessments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could result from those proceedings where it is more likely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than not that we will be assessed. We review our positions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matters as they progress.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See “Tax Audits,” of Note 16,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 Taxes,” for further discussion.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18.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SEGMENTS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manage, operate and provide our products and services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segments: Capital Access Platforms,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Technology and Market Services. See Note 1, “Organization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Nature of Operations,” for further discussion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reportable segments.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management allocates resources, assesses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manages these businesses as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separate segments.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evaluate the performance of our segments based on several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factors, of which the primary financial measure is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income. Our chief operating decision maker, or CODM, who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our Chair and Chief Executive Officer, does not review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assets or statements of income below operating income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by segments as key performance metrics; therefore, such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information is not presented below.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present certain information regarding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business segments for the three months ended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2025:</w:t>
      </w:r>
    </w:p>
    <w:tbl>
      <w:tblPr>
        <w:tblW w:w="50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06"/>
        <w:gridCol w:w="721"/>
        <w:gridCol w:w="856"/>
        <w:gridCol w:w="676"/>
        <w:gridCol w:w="751"/>
        <w:gridCol w:w="721"/>
      </w:tblGrid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5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Three Months Ended September 30, 2026</w:t>
            </w:r>
          </w:p>
        </w:tc>
      </w:tr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  <w:t xml:space="preserve">Access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  <w:t>Platforms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Financial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Technology</w:t>
            </w:r>
          </w:p>
        </w:tc>
        <w:tc>
          <w:tcPr>
            <w:tcW w:w="6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Market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Services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Corporate</w:t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3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72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revenues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$641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$529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$1,221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$2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$2,393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(912)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(912)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641</w:t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529</w:t>
            </w:r>
          </w:p>
        </w:tc>
        <w:tc>
          <w:tcPr>
            <w:tcW w:w="6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309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</w:t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1,481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Directly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consumed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185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248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98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531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44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35</w:t>
            </w:r>
          </w:p>
        </w:tc>
        <w:tc>
          <w:tcPr>
            <w:tcW w:w="67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117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218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income</w:t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$412</w:t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$246</w:t>
            </w:r>
          </w:p>
        </w:tc>
        <w:tc>
          <w:tcPr>
            <w:tcW w:w="67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$189</w:t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$(115)</w:t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$732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Depreciation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11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21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11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122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165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 xml:space="preserve">Purchases of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 xml:space="preserve">property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>equipment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14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36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12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62</w:t>
            </w:r>
          </w:p>
        </w:tc>
      </w:tr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5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Three Months Ended September 30, 2025</w:t>
            </w:r>
          </w:p>
        </w:tc>
      </w:tr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Access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Platforms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Financial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Technology</w:t>
            </w:r>
          </w:p>
        </w:tc>
        <w:tc>
          <w:tcPr>
            <w:tcW w:w="6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Market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Services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Corporate</w:t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20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3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72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revenues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$534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$457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$967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$21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$1,979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(664)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(664)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534</w:t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457</w:t>
            </w:r>
          </w:p>
        </w:tc>
        <w:tc>
          <w:tcPr>
            <w:tcW w:w="6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303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21</w:t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1,315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Directly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consumed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162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220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84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466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31</w:t>
            </w:r>
          </w:p>
        </w:tc>
        <w:tc>
          <w:tcPr>
            <w:tcW w:w="67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164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263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income</w:t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$326</w:t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$206</w:t>
            </w:r>
          </w:p>
        </w:tc>
        <w:tc>
          <w:tcPr>
            <w:tcW w:w="67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$197</w:t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$(143)</w:t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$586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Depreciation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14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11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123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158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 xml:space="preserve">Purchases of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 xml:space="preserve">property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>equipment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18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37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14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26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present certain information regarding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business segments for the nine months ended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2025:</w:t>
      </w:r>
    </w:p>
    <w:tbl>
      <w:tblPr>
        <w:tblW w:w="50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06"/>
        <w:gridCol w:w="721"/>
        <w:gridCol w:w="856"/>
        <w:gridCol w:w="691"/>
        <w:gridCol w:w="751"/>
        <w:gridCol w:w="736"/>
      </w:tblGrid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5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Nine Months Ended September 30, 2026</w:t>
            </w:r>
          </w:p>
        </w:tc>
      </w:tr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  <w:t xml:space="preserve">Access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5"/>
              </w:rPr>
              <w:t>Platforms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Financial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Technology</w:t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Market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Services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Corporate</w:t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20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8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7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revenues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$1,820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$1,585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$3,640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$18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$7,063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(2,675)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(2,675)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1,820</w:t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1,585</w:t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965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18</w:t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4,388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Directly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consumed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530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736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290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1,556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131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108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68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424</w:t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731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income</w:t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$1,159</w:t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$741</w:t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$607</w:t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$(406)</w:t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$2,101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Depreciation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35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60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34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367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496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 xml:space="preserve">Purchases of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 xml:space="preserve">property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>equipment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45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104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50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199</w:t>
            </w:r>
          </w:p>
        </w:tc>
      </w:tr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5" w:type="dxa"/>
            <w:gridSpan w:val="5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Nine Months Ended September 30, 2025</w:t>
            </w:r>
          </w:p>
        </w:tc>
      </w:tr>
      <w:tr>
        <w:trPr/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Access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Platforms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Financial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Technology</w:t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 xml:space="preserve">Market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Services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Corporate</w:t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20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8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7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revenues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$1,552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$1,352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$3,208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$63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$6,175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(2,318)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(2,318)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1,552</w:t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1,352</w:t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890</w:t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63</w:t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3,857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Directly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consumed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483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646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264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1,393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7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127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87</w:t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62</w:t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486</w:t>
            </w:r>
          </w:p>
        </w:tc>
        <w:tc>
          <w:tcPr>
            <w:tcW w:w="7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762</w:t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income</w:t>
            </w:r>
          </w:p>
        </w:tc>
        <w:tc>
          <w:tcPr>
            <w:tcW w:w="7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$942</w:t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$619</w:t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$564</w:t>
            </w:r>
          </w:p>
        </w:tc>
        <w:tc>
          <w:tcPr>
            <w:tcW w:w="75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$(423)</w:t>
            </w:r>
          </w:p>
        </w:tc>
        <w:tc>
          <w:tcPr>
            <w:tcW w:w="7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$1,702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Depreciation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29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38</w:t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34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370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471</w:t>
            </w:r>
          </w:p>
        </w:tc>
      </w:tr>
      <w:tr>
        <w:trPr/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 xml:space="preserve">Purchases of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 xml:space="preserve">property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9"/>
              </w:rPr>
              <w:t>equipment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89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42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177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information and amounts presented in the tables above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align with the segment-level information regularly provided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our CODM. Directly consumed expenses, a significant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 category, include both direct costs and costs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shared resources consumed by the segment for revenue-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generating activities. Other expenses include indirect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overhead costs allocated to our segments. Other expenses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also include expenses allocated to our Corporate segment.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summarize revenues and expenses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allocated to our Corporate segment:</w:t>
      </w:r>
    </w:p>
    <w:tbl>
      <w:tblPr>
        <w:tblW w:w="468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46"/>
        <w:gridCol w:w="998"/>
        <w:gridCol w:w="168"/>
        <w:gridCol w:w="1068"/>
      </w:tblGrid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Revenues:</w:t>
            </w:r>
          </w:p>
        </w:tc>
        <w:tc>
          <w:tcPr>
            <w:tcW w:w="22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Divestitures of businesses </w:t>
            </w:r>
          </w:p>
        </w:tc>
        <w:tc>
          <w:tcPr>
            <w:tcW w:w="9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</w:t>
            </w:r>
          </w:p>
        </w:tc>
        <w:tc>
          <w:tcPr>
            <w:tcW w:w="1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$21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Expenses:</w:t>
            </w:r>
          </w:p>
        </w:tc>
        <w:tc>
          <w:tcPr>
            <w:tcW w:w="9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Amortization expense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acquired intangible assets</w:t>
            </w:r>
          </w:p>
        </w:tc>
        <w:tc>
          <w:tcPr>
            <w:tcW w:w="9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121</w:t>
            </w:r>
          </w:p>
        </w:tc>
        <w:tc>
          <w:tcPr>
            <w:tcW w:w="1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122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Merger and strategic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initiatives expense</w:t>
            </w:r>
          </w:p>
        </w:tc>
        <w:tc>
          <w:tcPr>
            <w:tcW w:w="9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1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Restructuring charges</w:t>
            </w:r>
          </w:p>
        </w:tc>
        <w:tc>
          <w:tcPr>
            <w:tcW w:w="9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Legal and regulatory matters</w:t>
            </w:r>
          </w:p>
        </w:tc>
        <w:tc>
          <w:tcPr>
            <w:tcW w:w="9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(16)</w:t>
            </w:r>
          </w:p>
        </w:tc>
        <w:tc>
          <w:tcPr>
            <w:tcW w:w="1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Expenses - divestitures</w:t>
            </w:r>
          </w:p>
        </w:tc>
        <w:tc>
          <w:tcPr>
            <w:tcW w:w="99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1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</w:t>
            </w:r>
          </w:p>
        </w:tc>
        <w:tc>
          <w:tcPr>
            <w:tcW w:w="99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expenses</w:t>
            </w:r>
          </w:p>
        </w:tc>
        <w:tc>
          <w:tcPr>
            <w:tcW w:w="998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$117</w:t>
            </w:r>
          </w:p>
        </w:tc>
        <w:tc>
          <w:tcPr>
            <w:tcW w:w="16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$164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loss</w:t>
            </w:r>
          </w:p>
        </w:tc>
        <w:tc>
          <w:tcPr>
            <w:tcW w:w="99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$(115)</w:t>
            </w:r>
          </w:p>
        </w:tc>
        <w:tc>
          <w:tcPr>
            <w:tcW w:w="16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$(143)</w:t>
            </w:r>
          </w:p>
        </w:tc>
      </w:tr>
    </w:tbl>
    <w:tbl>
      <w:tblPr>
        <w:tblW w:w="4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46"/>
        <w:gridCol w:w="965"/>
        <w:gridCol w:w="162"/>
        <w:gridCol w:w="1032"/>
      </w:tblGrid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Revenues:</w:t>
            </w:r>
          </w:p>
        </w:tc>
        <w:tc>
          <w:tcPr>
            <w:tcW w:w="215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Divestitures of businesses </w:t>
            </w:r>
          </w:p>
        </w:tc>
        <w:tc>
          <w:tcPr>
            <w:tcW w:w="9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$18</w:t>
            </w:r>
          </w:p>
        </w:tc>
        <w:tc>
          <w:tcPr>
            <w:tcW w:w="1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$63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Expenses:</w:t>
            </w:r>
          </w:p>
        </w:tc>
        <w:tc>
          <w:tcPr>
            <w:tcW w:w="9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Amortization expense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acquired intangible assets</w:t>
            </w:r>
          </w:p>
        </w:tc>
        <w:tc>
          <w:tcPr>
            <w:tcW w:w="9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364</w:t>
            </w:r>
          </w:p>
        </w:tc>
        <w:tc>
          <w:tcPr>
            <w:tcW w:w="1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365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Merger and strategic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initiatives expense</w:t>
            </w:r>
          </w:p>
        </w:tc>
        <w:tc>
          <w:tcPr>
            <w:tcW w:w="9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</w:t>
            </w:r>
          </w:p>
        </w:tc>
        <w:tc>
          <w:tcPr>
            <w:tcW w:w="1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Restructuring charges</w:t>
            </w:r>
          </w:p>
        </w:tc>
        <w:tc>
          <w:tcPr>
            <w:tcW w:w="9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1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Legal and regulatory matters</w:t>
            </w:r>
          </w:p>
        </w:tc>
        <w:tc>
          <w:tcPr>
            <w:tcW w:w="9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(3)</w:t>
            </w:r>
          </w:p>
        </w:tc>
        <w:tc>
          <w:tcPr>
            <w:tcW w:w="1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Gain on extinguishment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debt</w:t>
            </w:r>
          </w:p>
        </w:tc>
        <w:tc>
          <w:tcPr>
            <w:tcW w:w="9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(19)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Expenses - divestitures</w:t>
            </w:r>
          </w:p>
        </w:tc>
        <w:tc>
          <w:tcPr>
            <w:tcW w:w="9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1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</w:t>
            </w:r>
          </w:p>
        </w:tc>
        <w:tc>
          <w:tcPr>
            <w:tcW w:w="96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24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expenses</w:t>
            </w:r>
          </w:p>
        </w:tc>
        <w:tc>
          <w:tcPr>
            <w:tcW w:w="96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$424</w:t>
            </w:r>
          </w:p>
        </w:tc>
        <w:tc>
          <w:tcPr>
            <w:tcW w:w="1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$486</w:t>
            </w:r>
          </w:p>
        </w:tc>
      </w:tr>
      <w:tr>
        <w:trPr/>
        <w:tc>
          <w:tcPr>
            <w:tcW w:w="24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loss</w:t>
            </w:r>
          </w:p>
        </w:tc>
        <w:tc>
          <w:tcPr>
            <w:tcW w:w="96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$(406)</w:t>
            </w:r>
          </w:p>
        </w:tc>
        <w:tc>
          <w:tcPr>
            <w:tcW w:w="1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$(423)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further discussion of our segments’ results, see “Segment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Operating Results,” of “Part I, Item 2. Management’s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Discussion and Analysis of Financial Condition and Results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Operations.”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items in the preceding table are not included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measurement of segment profitability reviewed by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CODM, as we believe they do not contribute to a meaningful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evaluation of a particular segment’s ongoing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performance. Management does not consider these items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purpose of evaluating the performance of our segments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27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their managers or when making decisions to allocate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resources. Therefore, we believe performance measures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excluding the below items provide management with a useful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representation of our segments’ ongoing activity in each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period. These items, which are presented in the table above,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 the following: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strike w:val="false"/>
          <w:dstrike w:val="false"/>
          <w:color w:val="231F20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Revenues and expenses - divestitures: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amounts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reflect the revenues and expenses associated with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various divestitures. See Note 4,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Divestitures,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further discussion of these transactions.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Amortization expense of acquired intangible assets: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amortize intangible assets acquired in connection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various acquisitions. Intangible asset amortization expense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can vary from period to period due to episodic acquisitions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completed, rather than from our ongoing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operations. As such, if intangible asset amortization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in performance measures, it is more difficult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assess the day-to-day operating performance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segments, and the relative operating performance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segments between periods.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Merger and strategic initiatives expense: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have pursued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various strategic initiatives and completed acquisitions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divestitures in recent years that have resulted in expenses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which would not have otherwise been incurred.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expenses generally include integration costs, as well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legal, due diligence and other third-party transaction costs.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frequency and the amount of such expenses vary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significantly based on the size, timing and complexity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transactions.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 and nine months ended 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2026, these costs included amounts associated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various strategic initiative costs. For the three and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2025, these costs primarily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amounts associated with the transfer of open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positions in our Nordic power futures business, Adenza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integration costs and other strategic initiative costs.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Restructuring charges: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See Note 19, “Restructuring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Charges,” for further discussion of the restructuring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program.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Legal and regulatory matters: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 and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2026, this includes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favorable legal settlement, recorded in general,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administrative and other expense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Income.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this also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includes accruals relating to certain legal matters,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are recorded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professional and contract services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Condensed Consolidated Statements of Income.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Gain on extinguishment of debt: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This gain is recorded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general, administrative and other expense in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Statements of Income.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Geographic Data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tables present total gross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revenues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geographic area for the three and nine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 Revenues are classified based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upon the location of the customer.</w:t>
      </w:r>
    </w:p>
    <w:tbl>
      <w:tblPr>
        <w:tblW w:w="38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6"/>
        <w:gridCol w:w="1003"/>
        <w:gridCol w:w="161"/>
        <w:gridCol w:w="1070"/>
      </w:tblGrid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(in millions)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2026</w:t>
            </w:r>
          </w:p>
        </w:tc>
        <w:tc>
          <w:tcPr>
            <w:tcW w:w="1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2025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100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$1,808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$1,583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All other countries</w:t>
            </w:r>
          </w:p>
        </w:tc>
        <w:tc>
          <w:tcPr>
            <w:tcW w:w="100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585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396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00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$2,393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$1,979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4" w:type="dxa"/>
            <w:gridSpan w:val="3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(in millions)</w:t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100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$5,252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$4,984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All other countries</w:t>
            </w:r>
          </w:p>
        </w:tc>
        <w:tc>
          <w:tcPr>
            <w:tcW w:w="100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1,811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1,191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00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$7,063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$6,175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 single customer accounted for 10.0%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more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revenues for the three and nine months ended 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property and equipment, net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geographic area as 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2025. Property and equipment information is based on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physical location of the assets.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42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6"/>
        <w:gridCol w:w="1261"/>
        <w:gridCol w:w="109"/>
        <w:gridCol w:w="1261"/>
      </w:tblGrid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(in millions)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$500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All other countries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228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$728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Property and equipment, net for all other countries primarily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includes assets held in Sweden.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 xml:space="preserve">19.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RESTRUCTURING CHARGES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fourth quarter of 2023, following the closing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Adenza acquisition, our management approved, committed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initiated a restructuring program, “Adenza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Restructuring” to optimize our efficiencies as a combined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organization. We initiated the program upon the acquisition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Adenza and further expanded the program in the fourth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of 2024 following the achievement of our initial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targets. We have incurred costs principally related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employee-related costs, contract terminations, asset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impairments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related costs in an effort to accelerate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efficiencies through location strategy and enhanced AI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capabilities. Actions taken as part of this program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completed as of December 31, 2025, and all costs have been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incurred as of June 30, 2026. Total costs incurred since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inception of the program were $139 million. We have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achieved benefits primarily in the form of expense synergies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over $160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expense synergies actioned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June 30, 2026.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Costs related to this program are recorded as restructuring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charges in the Condensed Consolidated Statements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Income.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28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presents a summary of the Adenza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restructuring program charges for the three and nine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2025:</w:t>
      </w:r>
    </w:p>
    <w:tbl>
      <w:tblPr>
        <w:tblW w:w="46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592"/>
        <w:gridCol w:w="159"/>
        <w:gridCol w:w="614"/>
        <w:gridCol w:w="109"/>
        <w:gridCol w:w="564"/>
        <w:gridCol w:w="146"/>
        <w:gridCol w:w="625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Three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Nine Months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</w:t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2026</w:t>
            </w:r>
          </w:p>
        </w:tc>
        <w:tc>
          <w:tcPr>
            <w:tcW w:w="15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9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Consulting services</w:t>
            </w:r>
          </w:p>
        </w:tc>
        <w:tc>
          <w:tcPr>
            <w:tcW w:w="5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5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Employee-related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costs</w:t>
            </w:r>
          </w:p>
        </w:tc>
        <w:tc>
          <w:tcPr>
            <w:tcW w:w="5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</w:t>
            </w:r>
          </w:p>
        </w:tc>
        <w:tc>
          <w:tcPr>
            <w:tcW w:w="5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restructuring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charges</w:t>
            </w:r>
          </w:p>
        </w:tc>
        <w:tc>
          <w:tcPr>
            <w:tcW w:w="59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5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$24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Item 2. Management’s Discussion and Analysis of</w:t>
      </w:r>
      <w:r>
        <w:rPr>
          <w:caps w:val="false"/>
          <w:smallCaps w:val="false"/>
          <w:strike w:val="false"/>
          <w:dstrike w:val="false"/>
          <w:color w:val="0092BC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Financial Condition and Results of Operations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discussion and analysis of the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condition and results of operations of Nasdaq should be read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conjunction with our condensed consolidated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and related notes included in this Form 10-Q.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Certain percentages and per share amounts herein may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sum or recalculate due to rounding.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EXECUTIVE OVERVIEW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is a leading technology platform that powers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world’s economies. We architect the infrastructure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world’s most modern markets, power the innovation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economy, and build trust in the financial system.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empower economic opportunity by designing and deploying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advanced technology, data, and intelligence solutions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enable our clients to capture opportunities, navigate risk,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strengthen resilience.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organizational structure aligns our businesses with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foundational shifts that are driving the evolution of the global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system. We manage, operate and provide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products and services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 segments: Capital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Access Platforms, Financial Technology and Market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Services.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Third Quarter 2026 Highlights and Recent Developments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During the third quarter, Nasdaq welcomed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operating companies on the U.S. exchanges, raising $32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 in proceeds, including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 of the 10 largest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IPOs, contributing to a 79%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win rate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quarter.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Index had a record $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141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billion in net inflows over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trailing twelve months, including $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49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billion in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third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quarter. End-of-period ETP AUM was $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1.2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trillion and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average ETP AUM over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third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quarter was $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1.1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trillion,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both setting new records. Nasdaq launched 32 new Index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products in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third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quarter,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16 international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products and 10 products in the institutional annuity space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Technology delivered strong ARR and double-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digit revenue growth in each subdivision for the third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consecutive quarter. Financial Technology delivered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16%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revenue growth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18%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ARR growth. During the third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quarter of 2026, Nasdaq signed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new clients,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cross-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sells,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135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upsells.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 Services set a new record in third quarter net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revenues benefitting from higher industry volumes across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options and European equities and strong performance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 U.S. cash equities,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achieved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higher market share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near record capture rate.</w:t>
      </w:r>
      <w:r>
        <w:rPr>
          <w:caps w:val="false"/>
          <w:smallCaps w:val="false"/>
          <w:u w:val="single"/>
        </w:rPr>
        <w:t xml:space="preserve"> 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Macroeconomic environment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business performance can be positively or negatively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impacted by a number of factors, including general economic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conditions, the accelerated pace of technological change,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geopolitical environment, current or expected inflation,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interest rate fluctuations, the threat or imposition of broad-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based tariffs, market volatility, changes in investment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patterns and priorities, regulatory changes, pandemics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other factors that are generally beyond our control.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example, higher overall U.S. trading volumes for the nine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with the same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period in 2025 led to an increase in our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U.S. equities options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U.S. cash equities revenues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Market factors also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contributed to higher valuations in Nasdaq Indices and higher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overall volumes in Index derivatives. To the extent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global or national economic conditions weaken and result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slower growth or recessions, our business may be negatively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impacted.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Nasdaq</w:t>
      </w:r>
      <w:r>
        <w:rPr>
          <w:caps w:val="false"/>
          <w:smallCaps w:val="false"/>
          <w:u w:val="single"/>
        </w:rPr>
        <w:t>’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s Operating Results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summarize our financial performance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the three 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compared to the 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For a detailed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discussion of our results of operations, see “Segment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Operating Results” below.</w:t>
      </w:r>
    </w:p>
    <w:tbl>
      <w:tblPr>
        <w:tblW w:w="49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6"/>
        <w:gridCol w:w="1013"/>
        <w:gridCol w:w="163"/>
        <w:gridCol w:w="1013"/>
        <w:gridCol w:w="109"/>
        <w:gridCol w:w="796"/>
      </w:tblGrid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(in millions, except per share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amounts)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transaction-based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$1,481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$1,315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12.6%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expenses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749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2.7%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income</w:t>
            </w:r>
          </w:p>
        </w:tc>
        <w:tc>
          <w:tcPr>
            <w:tcW w:w="101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$732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$586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24.9%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Net income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attributable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Nasdaq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$540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27.8%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Diluted earnings per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$0.96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$0.73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31.3%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Cash dividends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declared per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share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$0.31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$0.27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14.8%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(in millions, except per share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amounts)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transaction-based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$4,388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$3,857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13.8%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expenses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2,287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6.1%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income</w:t>
            </w:r>
          </w:p>
        </w:tc>
        <w:tc>
          <w:tcPr>
            <w:tcW w:w="101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$2,101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$1,702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23.5%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Net income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attributable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Nasdaq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$1,566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$1,270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23.4%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Diluted earnings per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$2.76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25.9%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Cash dividends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declared per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share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$0.89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$0.78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14.1%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countries with currencies other than the U.S. dollar,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revenues and expenses are translated using monthly average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 rates. Impacts on our revenues less transaction-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based expenses and operating income associated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fluctuations in foreign currency are discussed in more detail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 “Item 3. Quantitative and Qualitative Disclosures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About Market Risk.”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chart summarizes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ARR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(in millions):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143250" cy="347472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i-1"/>
      <w:bookmarkEnd w:id="0"/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*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chart above, Other ARR totaled $42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third quarter of 2025 and included Solovis, Nasdaq Metrio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Nasdaq Fund Secondaries.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ARR for a given period is the current annualized value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derived from subscription contracts with a defined contract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value. This excludes contracts that are not recurring, are one-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time in nature, or where the contract value fluctuates 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 defined metrics. ARR is currently one of our key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performance metrics to assess the health and trajectory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recurring business. ARR does not have any standardized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definition and is therefore unlikely to be comparable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similarly titled measures presented by other companies. ARR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should be viewed independently of revenue and deferred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revenue and is not intended to be combined with or to replace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either of those items. For AxiomSL and Calypso recurring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revenue contracts, the amount included in ARR is consistent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the amount that we invoice the customer during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current period. Additionally, for AxiomSL and Calypso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recurring revenue contracts that include annual values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increase over time, we include in ARR only the annualized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value of components of the contract that are considered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active as of the date of the ARR calculation. We do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 the future committed increases in the contract value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of the date of the ARR calculation. ARR is not a forecast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the active contracts at the end of a reporting period used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calculating ARR may or may not be extended or renewed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 our customers.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31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ARR chart includes:</w:t>
      </w:r>
    </w:p>
    <w:tbl>
      <w:tblPr>
        <w:tblW w:w="47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196"/>
        <w:gridCol w:w="4306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92BC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92BC"/>
                <w:u w:val="none"/>
                <w:effect w:val="none"/>
              </w:rPr>
              <w:t>▪</w:t>
            </w:r>
          </w:p>
        </w:tc>
        <w:tc>
          <w:tcPr>
            <w:tcW w:w="450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Capital Access Platforms</w:t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92BC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92BC"/>
                <w:u w:val="none"/>
                <w:effect w:val="none"/>
              </w:rPr>
              <w:t>◦</w:t>
            </w:r>
          </w:p>
        </w:tc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Proprietary market data subscriptions and annual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listing fees within our Data &amp; Listing Services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business.</w:t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92BC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92BC"/>
                <w:u w:val="none"/>
                <w:effect w:val="none"/>
              </w:rPr>
              <w:t>◦</w:t>
            </w:r>
          </w:p>
        </w:tc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Index data subscriptions and guaranteed minimum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on futures contracts within our Index business.</w:t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92BC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92BC"/>
                <w:u w:val="none"/>
                <w:effect w:val="none"/>
              </w:rPr>
              <w:t>◦</w:t>
            </w:r>
          </w:p>
        </w:tc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Subscription contracts under our Workflow &amp;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Insights business.</w:t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8050E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8050ED"/>
                <w:u w:val="none"/>
                <w:effect w:val="none"/>
              </w:rPr>
              <w:t>▪</w:t>
            </w:r>
          </w:p>
        </w:tc>
        <w:tc>
          <w:tcPr>
            <w:tcW w:w="450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Financial Technology</w:t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8050ED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8050ED"/>
                <w:u w:val="none"/>
                <w:effect w:val="none"/>
              </w:rPr>
              <w:t>◦</w:t>
            </w:r>
          </w:p>
        </w:tc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Subscription contracts excluding non-recurring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professional services.</w:t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051F2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051F2"/>
                <w:u w:val="none"/>
                <w:effect w:val="none"/>
              </w:rPr>
              <w:t>▪</w:t>
            </w:r>
          </w:p>
        </w:tc>
        <w:tc>
          <w:tcPr>
            <w:tcW w:w="450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Other primarily includes ARR related to our Solovis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business that was divested in October 2025 as well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Metrio and Nasdaq Fund Secondaries, which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were each divested in the third quarter of 2026.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chart summarizes our quarterly annualized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SaaS revenues for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(in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millions):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143250" cy="310896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i-2"/>
      <w:bookmarkEnd w:id="1"/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*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chart above, Other SaaS totaled $40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 for 3Q25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 Solovis, Nasdaq Metrio and Nasdaq Fund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Secondaries.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SEGMENT OPERATING RESULTS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our revenues by segment:</w:t>
      </w:r>
    </w:p>
    <w:tbl>
      <w:tblPr>
        <w:tblW w:w="50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1"/>
        <w:gridCol w:w="1015"/>
        <w:gridCol w:w="160"/>
        <w:gridCol w:w="1015"/>
        <w:gridCol w:w="109"/>
        <w:gridCol w:w="826"/>
      </w:tblGrid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Capital Access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Platforms</w:t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$641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20.2%</w:t>
            </w:r>
          </w:p>
        </w:tc>
      </w:tr>
      <w:tr>
        <w:trPr/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Financial Technology</w:t>
            </w:r>
          </w:p>
        </w:tc>
        <w:tc>
          <w:tcPr>
            <w:tcW w:w="10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529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15.8%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Market Services</w:t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1,221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26.2%</w:t>
            </w:r>
          </w:p>
        </w:tc>
      </w:tr>
      <w:tr>
        <w:trPr/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 revenues</w:t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(90.9)%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Total revenues</w:t>
            </w:r>
          </w:p>
        </w:tc>
        <w:tc>
          <w:tcPr>
            <w:tcW w:w="101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$2,393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$1,979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20.9%</w:t>
            </w:r>
          </w:p>
        </w:tc>
      </w:tr>
      <w:tr>
        <w:trPr/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 rebates</w:t>
            </w:r>
          </w:p>
        </w:tc>
        <w:tc>
          <w:tcPr>
            <w:tcW w:w="10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(623)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(658)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(5.3)%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Brokerage, clearance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and exchange fees</w:t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(289)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N/M</w:t>
            </w:r>
          </w:p>
        </w:tc>
      </w:tr>
      <w:tr>
        <w:trPr/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revenues less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transaction-based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101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$1,481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$1,315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12.6%</w:t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9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Capital Access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Platforms</w:t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$1,820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$1,552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17.2%</w:t>
            </w:r>
          </w:p>
        </w:tc>
      </w:tr>
      <w:tr>
        <w:trPr/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Financial Technology</w:t>
            </w:r>
          </w:p>
        </w:tc>
        <w:tc>
          <w:tcPr>
            <w:tcW w:w="10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1,585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1,352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17.2%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Market Services</w:t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3,640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3,208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13.5%</w:t>
            </w:r>
          </w:p>
        </w:tc>
      </w:tr>
      <w:tr>
        <w:trPr/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 revenues</w:t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(71.6)%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Total revenues</w:t>
            </w:r>
          </w:p>
        </w:tc>
        <w:tc>
          <w:tcPr>
            <w:tcW w:w="101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$7,063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$6,175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14.4%</w:t>
            </w:r>
          </w:p>
        </w:tc>
      </w:tr>
      <w:tr>
        <w:trPr/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Transaction rebates</w:t>
            </w:r>
          </w:p>
        </w:tc>
        <w:tc>
          <w:tcPr>
            <w:tcW w:w="10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(2,059)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(1,882)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9.4%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Brokerage, clearance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and exchange fees</w:t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(616)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(436)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41.3%</w:t>
            </w:r>
          </w:p>
        </w:tc>
      </w:tr>
      <w:tr>
        <w:trPr/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revenues less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transaction-based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101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$4,388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$3,857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13.8%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12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2"/>
          <w:u w:val="single"/>
        </w:rPr>
        <w:t>________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N/M  Not meaningful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32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charts present our Capital Access Platforms,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Technology and Market Services segments as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percentage of our total revenues, less transaction-b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nses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3143250" cy="320040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i-3"/>
      <w:bookmarkEnd w:id="2"/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3143250" cy="3200400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i-4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Capital Access Platforms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revenues and ARR from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Capital Access Platforms segment:</w:t>
      </w:r>
    </w:p>
    <w:tbl>
      <w:tblPr>
        <w:tblW w:w="49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1013"/>
        <w:gridCol w:w="163"/>
        <w:gridCol w:w="1013"/>
        <w:gridCol w:w="109"/>
        <w:gridCol w:w="826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Data &amp; Listing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Services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$224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$204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9.8%</w:t>
            </w:r>
          </w:p>
        </w:tc>
      </w:tr>
      <w:tr>
        <w:trPr/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Index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286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38.9%</w:t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Workflow &amp; Insights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131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6.1%</w:t>
            </w:r>
          </w:p>
        </w:tc>
      </w:tr>
      <w:tr>
        <w:trPr/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Capital Access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Platforms</w:t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$641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$534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20.2%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Data &amp; Listing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Services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$655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$594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10.2%</w:t>
            </w:r>
          </w:p>
        </w:tc>
      </w:tr>
      <w:tr>
        <w:trPr/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Index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778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30.8%</w:t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Workflow &amp; Insights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387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6.4%</w:t>
            </w:r>
          </w:p>
        </w:tc>
      </w:tr>
      <w:tr>
        <w:trPr/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Capital Access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Platforms</w:t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$1,820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$1,552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17.2%</w:t>
            </w:r>
          </w:p>
        </w:tc>
      </w:tr>
    </w:tbl>
    <w:tbl>
      <w:tblPr>
        <w:tblW w:w="31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76"/>
        <w:gridCol w:w="109"/>
        <w:gridCol w:w="676"/>
        <w:gridCol w:w="109"/>
        <w:gridCol w:w="721"/>
      </w:tblGrid>
      <w:tr>
        <w:trPr/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 of September 30,</w:t>
            </w:r>
          </w:p>
        </w:tc>
      </w:tr>
      <w:tr>
        <w:trPr/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ARR (in millions)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$1,411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$1,303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Data &amp; Listing Services Revenues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key drivers from our Data &amp;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Listing Services business:</w:t>
      </w:r>
    </w:p>
    <w:tbl>
      <w:tblPr>
        <w:tblW w:w="507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36"/>
        <w:gridCol w:w="985"/>
        <w:gridCol w:w="188"/>
        <w:gridCol w:w="1062"/>
      </w:tblGrid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8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  <w:t>IPOs</w:t>
            </w:r>
          </w:p>
        </w:tc>
        <w:tc>
          <w:tcPr>
            <w:tcW w:w="98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The Nasdaq Stock Market</w:t>
            </w:r>
          </w:p>
        </w:tc>
        <w:tc>
          <w:tcPr>
            <w:tcW w:w="9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</w:t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76</w:t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Operating company</w:t>
            </w:r>
          </w:p>
        </w:tc>
        <w:tc>
          <w:tcPr>
            <w:tcW w:w="9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</w:t>
            </w:r>
          </w:p>
        </w:tc>
        <w:tc>
          <w:tcPr>
            <w:tcW w:w="1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SPACs</w:t>
            </w:r>
          </w:p>
        </w:tc>
        <w:tc>
          <w:tcPr>
            <w:tcW w:w="9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</w:t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</w:t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Exchanges that comprise Nasdaq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Nordic and Nasdaq Baltic</w:t>
            </w:r>
          </w:p>
        </w:tc>
        <w:tc>
          <w:tcPr>
            <w:tcW w:w="9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1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  <w:t>Total new listings</w:t>
            </w:r>
          </w:p>
        </w:tc>
        <w:tc>
          <w:tcPr>
            <w:tcW w:w="9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The Nasdaq Stock Market</w:t>
            </w:r>
          </w:p>
        </w:tc>
        <w:tc>
          <w:tcPr>
            <w:tcW w:w="9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167</w:t>
            </w:r>
          </w:p>
        </w:tc>
        <w:tc>
          <w:tcPr>
            <w:tcW w:w="1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205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Exchanges that comprise Nasdaq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Nordic and Nasdaq Baltic</w:t>
            </w:r>
          </w:p>
        </w:tc>
        <w:tc>
          <w:tcPr>
            <w:tcW w:w="9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</w:t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  <w:t>IPOs</w:t>
            </w:r>
          </w:p>
        </w:tc>
        <w:tc>
          <w:tcPr>
            <w:tcW w:w="98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8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The Nasdaq Stock Market</w:t>
            </w:r>
          </w:p>
        </w:tc>
        <w:tc>
          <w:tcPr>
            <w:tcW w:w="98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177</w:t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218</w:t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Operating company</w:t>
            </w:r>
          </w:p>
        </w:tc>
        <w:tc>
          <w:tcPr>
            <w:tcW w:w="9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</w:t>
            </w:r>
          </w:p>
        </w:tc>
        <w:tc>
          <w:tcPr>
            <w:tcW w:w="1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129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SPACs</w:t>
            </w:r>
          </w:p>
        </w:tc>
        <w:tc>
          <w:tcPr>
            <w:tcW w:w="9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121</w:t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89</w:t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Exchanges that comprise Nasdaq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Nordic and Nasdaq Baltic</w:t>
            </w:r>
          </w:p>
        </w:tc>
        <w:tc>
          <w:tcPr>
            <w:tcW w:w="9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</w:t>
            </w:r>
          </w:p>
        </w:tc>
        <w:tc>
          <w:tcPr>
            <w:tcW w:w="1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  <w:t>Total new listings</w:t>
            </w:r>
          </w:p>
        </w:tc>
        <w:tc>
          <w:tcPr>
            <w:tcW w:w="9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The Nasdaq Stock Market</w:t>
            </w:r>
          </w:p>
        </w:tc>
        <w:tc>
          <w:tcPr>
            <w:tcW w:w="9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531</w:t>
            </w:r>
          </w:p>
        </w:tc>
        <w:tc>
          <w:tcPr>
            <w:tcW w:w="1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569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Exchanges that comprise Nasdaq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Nordic and Nasdaq Baltic</w:t>
            </w:r>
          </w:p>
        </w:tc>
        <w:tc>
          <w:tcPr>
            <w:tcW w:w="9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</w:t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</w:t>
            </w:r>
          </w:p>
        </w:tc>
      </w:tr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 of September 30,</w:t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9"/>
                <w:u w:val="single"/>
              </w:rPr>
              <w:t>Number of listed companies</w:t>
            </w:r>
          </w:p>
        </w:tc>
        <w:tc>
          <w:tcPr>
            <w:tcW w:w="98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88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The Nasdaq Stock Market</w:t>
            </w:r>
          </w:p>
        </w:tc>
        <w:tc>
          <w:tcPr>
            <w:tcW w:w="98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4,726</w:t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4,359</w:t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Exchanges that comprise Nasdaq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Nordic and Nasdaq Baltic</w:t>
            </w:r>
          </w:p>
        </w:tc>
        <w:tc>
          <w:tcPr>
            <w:tcW w:w="9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1,103</w:t>
            </w:r>
          </w:p>
        </w:tc>
        <w:tc>
          <w:tcPr>
            <w:tcW w:w="1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1,133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ARR (in millions)</w:t>
            </w:r>
          </w:p>
        </w:tc>
        <w:tc>
          <w:tcPr>
            <w:tcW w:w="9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$813</w:t>
            </w:r>
          </w:p>
        </w:tc>
        <w:tc>
          <w:tcPr>
            <w:tcW w:w="1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$743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tables above: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number of total listed companies on The Nasdaq Stock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 as of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included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1,292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1,000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ETPs, respectively.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IPOs, new listings (which includes IPOs) and total listed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companies for exchanges that comprise Nasdaq Nordic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Baltic represent companies listed on the Nasdaq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Nordic and Nasdaq Baltic exchanges and companies listed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 the alternative markets of Nasdaq First North.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Data &amp; Listing Services revenues increased for the three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new data sales to new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existing clients,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pricing and usage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and increased revenue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from annual and initial listing fees due to new listings,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partially offset by the impact of prior year delistings and roll-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off of prior period amortization of initial listing fees.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increase in 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also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included a favorable impact from changes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foreign currency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rates.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Index Revenues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presents key drivers from our Index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business:</w:t>
      </w:r>
    </w:p>
    <w:tbl>
      <w:tblPr>
        <w:tblW w:w="48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91"/>
        <w:gridCol w:w="109"/>
        <w:gridCol w:w="1114"/>
        <w:gridCol w:w="179"/>
        <w:gridCol w:w="941"/>
      </w:tblGrid>
      <w:tr>
        <w:trPr/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As of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7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 licensed ETPs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487</w:t>
            </w:r>
          </w:p>
        </w:tc>
        <w:tc>
          <w:tcPr>
            <w:tcW w:w="1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439</w:t>
            </w:r>
          </w:p>
        </w:tc>
      </w:tr>
      <w:tr>
        <w:trPr/>
        <w:tc>
          <w:tcPr>
            <w:tcW w:w="4834" w:type="dxa"/>
            <w:gridSpan w:val="5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TTM change in period end ETP AUM tracking Nasdaq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indices (in billions)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Beginning balance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$829</w:t>
            </w:r>
          </w:p>
        </w:tc>
        <w:tc>
          <w:tcPr>
            <w:tcW w:w="1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$600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inflows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141</w:t>
            </w:r>
          </w:p>
        </w:tc>
        <w:tc>
          <w:tcPr>
            <w:tcW w:w="1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91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Net appreciation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190</w:t>
            </w:r>
          </w:p>
        </w:tc>
        <w:tc>
          <w:tcPr>
            <w:tcW w:w="1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138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Ending balance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$1,160</w:t>
            </w:r>
          </w:p>
        </w:tc>
        <w:tc>
          <w:tcPr>
            <w:tcW w:w="1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$829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Quarterly average ETP AUM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tracking Nasdaq indices (in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billions)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$1,108</w:t>
            </w:r>
          </w:p>
        </w:tc>
        <w:tc>
          <w:tcPr>
            <w:tcW w:w="1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$777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ARR (in millions)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$89</w:t>
            </w:r>
          </w:p>
        </w:tc>
        <w:tc>
          <w:tcPr>
            <w:tcW w:w="1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$81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table above, TTM represents trailing twelve months.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Index revenues increased for the three and nine months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 periods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higher average AUM in exchange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traded products linked to Nasdaq indices and higher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volume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based revenues.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Workflow &amp; Insights Revenues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presents key drivers from our Workflow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&amp; Insights business:</w:t>
      </w:r>
    </w:p>
    <w:tbl>
      <w:tblPr>
        <w:tblW w:w="45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975"/>
        <w:gridCol w:w="202"/>
        <w:gridCol w:w="1058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As of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ARR</w:t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$509</w:t>
            </w:r>
          </w:p>
        </w:tc>
        <w:tc>
          <w:tcPr>
            <w:tcW w:w="2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$479</w:t>
            </w:r>
          </w:p>
        </w:tc>
      </w:tr>
      <w:tr>
        <w:trPr/>
        <w:tc>
          <w:tcPr>
            <w:tcW w:w="23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Quarterly annualized SaaS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</w:t>
            </w:r>
          </w:p>
        </w:tc>
        <w:tc>
          <w:tcPr>
            <w:tcW w:w="9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440</w:t>
            </w:r>
          </w:p>
        </w:tc>
        <w:tc>
          <w:tcPr>
            <w:tcW w:w="2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410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Workflow &amp; Insights revenues increased for the three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an increase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analytics revenues, largely driven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eVestment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Nasdaq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Data Link sales growth.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Financial Technology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revenues from our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Technology segment:</w:t>
      </w:r>
    </w:p>
    <w:tbl>
      <w:tblPr>
        <w:tblW w:w="488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86"/>
        <w:gridCol w:w="1013"/>
        <w:gridCol w:w="163"/>
        <w:gridCol w:w="1013"/>
        <w:gridCol w:w="109"/>
        <w:gridCol w:w="796"/>
      </w:tblGrid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Financial Crime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Management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Technology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$103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22.9%</w:t>
            </w:r>
          </w:p>
        </w:tc>
      </w:tr>
      <w:tr>
        <w:trPr/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Regulatory Technology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123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12.9%</w:t>
            </w:r>
          </w:p>
        </w:tc>
      </w:tr>
      <w:tr>
        <w:trPr/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Capital Markets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Technology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303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14.7%</w:t>
            </w:r>
          </w:p>
        </w:tc>
      </w:tr>
      <w:tr>
        <w:trPr/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Technology</w:t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$529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$457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15.8%</w:t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Financial Crime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Management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Technology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$294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$241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21.9%</w:t>
            </w:r>
          </w:p>
        </w:tc>
      </w:tr>
      <w:tr>
        <w:trPr/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Regulatory Technology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361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14.8%</w:t>
            </w:r>
          </w:p>
        </w:tc>
      </w:tr>
      <w:tr>
        <w:trPr/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Capital Markets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Technology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930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16.7%</w:t>
            </w:r>
          </w:p>
        </w:tc>
      </w:tr>
      <w:tr>
        <w:trPr/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Technology</w:t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$1,585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$1,352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17.2%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Financial Crime Management Technology Revenues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presents key drivers for our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Crime Management Technology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business:</w:t>
      </w:r>
    </w:p>
    <w:tbl>
      <w:tblPr>
        <w:tblW w:w="501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71"/>
        <w:gridCol w:w="109"/>
        <w:gridCol w:w="975"/>
        <w:gridCol w:w="202"/>
        <w:gridCol w:w="1058"/>
      </w:tblGrid>
      <w:tr>
        <w:trPr/>
        <w:tc>
          <w:tcPr>
            <w:tcW w:w="2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As of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6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ARR and Quarterly annualized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SaaS revenues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$375</w:t>
            </w:r>
          </w:p>
        </w:tc>
        <w:tc>
          <w:tcPr>
            <w:tcW w:w="2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$316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Crime Management Technology revenues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increased for the three 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compared with the 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higher subscription revenues from new and existing clients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higher professional services revenues.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Regulatory Technology Revenues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presents key drivers for our Regulatory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Technology business:</w:t>
      </w:r>
    </w:p>
    <w:tbl>
      <w:tblPr>
        <w:tblW w:w="46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109"/>
        <w:gridCol w:w="975"/>
        <w:gridCol w:w="202"/>
        <w:gridCol w:w="1058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As of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ARR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$443</w:t>
            </w:r>
          </w:p>
        </w:tc>
        <w:tc>
          <w:tcPr>
            <w:tcW w:w="2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$389</w:t>
            </w:r>
          </w:p>
        </w:tc>
      </w:tr>
      <w:tr>
        <w:trPr/>
        <w:tc>
          <w:tcPr>
            <w:tcW w:w="23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Quarterly annualized SaaS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271</w:t>
            </w:r>
          </w:p>
        </w:tc>
        <w:tc>
          <w:tcPr>
            <w:tcW w:w="2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213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Regulatory Technology revenues increased for the three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increased subscription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revenues from our AxiomSL and Surveillance solutions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driven by price increases and upsells to existing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clients and revenues from new clients. The increase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also included a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favorable impact from changes in foreign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currency rates.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Capital Markets Technology Revenues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presents key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drivers for our Capital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Markets Technology business:</w:t>
      </w:r>
    </w:p>
    <w:tbl>
      <w:tblPr>
        <w:tblW w:w="4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1114"/>
        <w:gridCol w:w="179"/>
        <w:gridCol w:w="94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As of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7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3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ARR </w:t>
            </w:r>
          </w:p>
        </w:tc>
        <w:tc>
          <w:tcPr>
            <w:tcW w:w="11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$1,136</w:t>
            </w:r>
          </w:p>
        </w:tc>
        <w:tc>
          <w:tcPr>
            <w:tcW w:w="1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$957</w:t>
            </w:r>
          </w:p>
        </w:tc>
      </w:tr>
      <w:tr>
        <w:trPr/>
        <w:tc>
          <w:tcPr>
            <w:tcW w:w="23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Quarterly annualized SaaS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</w:t>
            </w:r>
          </w:p>
        </w:tc>
        <w:tc>
          <w:tcPr>
            <w:tcW w:w="11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181</w:t>
            </w:r>
          </w:p>
        </w:tc>
        <w:tc>
          <w:tcPr>
            <w:tcW w:w="1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153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Capital Markets Technology revenues increased for the three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with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the 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The increase was primarily due to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higher revenues from data center expansion, including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change in pricing structure,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 subscription revenues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across all businesses driven by upsells to existing clients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revenues from new clients,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partially offset by lower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professional services revenues. For the nine months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increase was also driven by higher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Calypso upfront license revenues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Market Services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revenues from our Market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Services segment:</w:t>
      </w:r>
    </w:p>
    <w:tbl>
      <w:tblPr>
        <w:tblW w:w="48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015"/>
        <w:gridCol w:w="160"/>
        <w:gridCol w:w="1015"/>
        <w:gridCol w:w="109"/>
        <w:gridCol w:w="82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Market Services </w:t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$1,221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26.2%</w:t>
            </w:r>
          </w:p>
        </w:tc>
      </w:tr>
      <w:tr>
        <w:trPr/>
        <w:tc>
          <w:tcPr>
            <w:tcW w:w="3886" w:type="dxa"/>
            <w:gridSpan w:val="4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Transaction-based expenses: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 rebates</w:t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(623)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(658)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(5.3)%</w:t>
            </w:r>
          </w:p>
        </w:tc>
      </w:tr>
      <w:tr>
        <w:trPr/>
        <w:tc>
          <w:tcPr>
            <w:tcW w:w="16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Brokerage,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clearance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exchange fees</w:t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(289)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N/M</w:t>
            </w:r>
          </w:p>
        </w:tc>
      </w:tr>
      <w:tr>
        <w:trPr/>
        <w:tc>
          <w:tcPr>
            <w:tcW w:w="16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Services, net</w:t>
            </w:r>
          </w:p>
        </w:tc>
        <w:tc>
          <w:tcPr>
            <w:tcW w:w="101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$309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$303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1.9%</w:t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9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6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Market Services </w:t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$3,640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$3,208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13.5%</w:t>
            </w:r>
          </w:p>
        </w:tc>
      </w:tr>
      <w:tr>
        <w:trPr/>
        <w:tc>
          <w:tcPr>
            <w:tcW w:w="3886" w:type="dxa"/>
            <w:gridSpan w:val="4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Transaction-based expenses: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 rebates</w:t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(2,059)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(1,882)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9.4%</w:t>
            </w:r>
          </w:p>
        </w:tc>
      </w:tr>
      <w:tr>
        <w:trPr/>
        <w:tc>
          <w:tcPr>
            <w:tcW w:w="16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Brokerage,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clearance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exchange fees</w:t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(616)</w:t>
            </w:r>
          </w:p>
        </w:tc>
        <w:tc>
          <w:tcPr>
            <w:tcW w:w="16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(436)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41.3%</w:t>
            </w:r>
          </w:p>
        </w:tc>
      </w:tr>
      <w:tr>
        <w:trPr/>
        <w:tc>
          <w:tcPr>
            <w:tcW w:w="16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Services, net</w:t>
            </w:r>
          </w:p>
        </w:tc>
        <w:tc>
          <w:tcPr>
            <w:tcW w:w="101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$965</w:t>
            </w:r>
          </w:p>
        </w:tc>
        <w:tc>
          <w:tcPr>
            <w:tcW w:w="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$890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8.5%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12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2"/>
          <w:u w:val="single"/>
        </w:rPr>
        <w:t>________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N/M  Not meaningful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35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net revenues by product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Market Services segment:</w:t>
      </w:r>
    </w:p>
    <w:tbl>
      <w:tblPr>
        <w:tblW w:w="49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6"/>
        <w:gridCol w:w="992"/>
        <w:gridCol w:w="205"/>
        <w:gridCol w:w="992"/>
        <w:gridCol w:w="109"/>
        <w:gridCol w:w="796"/>
      </w:tblGrid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Derivative Trading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$110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(11.8)%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Equity Trading</w:t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144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13.7%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U.S. Tape plans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2.3%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10.8%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Services, net</w:t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$309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$303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1.9%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Derivative Trading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$352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$346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1.8%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Equity Trading</w:t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442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15.8%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U.S. Tape plans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(2.6)%</w:t>
            </w:r>
          </w:p>
        </w:tc>
      </w:tr>
      <w:tr>
        <w:trPr/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71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19.9%</w:t>
            </w:r>
          </w:p>
        </w:tc>
      </w:tr>
      <w:tr>
        <w:trPr/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Services, net</w:t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$965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$890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8.5%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tables above, Other includes Nordic fixed income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trading &amp; clearing, Nordic derivatives and Canadian cash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equities trading.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U.S. Equity Derivative Trading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total revenues, transaction-based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expenses, and total revenues less transaction-based expenses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well as key drivers from our U.S. Equity Derivative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Trading business:</w:t>
      </w:r>
    </w:p>
    <w:tbl>
      <w:tblPr>
        <w:tblW w:w="447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51"/>
        <w:gridCol w:w="1013"/>
        <w:gridCol w:w="163"/>
        <w:gridCol w:w="1013"/>
        <w:gridCol w:w="109"/>
        <w:gridCol w:w="826"/>
      </w:tblGrid>
      <w:tr>
        <w:trPr/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Derivative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$420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(3.9)%</w:t>
            </w:r>
          </w:p>
        </w:tc>
      </w:tr>
      <w:tr>
        <w:trPr/>
        <w:tc>
          <w:tcPr>
            <w:tcW w:w="1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Section 31 fees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3540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Transaction-based expenses: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Transaction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rebates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(309)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(312)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(1.0)%</w:t>
            </w:r>
          </w:p>
        </w:tc>
      </w:tr>
      <w:tr>
        <w:trPr/>
        <w:tc>
          <w:tcPr>
            <w:tcW w:w="1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Section 31 fees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(33)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1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Brokerage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clearance fees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249.9%</w:t>
            </w:r>
          </w:p>
        </w:tc>
      </w:tr>
      <w:tr>
        <w:trPr/>
        <w:tc>
          <w:tcPr>
            <w:tcW w:w="1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Derivative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Revenues, net</w:t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$110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(11.8)%</w:t>
            </w:r>
          </w:p>
        </w:tc>
      </w:tr>
      <w:tr>
        <w:trPr/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Derivative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$1,313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3.4%</w:t>
            </w:r>
          </w:p>
        </w:tc>
      </w:tr>
      <w:tr>
        <w:trPr/>
        <w:tc>
          <w:tcPr>
            <w:tcW w:w="1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Section 31 fees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68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44.2%</w:t>
            </w:r>
          </w:p>
        </w:tc>
      </w:tr>
      <w:tr>
        <w:trPr/>
        <w:tc>
          <w:tcPr>
            <w:tcW w:w="3540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Transaction-based expenses: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Transaction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rebates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(959)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(922)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4.0%</w:t>
            </w:r>
          </w:p>
        </w:tc>
      </w:tr>
      <w:tr>
        <w:trPr/>
        <w:tc>
          <w:tcPr>
            <w:tcW w:w="1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Section 31 fees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(68)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44.2%</w:t>
            </w:r>
          </w:p>
        </w:tc>
      </w:tr>
      <w:tr>
        <w:trPr/>
        <w:tc>
          <w:tcPr>
            <w:tcW w:w="13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Brokerage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clearance fees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(2)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(18.4)%</w:t>
            </w:r>
          </w:p>
        </w:tc>
      </w:tr>
      <w:tr>
        <w:trPr/>
        <w:tc>
          <w:tcPr>
            <w:tcW w:w="13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Derivative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Revenues, net</w:t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$352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$346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1.8%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Section 31 fees are recorded as U.S. equity derivative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cash equity trading revenues with a corresponding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amount recorded in transaction-based expenses. We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assessed these fees from the SEC and pass them through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customers in the form of incremental fees. Pass-through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fees can increase or decrease due to rate changes by the SEC,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percentage of the overall industry volumes processed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systems, and differences in actual dollar value traded.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Section 31 fees increased for the three and nine months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 periods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2025, primarily due to a higher average SEC fee rate. Since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amount recorded in revenues is equal to the amount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recorded as Section 31 fees, there is no impact on our net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revenues.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36</w:t>
      </w:r>
    </w:p>
    <w:tbl>
      <w:tblPr>
        <w:tblW w:w="49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86"/>
        <w:gridCol w:w="996"/>
        <w:gridCol w:w="172"/>
        <w:gridCol w:w="1067"/>
      </w:tblGrid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7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  <w:t>U.S. equity options</w:t>
            </w:r>
          </w:p>
        </w:tc>
        <w:tc>
          <w:tcPr>
            <w:tcW w:w="9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industry average daily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volume (in millions)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63.8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55.8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PHLX matched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</w:t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10.4%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10.4%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Nasdaq Options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matched market share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3.2%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2.5%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Texas Options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matched market share</w:t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1.2%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1.6%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ISE Options matched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 share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6.6%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7.0%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GEMX Options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matched market share</w:t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3.2%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3.5%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MRX Options matched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 share</w:t>
            </w:r>
          </w:p>
        </w:tc>
        <w:tc>
          <w:tcPr>
            <w:tcW w:w="9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3.5%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3.5%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matched market share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executed on Nasdaq’s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exchanges</w:t>
            </w:r>
          </w:p>
        </w:tc>
        <w:tc>
          <w:tcPr>
            <w:tcW w:w="99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28.1%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28.5%</w:t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  <w:t>U.S. equity options</w:t>
            </w:r>
          </w:p>
        </w:tc>
        <w:tc>
          <w:tcPr>
            <w:tcW w:w="9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7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industry average daily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volume (in millions)</w:t>
            </w:r>
          </w:p>
        </w:tc>
        <w:tc>
          <w:tcPr>
            <w:tcW w:w="99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64.3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54.0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PHLX matched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</w:t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11.4%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9.7%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Nasdaq Options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matched market share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2.8%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3.9%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Texas Options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matched market share</w:t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1.3%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1.7%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ISE Options matched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 share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6.4%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6.8%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GEMX Options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matched market share</w:t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3.3%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3.9%</w:t>
            </w:r>
          </w:p>
        </w:tc>
      </w:tr>
      <w:tr>
        <w:trPr/>
        <w:tc>
          <w:tcPr>
            <w:tcW w:w="26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Nasdaq MRX Options matched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 share</w:t>
            </w:r>
          </w:p>
        </w:tc>
        <w:tc>
          <w:tcPr>
            <w:tcW w:w="9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3.9%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3.0%</w:t>
            </w:r>
          </w:p>
        </w:tc>
      </w:tr>
      <w:tr>
        <w:trPr/>
        <w:tc>
          <w:tcPr>
            <w:tcW w:w="26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matched market share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executed on Nasdaq’s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exchanges</w:t>
            </w:r>
          </w:p>
        </w:tc>
        <w:tc>
          <w:tcPr>
            <w:tcW w:w="99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29.1%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29.0%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equity derivative trading revenues and U.S.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derivative trading revenues, net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the three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lower capture, partially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offset by higher industry trading volumes. U.S.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derivative trading revenues and U.S. equity derivative trading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revenues, net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compared with the same 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due to higher industry trading volumes, partially offset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lower capture.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Transaction rebates, in which we credit a portion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execution charge to the market participant, decreased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three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same 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lower rebate capture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rate, partially offset by higher industry trading volumes.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Cash Equity Trading Revenues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total revenues, transaction-based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expenses, and total revenues less transaction-based expenses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well as key drivers and other metrics from our Cash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Trading business:</w:t>
      </w:r>
    </w:p>
    <w:tbl>
      <w:tblPr>
        <w:tblW w:w="476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6"/>
        <w:gridCol w:w="1025"/>
        <w:gridCol w:w="161"/>
        <w:gridCol w:w="1003"/>
        <w:gridCol w:w="109"/>
        <w:gridCol w:w="826"/>
      </w:tblGrid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Cash Equity Trading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0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$456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(3.1)%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  <w:u w:val="single"/>
              </w:rPr>
              <w:t>Section 31 fees</w:t>
            </w:r>
          </w:p>
        </w:tc>
        <w:tc>
          <w:tcPr>
            <w:tcW w:w="10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251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N/M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Transaction-based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expenses:</w:t>
            </w:r>
          </w:p>
        </w:tc>
        <w:tc>
          <w:tcPr>
            <w:tcW w:w="10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Transaction rebates</w:t>
            </w:r>
          </w:p>
        </w:tc>
        <w:tc>
          <w:tcPr>
            <w:tcW w:w="10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(308)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(338)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(8.9)%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  <w:u w:val="single"/>
              </w:rPr>
              <w:t>Section 31 fees</w:t>
            </w:r>
          </w:p>
        </w:tc>
        <w:tc>
          <w:tcPr>
            <w:tcW w:w="10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(251)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N/M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Brokerage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clearance fees</w:t>
            </w:r>
          </w:p>
        </w:tc>
        <w:tc>
          <w:tcPr>
            <w:tcW w:w="102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(30.0)%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Cash equity trading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revenues, net</w:t>
            </w:r>
          </w:p>
        </w:tc>
        <w:tc>
          <w:tcPr>
            <w:tcW w:w="102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$144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13.7%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Cash Equity Trading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</w:t>
            </w:r>
          </w:p>
        </w:tc>
        <w:tc>
          <w:tcPr>
            <w:tcW w:w="10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$1,535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14.5%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Section 31 fees</w:t>
            </w:r>
          </w:p>
        </w:tc>
        <w:tc>
          <w:tcPr>
            <w:tcW w:w="10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531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44.8%</w:t>
            </w:r>
          </w:p>
        </w:tc>
      </w:tr>
      <w:tr>
        <w:trPr/>
        <w:tc>
          <w:tcPr>
            <w:tcW w:w="3825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Transaction-based expenses: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Transaction rebates</w:t>
            </w:r>
          </w:p>
        </w:tc>
        <w:tc>
          <w:tcPr>
            <w:tcW w:w="102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(1,078)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(940)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14.8%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Section 31 fees</w:t>
            </w:r>
          </w:p>
        </w:tc>
        <w:tc>
          <w:tcPr>
            <w:tcW w:w="102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(531)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(367)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44.8%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Brokerage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clearance fees</w:t>
            </w:r>
          </w:p>
        </w:tc>
        <w:tc>
          <w:tcPr>
            <w:tcW w:w="102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(15)</w:t>
            </w:r>
          </w:p>
        </w:tc>
        <w:tc>
          <w:tcPr>
            <w:tcW w:w="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(18.2%)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Cash equity trading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revenues, net</w:t>
            </w:r>
          </w:p>
        </w:tc>
        <w:tc>
          <w:tcPr>
            <w:tcW w:w="102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$442</w:t>
            </w:r>
          </w:p>
        </w:tc>
        <w:tc>
          <w:tcPr>
            <w:tcW w:w="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$381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15.8%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12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2"/>
          <w:u w:val="single"/>
        </w:rPr>
        <w:t>________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N/M  Not meaningful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the discussion above for an explanation of Section 31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fees for the three 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compared with the 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37</w:t>
      </w:r>
    </w:p>
    <w:tbl>
      <w:tblPr>
        <w:tblW w:w="48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1017"/>
        <w:gridCol w:w="142"/>
        <w:gridCol w:w="1076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4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  <w:t>Total U.S.-listed securities</w:t>
            </w:r>
          </w:p>
        </w:tc>
        <w:tc>
          <w:tcPr>
            <w:tcW w:w="101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industry average daily share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volume (in billions)</w:t>
            </w:r>
          </w:p>
        </w:tc>
        <w:tc>
          <w:tcPr>
            <w:tcW w:w="10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16.9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17.6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Matched share volume (in billions)</w:t>
            </w:r>
          </w:p>
        </w:tc>
        <w:tc>
          <w:tcPr>
            <w:tcW w:w="10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157.5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158.6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Nasdaq Stock Market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matched market share</w:t>
            </w:r>
          </w:p>
        </w:tc>
        <w:tc>
          <w:tcPr>
            <w:tcW w:w="10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14.1%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13.7%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Nasdaq Texas matched market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</w:t>
            </w:r>
          </w:p>
        </w:tc>
        <w:tc>
          <w:tcPr>
            <w:tcW w:w="10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0.3%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0.3%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Nasdaq PSX matched market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</w:t>
            </w:r>
          </w:p>
        </w:tc>
        <w:tc>
          <w:tcPr>
            <w:tcW w:w="101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0.1%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0.1%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matched market share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executed on Nasdaq’s exchanges</w:t>
            </w:r>
          </w:p>
        </w:tc>
        <w:tc>
          <w:tcPr>
            <w:tcW w:w="101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14.5%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14.1%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Market share reported to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FINRA/Nasdaq Trade Reporting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Facility</w:t>
            </w:r>
          </w:p>
        </w:tc>
        <w:tc>
          <w:tcPr>
            <w:tcW w:w="101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47.7%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47.6%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market share</w:t>
            </w:r>
          </w:p>
        </w:tc>
        <w:tc>
          <w:tcPr>
            <w:tcW w:w="101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62.2%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61.7%</w:t>
            </w:r>
          </w:p>
        </w:tc>
      </w:tr>
      <w:tr>
        <w:trPr/>
        <w:tc>
          <w:tcPr>
            <w:tcW w:w="4846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  <w:t>Nasdaq Nordic and Nasdaq Baltic securities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Average daily number of equity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trades executed on Nasdaq’s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exchanges</w:t>
            </w:r>
          </w:p>
        </w:tc>
        <w:tc>
          <w:tcPr>
            <w:tcW w:w="10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653,117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627,568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average daily value of shares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traded (in billions)</w:t>
            </w:r>
          </w:p>
        </w:tc>
        <w:tc>
          <w:tcPr>
            <w:tcW w:w="10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$5.3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$4.5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market share executed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Nasdaq’s exchanges</w:t>
            </w:r>
          </w:p>
        </w:tc>
        <w:tc>
          <w:tcPr>
            <w:tcW w:w="10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75.0%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72.8%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  <w:t>Total U.S.-listed securities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4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industry average daily share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volume (in billions)</w:t>
            </w:r>
          </w:p>
        </w:tc>
        <w:tc>
          <w:tcPr>
            <w:tcW w:w="101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19.0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17.2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Matched share volume (in billions)</w:t>
            </w:r>
          </w:p>
        </w:tc>
        <w:tc>
          <w:tcPr>
            <w:tcW w:w="10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525.7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454.4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The Nasdaq Stock Market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matched market share</w:t>
            </w:r>
          </w:p>
        </w:tc>
        <w:tc>
          <w:tcPr>
            <w:tcW w:w="10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14.4%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13.8%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Nasdaq Texas matched market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</w:t>
            </w:r>
          </w:p>
        </w:tc>
        <w:tc>
          <w:tcPr>
            <w:tcW w:w="10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0.3%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0.3%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Nasdaq PSX matched market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</w:t>
            </w:r>
          </w:p>
        </w:tc>
        <w:tc>
          <w:tcPr>
            <w:tcW w:w="101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0.1%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0.1%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matched market share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executed on Nasdaq’s exchanges</w:t>
            </w:r>
          </w:p>
        </w:tc>
        <w:tc>
          <w:tcPr>
            <w:tcW w:w="101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14.8%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14.2%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Market share reported to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FINRA/Nasdaq Trade Reporting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Facility</w:t>
            </w:r>
          </w:p>
        </w:tc>
        <w:tc>
          <w:tcPr>
            <w:tcW w:w="101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46.5%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47.7%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market share</w:t>
            </w:r>
          </w:p>
        </w:tc>
        <w:tc>
          <w:tcPr>
            <w:tcW w:w="101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61.3%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61.9%</w:t>
            </w:r>
          </w:p>
        </w:tc>
      </w:tr>
      <w:tr>
        <w:trPr/>
        <w:tc>
          <w:tcPr>
            <w:tcW w:w="4846" w:type="dxa"/>
            <w:gridSpan w:val="4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color w:val="000000"/>
                <w:sz w:val="18"/>
                <w:u w:val="single"/>
              </w:rPr>
              <w:t>Nasdaq Nordic and Nasdaq Baltic securities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Average daily number of equity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trades executed on Nasdaq’s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exchanges</w:t>
            </w:r>
          </w:p>
        </w:tc>
        <w:tc>
          <w:tcPr>
            <w:tcW w:w="10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730,953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736,829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average daily value of shares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traded (in billions)</w:t>
            </w:r>
          </w:p>
        </w:tc>
        <w:tc>
          <w:tcPr>
            <w:tcW w:w="101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$6.0</w:t>
            </w:r>
          </w:p>
        </w:tc>
        <w:tc>
          <w:tcPr>
            <w:tcW w:w="14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$5.2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Total market share executed 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Nasdaq’s exchanges</w:t>
            </w:r>
          </w:p>
        </w:tc>
        <w:tc>
          <w:tcPr>
            <w:tcW w:w="10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74.6%</w:t>
            </w:r>
          </w:p>
        </w:tc>
        <w:tc>
          <w:tcPr>
            <w:tcW w:w="14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71.8%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Cash equity trading revenues decreased for the three months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 period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lower U.S. industry trading volumes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lower U.S. gross capture rate, partially offset by higher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matched market share executed on Nasdaq's exchanges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higher European trading volumes.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Cash equity trading revenues, net increased for the three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higher U.S. capture rate,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higher U.S. matched market share executed on Nasdaq's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exchanges and higher European trading volumes, partially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offset by lower U.S. industry trading volumes.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Cash equity trading revenues and Cash equity trading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revenues, net increased for 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compared with the same 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due to higher U.S. industry trading volumes and U.S.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European matched market share executed on Nasdaq's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exchanges. The increase in cash equity trading revenues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partially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offset by lower capture ra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Transaction rebates, in which we credit a portion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execution charge to the market participant, decreased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three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same 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lower industry trading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volumes, partially offset by higher U.S. matched market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share executed on Nasdaq’s exchanges. The increase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is primarily driven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 higher industry trading volumes and higher U.S. matched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 share executed on Nasdaq’s exchanges, partially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offset by lower capture rate. For The Nasdaq Stock Market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Nasdaq PSX, we credit a portion of the per share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execution charge to the market participant that provides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liquidity, and for Nasdaq Texas, we credit a portion of the per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share execution charge to the market participant that takes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liquidity.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U.S. Tape Plans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revenues from our U.S. Tape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plans business:</w:t>
      </w:r>
    </w:p>
    <w:tbl>
      <w:tblPr>
        <w:tblW w:w="43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1"/>
        <w:gridCol w:w="992"/>
        <w:gridCol w:w="205"/>
        <w:gridCol w:w="992"/>
        <w:gridCol w:w="109"/>
        <w:gridCol w:w="796"/>
      </w:tblGrid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U.S. Tape plans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$33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2.3%</w:t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U.S. Tape plans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$100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(2.6)%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Tape plans revenues remained relatively flat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three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with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same 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The decrease for the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nine months ended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due to lower audit revenues,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partially offset by an industry-wide adjustment in 2025.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38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Other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Other includes Nordic fixed income trading and clearing,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Nordic derivatives and Canadian cash equities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trading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following tables present revenues from our Other business:</w:t>
      </w:r>
    </w:p>
    <w:tbl>
      <w:tblPr>
        <w:tblW w:w="36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1"/>
        <w:gridCol w:w="969"/>
        <w:gridCol w:w="251"/>
        <w:gridCol w:w="969"/>
        <w:gridCol w:w="109"/>
        <w:gridCol w:w="796"/>
      </w:tblGrid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</w:t>
            </w:r>
          </w:p>
        </w:tc>
        <w:tc>
          <w:tcPr>
            <w:tcW w:w="9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$22</w:t>
            </w:r>
          </w:p>
        </w:tc>
        <w:tc>
          <w:tcPr>
            <w:tcW w:w="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10.8%</w:t>
            </w:r>
          </w:p>
        </w:tc>
      </w:tr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6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</w:t>
            </w:r>
          </w:p>
        </w:tc>
        <w:tc>
          <w:tcPr>
            <w:tcW w:w="9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$71</w:t>
            </w:r>
          </w:p>
        </w:tc>
        <w:tc>
          <w:tcPr>
            <w:tcW w:w="2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19.9%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preceding tables, Other is presented net of Canadian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cash equity transaction rebates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 million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the three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respectively,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$22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$20 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for the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respectively.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Other revenues increased for the three and nine months ended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 periods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due to an increase in Nordic fixed income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revenues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driven by higher volumes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The increase for the nine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period in 2025, was also due to an increase in Canadian cash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equity revenues.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Other Revenues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three months ended September 30, 2026,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revenues related to our Nasdaq Metrio platform and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sustainability advisory business that is in the process of being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wound down.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Other revenues also included our Nordic power futures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 and Nasdaq Fund Secondaries. For the three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nine months ended September 30, 2025, Other revenues also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included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Solovis business. See Note 4, </w:t>
      </w: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Acquisitions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Divestitures,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the condensed consolidated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for further discussion.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EXPENSES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Operating Expenses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our operating expenses:</w:t>
      </w:r>
    </w:p>
    <w:tbl>
      <w:tblPr>
        <w:tblW w:w="503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31"/>
        <w:gridCol w:w="1013"/>
        <w:gridCol w:w="163"/>
        <w:gridCol w:w="1013"/>
        <w:gridCol w:w="109"/>
        <w:gridCol w:w="901"/>
      </w:tblGrid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Compensation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benefits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$379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$353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7.4%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Professional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contract services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42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11.6%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Technology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communication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infrastructure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93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16.0%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Occupancy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5.2%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General,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administrative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(92.9)%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Marketing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advertising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33.2%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Depreciation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165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4.8%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Regulatory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(10.3)%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Merger and strategic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initiatives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(38.3)%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Restructuring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charges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(100.0)%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operating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$749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$729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2.7%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Compensation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benefits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$1,118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$1,033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8.2%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Professional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contract services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124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10.2%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Technology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communication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infrastructure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264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11.9%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Occupancy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103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13.4%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General,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administrative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5.8%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Marketing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advertising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48.5%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Depreciation and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496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5.3%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Regulatory</w:t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(28.3)%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Merger and strategic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initiatives</w:t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(73.7)%</w:t>
            </w:r>
          </w:p>
        </w:tc>
      </w:tr>
      <w:tr>
        <w:trPr/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Restructuring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charges</w:t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1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(7.9)%</w:t>
            </w:r>
          </w:p>
        </w:tc>
      </w:tr>
      <w:tr>
        <w:trPr/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operating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expenses</w:t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$2,287</w:t>
            </w:r>
          </w:p>
        </w:tc>
        <w:tc>
          <w:tcPr>
            <w:tcW w:w="1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$2,155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6.1%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39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increase in compensation and benefits expense for the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three 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with the 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was primarily driven by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higher incentive compensation driven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strong revenue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Headcount, including employees of non-wholly owned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subsidiaries,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9,593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employees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9,625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employees as of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30, 2025.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Professional and contract services expense increased for the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three 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with the 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higher legal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fee accruals.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Technology and communication infrastructure expense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increased for the three 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compared with the 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increased investment in technology, particularly our cloud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initiatives and software licensing.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Occupancy expense increased for the three and nine months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 periods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colocation data center expansion.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General, administrative and other expense decreased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three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same 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due to a favorable legal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settlemen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t. The increase for the nine months ended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with the same period in 2025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primarily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due to a gain on extinguishment of debt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recorded in the first quarter of 2025 and other individually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immaterial increases, partially offset by a favorable legal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settlement in the third quarter of 2026.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Marketing and advertising expense increased for the three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the same 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a strengthening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IPO environment.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Depreciation and amortization expense increased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 and nine months ended September 30, 2026, compared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the same periods in 2025, due to increased depreciation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capitalized software projects.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Regulatory expense decreased for the three and nine months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 periods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lower CAT operating costs.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have pursued various strategic initiatives and completed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acquisitions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divestitures i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 recent years, which have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resulted in expenses which would not have otherwise been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incurred. These expenses generally include integration costs,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well as legal, due diligence and other third-party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transaction costs and vary based on the size and frequency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activities described above. For the three and nine months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these costs included amounts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associated with various strategic initiative costs. For the three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these costs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included amounts associated with the transfer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open positions in our Nordic power futures business, Adenza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integration costs and other strategic initiative costs.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Restructuring charges decreased for the three and nine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periods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due to the completion of our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restructuring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program.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Note 19, “Restructuring Charges,”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the condensed consolidated financial statements for further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discussion.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Non-Operating Income and Expenses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our non-operating income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expenses:</w:t>
      </w:r>
    </w:p>
    <w:tbl>
      <w:tblPr>
        <w:tblW w:w="49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914"/>
        <w:gridCol w:w="184"/>
        <w:gridCol w:w="1092"/>
        <w:gridCol w:w="109"/>
        <w:gridCol w:w="826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8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Interest income</w:t>
            </w:r>
          </w:p>
        </w:tc>
        <w:tc>
          <w:tcPr>
            <w:tcW w:w="9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</w:t>
            </w:r>
          </w:p>
        </w:tc>
        <w:tc>
          <w:tcPr>
            <w:tcW w:w="1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17.0%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Interest expense</w:t>
            </w:r>
          </w:p>
        </w:tc>
        <w:tc>
          <w:tcPr>
            <w:tcW w:w="91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(86)</w:t>
            </w:r>
          </w:p>
        </w:tc>
        <w:tc>
          <w:tcPr>
            <w:tcW w:w="1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(1.5)%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Net interest expense</w:t>
            </w:r>
          </w:p>
        </w:tc>
        <w:tc>
          <w:tcPr>
            <w:tcW w:w="91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(76)</w:t>
            </w:r>
          </w:p>
        </w:tc>
        <w:tc>
          <w:tcPr>
            <w:tcW w:w="1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(3.5)%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Net loss on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divestitures</w:t>
            </w:r>
          </w:p>
        </w:tc>
        <w:tc>
          <w:tcPr>
            <w:tcW w:w="9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100.0%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 income (loss)</w:t>
            </w:r>
          </w:p>
        </w:tc>
        <w:tc>
          <w:tcPr>
            <w:tcW w:w="9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</w:t>
            </w:r>
          </w:p>
        </w:tc>
        <w:tc>
          <w:tcPr>
            <w:tcW w:w="1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N/M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Net income from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unconsolidated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investees</w:t>
            </w:r>
          </w:p>
        </w:tc>
        <w:tc>
          <w:tcPr>
            <w:tcW w:w="91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</w:t>
            </w:r>
          </w:p>
        </w:tc>
        <w:tc>
          <w:tcPr>
            <w:tcW w:w="1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59.7%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non-operating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expense </w:t>
            </w:r>
          </w:p>
        </w:tc>
        <w:tc>
          <w:tcPr>
            <w:tcW w:w="91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$(31)</w:t>
            </w:r>
          </w:p>
        </w:tc>
        <w:tc>
          <w:tcPr>
            <w:tcW w:w="1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$(57)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(45.2)%</w:t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8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9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Interest income</w:t>
            </w:r>
          </w:p>
        </w:tc>
        <w:tc>
          <w:tcPr>
            <w:tcW w:w="9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$23</w:t>
            </w:r>
          </w:p>
        </w:tc>
        <w:tc>
          <w:tcPr>
            <w:tcW w:w="1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(27.2)%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Interest expense</w:t>
            </w:r>
          </w:p>
        </w:tc>
        <w:tc>
          <w:tcPr>
            <w:tcW w:w="91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(259)</w:t>
            </w:r>
          </w:p>
        </w:tc>
        <w:tc>
          <w:tcPr>
            <w:tcW w:w="1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(279)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(7.2)%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Net interest expense</w:t>
            </w:r>
          </w:p>
        </w:tc>
        <w:tc>
          <w:tcPr>
            <w:tcW w:w="91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(236)</w:t>
            </w:r>
          </w:p>
        </w:tc>
        <w:tc>
          <w:tcPr>
            <w:tcW w:w="1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(247)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(4.6)%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Net gain on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divestitures</w:t>
            </w:r>
          </w:p>
        </w:tc>
        <w:tc>
          <w:tcPr>
            <w:tcW w:w="9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84</w:t>
            </w:r>
          </w:p>
        </w:tc>
        <w:tc>
          <w:tcPr>
            <w:tcW w:w="1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126.4%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 income (loss)</w:t>
            </w:r>
          </w:p>
        </w:tc>
        <w:tc>
          <w:tcPr>
            <w:tcW w:w="9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N/M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Net income from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unconsolidated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investees</w:t>
            </w:r>
          </w:p>
        </w:tc>
        <w:tc>
          <w:tcPr>
            <w:tcW w:w="91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86</w:t>
            </w:r>
          </w:p>
        </w:tc>
        <w:tc>
          <w:tcPr>
            <w:tcW w:w="1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16.4%</w:t>
            </w:r>
          </w:p>
        </w:tc>
      </w:tr>
      <w:tr>
        <w:trPr/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Total non-operating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expense</w:t>
            </w:r>
          </w:p>
        </w:tc>
        <w:tc>
          <w:tcPr>
            <w:tcW w:w="91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$(70)</w:t>
            </w:r>
          </w:p>
        </w:tc>
        <w:tc>
          <w:tcPr>
            <w:tcW w:w="1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$(137)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(48.9)%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12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2"/>
          <w:u w:val="single"/>
        </w:rPr>
        <w:t>________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N/M  Not meaningful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40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our interest expense:</w:t>
      </w:r>
    </w:p>
    <w:tbl>
      <w:tblPr>
        <w:tblW w:w="482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26"/>
        <w:gridCol w:w="992"/>
        <w:gridCol w:w="205"/>
        <w:gridCol w:w="992"/>
        <w:gridCol w:w="109"/>
        <w:gridCol w:w="796"/>
      </w:tblGrid>
      <w:tr>
        <w:trPr/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Interest expense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debt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$83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(1.2)%</w:t>
            </w:r>
          </w:p>
        </w:tc>
      </w:tr>
      <w:tr>
        <w:trPr/>
        <w:tc>
          <w:tcPr>
            <w:tcW w:w="17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Accretion of debt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issuance costs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debt discount</w:t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(8.1)%</w:t>
            </w:r>
          </w:p>
        </w:tc>
      </w:tr>
      <w:tr>
        <w:trPr/>
        <w:tc>
          <w:tcPr>
            <w:tcW w:w="17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fees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(17.2)%</w:t>
            </w:r>
          </w:p>
        </w:tc>
      </w:tr>
      <w:tr>
        <w:trPr/>
        <w:tc>
          <w:tcPr>
            <w:tcW w:w="17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expense</w:t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$86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(1.5)%</w:t>
            </w:r>
          </w:p>
        </w:tc>
      </w:tr>
      <w:tr>
        <w:trPr/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20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8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7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Interest expense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debt</w:t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$250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$269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(7.1)%</w:t>
            </w:r>
          </w:p>
        </w:tc>
      </w:tr>
      <w:tr>
        <w:trPr/>
        <w:tc>
          <w:tcPr>
            <w:tcW w:w="17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Accretion of debt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issuance costs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debt discount</w:t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(9.4)%</w:t>
            </w:r>
          </w:p>
        </w:tc>
      </w:tr>
      <w:tr>
        <w:trPr/>
        <w:tc>
          <w:tcPr>
            <w:tcW w:w="17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fees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20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(10.0)%</w:t>
            </w:r>
          </w:p>
        </w:tc>
      </w:tr>
      <w:tr>
        <w:trPr/>
        <w:tc>
          <w:tcPr>
            <w:tcW w:w="17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expense</w:t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$259</w:t>
            </w:r>
          </w:p>
        </w:tc>
        <w:tc>
          <w:tcPr>
            <w:tcW w:w="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$279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(7.2)%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 income increased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three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with the same period in 2025,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due to a higher average cash balance and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favorable interest rate environment. Interest income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decreased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with the same period in 2025, primarily due to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lower average cash balance, partially offset by a favorable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interest rate environment.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Interest expense decreased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three and nine months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compared with the same periods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2025, primarily due to lower outstanding debt following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repayment of our 2025 Notes and the partial repurchases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several series of outstanding senior unsecured notes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2025.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For the three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the Net loss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on divestitures relates to the net impact of the sale of the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Nasdaq Metrio platform and related customer contracts and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the sale of Nasdaq Fund Secondaries. Net gain on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divestitures for 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and September 30, 2025 primarily relates to the divestiture of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our Nordic power futures business, net of costs to sell, which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for 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is partially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offset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by the net loss described above for the three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. For the nine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September 30, 2025, this also includes a gain on the sale of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our Nasdaq Risk Modelling for Catastrophes business, net of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costs to sell.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See Note 4, “Acquisitions and Divestitures,”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the condensed consolidated financial statements for further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discussion of these transactions.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Other income (loss) primarily represents realized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unrealized gains and losses from strategic investments related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our corporate venture program. For the nine months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this also includes the impairment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intangible assets related to customer relationships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licenses associated with the wind-down of our Nordic power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futures business. See “Acquired Intangible Assets,” of Note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5, “Goodwill and Acquired Intangible Assets,” and “Equity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Investments,” of Note 6, “Investments,” to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financial statements for further discussion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transactions.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Net income from unconsolidated investees primarily relates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income recognized from our equity method investment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OCC. See “Equity Investments,” of Note 6, “Investments,”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condensed consolidated financial statements for further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discussion.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Tax Matters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our income tax provision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effective tax rate:</w:t>
      </w:r>
    </w:p>
    <w:tbl>
      <w:tblPr>
        <w:tblW w:w="49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1008"/>
        <w:gridCol w:w="174"/>
        <w:gridCol w:w="1008"/>
        <w:gridCol w:w="109"/>
        <w:gridCol w:w="796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7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tax provision</w:t>
            </w:r>
          </w:p>
        </w:tc>
        <w:tc>
          <w:tcPr>
            <w:tcW w:w="10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$162</w:t>
            </w:r>
          </w:p>
        </w:tc>
        <w:tc>
          <w:tcPr>
            <w:tcW w:w="17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51.0%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Effective tax rate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22.9%</w:t>
            </w:r>
          </w:p>
        </w:tc>
        <w:tc>
          <w:tcPr>
            <w:tcW w:w="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20.0%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7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tax provision</w:t>
            </w:r>
          </w:p>
        </w:tc>
        <w:tc>
          <w:tcPr>
            <w:tcW w:w="10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$466</w:t>
            </w:r>
          </w:p>
        </w:tc>
        <w:tc>
          <w:tcPr>
            <w:tcW w:w="17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$296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57.0%</w:t>
            </w:r>
          </w:p>
        </w:tc>
      </w:tr>
      <w:tr>
        <w:trPr/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Effective tax rate</w:t>
            </w:r>
          </w:p>
        </w:tc>
        <w:tc>
          <w:tcPr>
            <w:tcW w:w="10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22.9%</w:t>
            </w:r>
          </w:p>
        </w:tc>
        <w:tc>
          <w:tcPr>
            <w:tcW w:w="1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18.9%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further discussion of our tax matters, see Note 16,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Income Taxes,” to the condensed consolidated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NON-GAAP FINANCIAL MEASURES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addition to disclosing results determined in accordance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U.S. GAAP, we also provide non-GAAP net income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non-GAAP diluted earnings per share in this Quarterly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Report on Form 10-Q. Management uses this non-GAAP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information internally, along with U.S. GAAP information,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evaluating our performance and in making financial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operational decisions. We believe our presentation of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measures provides investors with greater transparency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supplemental data relating to our financial condition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results of operations. In addition, we believe the presentation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these measures is useful to investors for period-to-period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comparisons of our ongoing operating 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41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measures are not in accordance with, or an alternative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to, U.S. GAAP, and may be different from non-GAAP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measures used by other companies. In addition,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companies, including companies in our industry,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calculate such measures differently, which reduces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usefulness as comparative measures. Investors should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rely on any single financial measure when evaluating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business. This non-GAAP information should be considered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supplemental in nature and is not meant as a substitute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operating results in accordance with U.S. GAAP.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recommend investors review the U.S. GAAP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measures included in this Quarterly Report on Form 10-Q,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including our condensed consolidated financial statements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the notes thereto. When viewed in conjunction with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GAAP results and the accompanying reconciliation,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believe these non-GAAP measures provide greater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transparency and a more complete understanding of factors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affecting our business than U.S. GAAP measures alone.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understand that analysts and investors regularly rely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non-GAAP financial measures, such as non-GAAP net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income and non-GAAP diluted earnings per share, to assess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operating performance. We use non-GAAP net income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non-GAAP diluted earnings per share because they highlight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trends more clearly in our business that may not otherwise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apparent when relying solely on U.S. GAAP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measures, since these measures eliminate from our results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specific financial items that have less bearing on our ongoing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operating performance.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tables present reconciliations between U.S.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GAAP net income and diluted earnings per share and non-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GAAP net income and diluted earnings per share:</w:t>
      </w:r>
    </w:p>
    <w:tbl>
      <w:tblPr>
        <w:tblW w:w="48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996"/>
        <w:gridCol w:w="172"/>
        <w:gridCol w:w="1067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23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 Months Ended September 30,</w:t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2026</w:t>
            </w:r>
          </w:p>
        </w:tc>
        <w:tc>
          <w:tcPr>
            <w:tcW w:w="17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2025</w:t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(in millions, except per share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amounts)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GAAP net income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attributable to Nasdaq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$540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$423</w:t>
            </w:r>
          </w:p>
        </w:tc>
      </w:tr>
      <w:tr>
        <w:trPr/>
        <w:tc>
          <w:tcPr>
            <w:tcW w:w="3577" w:type="dxa"/>
            <w:gridSpan w:val="2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Non-GAAP adjustments: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Amortization expense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acquired intangible assets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121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122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Merger and strategic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initiatives expense</w:t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Restructuring charges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loss on divestitures</w:t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Net income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unconsolidated investees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(38)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(24)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Legal and regulatory matters</w:t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(16)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(income) loss</w:t>
            </w:r>
          </w:p>
        </w:tc>
        <w:tc>
          <w:tcPr>
            <w:tcW w:w="99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(11)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non-GAAP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adjustments</w:t>
            </w:r>
          </w:p>
        </w:tc>
        <w:tc>
          <w:tcPr>
            <w:tcW w:w="99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$66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$126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Non-GAAP tax adjustments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(14)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(32)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tax adjustments</w:t>
            </w:r>
          </w:p>
        </w:tc>
        <w:tc>
          <w:tcPr>
            <w:tcW w:w="9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(6)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non-GAAP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adjustments, net of tax</w:t>
            </w:r>
          </w:p>
        </w:tc>
        <w:tc>
          <w:tcPr>
            <w:tcW w:w="99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$48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$88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Non-GAAP net income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attributable to Nasdaq</w:t>
            </w:r>
          </w:p>
        </w:tc>
        <w:tc>
          <w:tcPr>
            <w:tcW w:w="99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$588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$511</w:t>
            </w:r>
          </w:p>
        </w:tc>
      </w:tr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U.S. GAAP effective tax rate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22.9%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20.0%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adjustments from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GAAP tax rate</w:t>
            </w:r>
          </w:p>
        </w:tc>
        <w:tc>
          <w:tcPr>
            <w:tcW w:w="9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0.4%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2.0%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Non-GAAP effective tax rate</w:t>
            </w:r>
          </w:p>
        </w:tc>
        <w:tc>
          <w:tcPr>
            <w:tcW w:w="9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23.3%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22.0%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outstanding for diluted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earnings per share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563.3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579.0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GAAP diluted earnings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per share</w:t>
            </w:r>
          </w:p>
        </w:tc>
        <w:tc>
          <w:tcPr>
            <w:tcW w:w="9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$0.96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$0.73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adjustments from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GAAP net income</w:t>
            </w:r>
          </w:p>
        </w:tc>
        <w:tc>
          <w:tcPr>
            <w:tcW w:w="9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0.08</w:t>
            </w:r>
          </w:p>
        </w:tc>
        <w:tc>
          <w:tcPr>
            <w:tcW w:w="1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0.15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Non-GAAP diluted earnings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per share</w:t>
            </w:r>
          </w:p>
        </w:tc>
        <w:tc>
          <w:tcPr>
            <w:tcW w:w="99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$1.04</w:t>
            </w:r>
          </w:p>
        </w:tc>
        <w:tc>
          <w:tcPr>
            <w:tcW w:w="1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7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$0.88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42</w:t>
      </w:r>
    </w:p>
    <w:tbl>
      <w:tblPr>
        <w:tblW w:w="48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01"/>
        <w:gridCol w:w="970"/>
        <w:gridCol w:w="156"/>
        <w:gridCol w:w="1034"/>
      </w:tblGrid>
      <w:tr>
        <w:trPr/>
        <w:tc>
          <w:tcPr>
            <w:tcW w:w="2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01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6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2026</w:t>
            </w:r>
          </w:p>
        </w:tc>
        <w:tc>
          <w:tcPr>
            <w:tcW w:w="1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4"/>
              </w:rPr>
              <w:t>2025</w:t>
            </w:r>
          </w:p>
        </w:tc>
      </w:tr>
      <w:tr>
        <w:trPr/>
        <w:tc>
          <w:tcPr>
            <w:tcW w:w="2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(in millions, except per share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amounts)</w:t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GAAP net income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attributable to Nasdaq</w:t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$1,566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$1,270</w:t>
            </w:r>
          </w:p>
        </w:tc>
      </w:tr>
      <w:tr>
        <w:trPr/>
        <w:tc>
          <w:tcPr>
            <w:tcW w:w="3671" w:type="dxa"/>
            <w:gridSpan w:val="2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Non-GAAP adjustments: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Amortization expense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acquired intangible assets</w:t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364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365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Merger and strategic initiatives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expense</w:t>
            </w:r>
          </w:p>
        </w:tc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</w:t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Restructuring charges</w:t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Gain on extinguishment of debt</w:t>
            </w:r>
          </w:p>
        </w:tc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(19)</w:t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gain on divestitures</w:t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(84)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(37)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Net income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unconsolidated investees</w:t>
            </w:r>
          </w:p>
        </w:tc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(86)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(73)</w:t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Legal and regulatory matters</w:t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(3)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loss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non-GAAP adjustments</w:t>
            </w:r>
          </w:p>
        </w:tc>
        <w:tc>
          <w:tcPr>
            <w:tcW w:w="97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$238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$325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Non-GAAP tax adjustments</w:t>
            </w:r>
          </w:p>
        </w:tc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(58)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(84)</w:t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tax adjustments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(51)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non-GAAP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adjustments, net of tax</w:t>
            </w:r>
          </w:p>
        </w:tc>
        <w:tc>
          <w:tcPr>
            <w:tcW w:w="97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$176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$190</w:t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Non-GAAP net income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attributable to Nasdaq</w:t>
            </w:r>
          </w:p>
        </w:tc>
        <w:tc>
          <w:tcPr>
            <w:tcW w:w="97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$1,742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$1,460</w:t>
            </w:r>
          </w:p>
        </w:tc>
      </w:tr>
      <w:tr>
        <w:trPr/>
        <w:tc>
          <w:tcPr>
            <w:tcW w:w="2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U.S. GAAP effective tax rate</w:t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22.9%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18.9%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adjustments from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GAAP tax rate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0.4%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3.9%</w:t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Non-GAAP effective tax rate</w:t>
            </w:r>
          </w:p>
        </w:tc>
        <w:tc>
          <w:tcPr>
            <w:tcW w:w="97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23.3%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22.8%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Weighted-average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outstanding for diluted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earnings per share</w:t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567.6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579.3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U.S. GAAP diluted earnings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per share</w:t>
            </w:r>
          </w:p>
        </w:tc>
        <w:tc>
          <w:tcPr>
            <w:tcW w:w="9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$2.76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$2.19</w:t>
            </w:r>
          </w:p>
        </w:tc>
      </w:tr>
      <w:tr>
        <w:trPr/>
        <w:tc>
          <w:tcPr>
            <w:tcW w:w="2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adjustments from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GAAP net income</w:t>
            </w:r>
          </w:p>
        </w:tc>
        <w:tc>
          <w:tcPr>
            <w:tcW w:w="9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0.31</w:t>
            </w:r>
          </w:p>
        </w:tc>
        <w:tc>
          <w:tcPr>
            <w:tcW w:w="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0.33</w:t>
            </w:r>
          </w:p>
        </w:tc>
      </w:tr>
      <w:tr>
        <w:trPr/>
        <w:tc>
          <w:tcPr>
            <w:tcW w:w="27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Non-GAAP diluted earnings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per share</w:t>
            </w:r>
          </w:p>
        </w:tc>
        <w:tc>
          <w:tcPr>
            <w:tcW w:w="97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$3.07</w:t>
            </w:r>
          </w:p>
        </w:tc>
        <w:tc>
          <w:tcPr>
            <w:tcW w:w="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$2.52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believe that excluding the above items, described further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below, from the non-GAAP net income provides a more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meaningful analysis of Nasdaq’s ongoing operating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performance and comparisons in Nasdaq’s performance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between periods: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 xml:space="preserve">Amortization expense of acquired intangible assets: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amortize intangible assets acquired in connection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various acquisitions. Intangible asset amortization expense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can vary from period to period due to episodic acquisitions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completed, rather than from our ongoing business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operations. As such, if intangible asset amortization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included in performance measures, it is more difficult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assess the day-to-day operating performance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businesses and the relative operating performance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businesses between periods.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Merger and strategic initiatives expense: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have pursued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various strategic initiatives and completed acquisitions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divestitures in recent years that have resulted in expenses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which would not have otherwise been incurred.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frequency and the amount of such expenses vary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significantly based on the size, timing and complexity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transactions. These expenses primarily include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integration costs, as well as legal, due diligence and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third-party transaction costs. For the three and nine months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these costs included amounts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associated with various strategic initiative costs.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three and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these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costs primarily included amounts associated with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transfer of open positions in our Nordic power futures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business, Adenza integration costs and other strategic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initiative costs.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Restructuring charges: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Note 19, “Restructuring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Charges,” to the condensed consolidated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for further discussion of this program.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 xml:space="preserve">Gain on extinguishment of debt: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This gain is recorded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general, administrative and other expense in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Statements of Income.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strike w:val="false"/>
          <w:dstrike w:val="false"/>
          <w:u w:val="none"/>
          <w:effect w:val="none"/>
          <w:shd w:fill="FFFFFF" w:val="clear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  <w:shd w:fill="FFFFFF" w:val="clear"/>
        </w:rPr>
        <w:t>Net (gain) loss</w:t>
      </w:r>
      <w:r>
        <w:rPr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  <w:shd w:fill="FFFFFF" w:val="clear"/>
        </w:rPr>
        <w:t xml:space="preserve">on divestitures: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For the three months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the Net loss on divestitures relates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the net impact of the sale of the Nasdaq Metrio platform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and related customer contracts and the sale of Nasdaq Fund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Secondaries. Net gain on divestitures for the nine months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and September 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primarily relates to the divestiture of our Nordic power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futures business, which for the nine months ended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is partially offset by the net loss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described above for the three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. For the nine months ended September 30, 2025,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also includes a gain on the sale of our Nasdaq Risk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Modelling for Catastrophes business. See Note 4,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Acquisitions and Divestitures,” to the condensed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consolidated financial statements for further discussion of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these transactions.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Net income from unconsolidated investees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: We exclude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share of the earnings and losses of our equity method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investments. This provides a more meaningful analysis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Nasdaq’s ongoing operating performance or comparisons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Nasdaq’s performance between periods. See “Equity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Investments,” of Note 6, “Investments,” to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financial statements for further discussion.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strike w:val="false"/>
          <w:dstrike w:val="false"/>
          <w:u w:val="none"/>
          <w:effect w:val="none"/>
          <w:shd w:fill="FFFFFF" w:val="clear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 xml:space="preserve">Legal and regulatory matters: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the three and nine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this includes a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favorable legal settlement, recorded in general,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administrative and other expense in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Statements of Income. For the three and nine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2025, this also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includes accruals relating to certain legal matters, which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are recorded in professional and contract services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Condensed Consolidated Statements of Income.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43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 xml:space="preserve">Other income (loss):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the three and nine months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2025, other items primarily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 net gains and losses from strategic investments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entered into through our corporate venture program.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this also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includes intangible assets impairments of customer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relationships and licenses relating to the wind-down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Nordic power futures business. The net effect of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items is included in other income (loss) in our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Statements of Income. See “Acquired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Intangible Assets,” of Note 5, “Goodwill and Acquired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Intangible Assets,” and “Equity Investments,” of Note 6,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Investments,” to the condensed consolidated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for further discussion of these transactions.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 xml:space="preserve">Non-GAAP tax adjustments: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non-GAAP adjustment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income tax provision for all periods primarily includes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tax impact of each non-GAAP adjustment.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Other tax adjustments:</w:t>
      </w:r>
      <w:r>
        <w:rPr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the nine months ended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other tax adjustments reflect a tax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benefit related to payments made to certain former Adenza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employees and the release of the prior years' reserves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following a favorable audit settlement.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LIQUIDITY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AND CAPITAL RESOURCES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Historically, we have funded our operating activities and met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commitments through cash generated by operations,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augmented by the periodic issuance of debt. Currently,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cost and availability of funding remain healthy. We continue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prudently assess our capital deployment strategy through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balancing internal investments, debt repayments,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shareholder return activity, including dividends and share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repurchases, and potential acquisitions.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expect that our current cash and cash equivalents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combined with cash flows provided by operating activities,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supplemented with our borrowing capacity and access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additional financing,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including our revolving credit facility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our commercial paper program, provides us additional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flexibility to meet our ongoing obligations and the capital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deployment strategic actions described above, while allowing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us to invest in activities and product development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support the long-term growth of our operations.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Principal factors that could affect the availability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internally generated funds include: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deterioration of our revenues in any of our business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segments;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changes in regulatory and working capital requirements;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 increase in our expenses.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Principal factors that could affect our ability to obtain cash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from external sources include: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operating covenants contained in our credit facilities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limit our total borrowing capacity;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credit rating downgrades, which could limit our access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additional debt;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significant decrease in the market price of our common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stock;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volatility or disruption in the public debt and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summarizes selected measures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liquidity and capital resources:</w:t>
      </w:r>
    </w:p>
    <w:tbl>
      <w:tblPr>
        <w:tblW w:w="50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66"/>
        <w:gridCol w:w="109"/>
        <w:gridCol w:w="1261"/>
        <w:gridCol w:w="109"/>
        <w:gridCol w:w="1261"/>
      </w:tblGrid>
      <w:tr>
        <w:trPr/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September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2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Working capital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</w:t>
            </w:r>
          </w:p>
        </w:tc>
      </w:tr>
      <w:tr>
        <w:trPr/>
        <w:tc>
          <w:tcPr>
            <w:tcW w:w="22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and cash equivalents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604</w:t>
            </w:r>
          </w:p>
        </w:tc>
      </w:tr>
      <w:tr>
        <w:trPr/>
        <w:tc>
          <w:tcPr>
            <w:tcW w:w="22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Short-term investments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Working Capital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The decrease in working capital 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excluding default funds and margin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deposits, as the corresponding assets and liabilities are both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equal and offsetting, is primarily due to a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 in current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assets partially offset by a decrease in current liabilities.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Decrease in current assets was primarily due to: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lower cash and cash equivalents,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lower restricted cash primarily due to the movement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regulatory capital to short-term investments with original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maturities longer than 90 days,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lower other current assets, partially offset by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 receivables, net primarily due to an increase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Section 31 fee rate, higher average AUM-driven Index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receivables, and timing of billings,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 increase in short-term investments at fair value.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Decrease in current liabilities was primarily due to: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decrease in short-term debt, see “Debt obligations” below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further discussion,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decrease in accrued personnel costs,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decrease in accounts payable and accrued expenses,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decrease in other current liabilities, partially offset by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increased Section 31 fees payable due to an increase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Section 31 fee rate,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 deferred revenue due to timing of billings, primarily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relating to our annual listing fees.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Cash and Cash Equivalents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Cash and cash equivalents includes all non-restricted cash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banks and highly liquid investments with original maturities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90 days or less at the time of purchase. The balance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retained in cash and cash equivalents is a function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anticipated or possible short-term cash needs, prevailing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interest rates, our investment policy, and alternative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investment choices.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31, 2025, our cash and cash equivalents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$365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$604 million,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respectively, were primarily invested in bank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deposits and money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funds.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44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Repatriation of Cash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cash and cash equivalents held outside of the U.S.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various foreign subsidiaries totaled $208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$280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December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2025. The remaining balance held in the U.S. totaled $157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$324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Restricted Cash and Cash Equivalents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Restricted cash and cash equivalents, which was $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28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million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$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210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million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31, 2025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is restricted from withdrawal due to a contractual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or regulatory requirement or not available for general use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such is classified as restricted in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Balance Sheets. The decrease in this balance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is primarily due to more regulatory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capital being held in investments with original maturities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greater than 90 days and less than one year that are classified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short-term investments in the Condensed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Balance Sheets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Capital held for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regulatory purposes is invested based on prevailing market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rates and our investment strategy and may be held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 with original maturities of 90 days or less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qualify as cash equivalents and are included in restricted cash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cash equivalents or in investments with original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maturities greater than 90 days and less than one year that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classified as short-term investments in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Balance Sheets.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/>
          <w:sz w:val="20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Cash Flow Analysis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summarizes the changes in cash flows:</w:t>
      </w:r>
    </w:p>
    <w:tbl>
      <w:tblPr>
        <w:tblW w:w="48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56"/>
        <w:gridCol w:w="972"/>
        <w:gridCol w:w="153"/>
        <w:gridCol w:w="1035"/>
      </w:tblGrid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2160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Nine Months Ended September 30,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5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cash provided by (used in):</w:t>
            </w:r>
          </w:p>
        </w:tc>
        <w:tc>
          <w:tcPr>
            <w:tcW w:w="216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26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activities</w:t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$1,921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$1,630</w:t>
            </w:r>
          </w:p>
        </w:tc>
      </w:tr>
      <w:tr>
        <w:trPr/>
        <w:tc>
          <w:tcPr>
            <w:tcW w:w="26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Investing activities</w:t>
            </w:r>
          </w:p>
        </w:tc>
        <w:tc>
          <w:tcPr>
            <w:tcW w:w="9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366</w:t>
            </w:r>
          </w:p>
        </w:tc>
        <w:tc>
          <w:tcPr>
            <w:tcW w:w="1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(462)</w:t>
            </w:r>
          </w:p>
        </w:tc>
      </w:tr>
      <w:tr>
        <w:trPr/>
        <w:tc>
          <w:tcPr>
            <w:tcW w:w="26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Financing activities</w:t>
            </w:r>
          </w:p>
        </w:tc>
        <w:tc>
          <w:tcPr>
            <w:tcW w:w="97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(4,982)</w:t>
            </w:r>
          </w:p>
        </w:tc>
        <w:tc>
          <w:tcPr>
            <w:tcW w:w="1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(2,386)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Net Cash Provided by Operating Activities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Net cash provided by operating activities primarily consists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net income adjusted for certain non-cash items, including,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but not limited to, depreciation and amortization expense,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 associated with share-based compensation, net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income from unconsolidated investees, net gain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divestitures and the effects of changes in working capital.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Refer to the above discussion regarding changes in working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capital.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Net cash provided by operating activities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$291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compared with the same 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The increase was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primarily driven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 net income and an increase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adjustments to net income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partially offset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changes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working capital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as discussed above.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  <w:shd w:fill="FFFFFF" w:val="clear"/>
        </w:rPr>
      </w:pPr>
      <w:r>
        <w:rPr>
          <w:rFonts w:ascii="Times New Roman;serif" w:hAnsi="Times New Roman;serif"/>
          <w:b/>
          <w:i/>
          <w:strike w:val="false"/>
          <w:dstrike w:val="false"/>
          <w:sz w:val="20"/>
          <w:u w:val="none"/>
          <w:effect w:val="none"/>
          <w:shd w:fill="FFFFFF" w:val="clear"/>
        </w:rPr>
        <w:t>Net Cash Provided by (Used in) Investing Activities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Net cash provided by (used in) investing activities increased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with the same 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This was primarily driven by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higher proceeds from net sales and redemption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 related to default funds and margin deposits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$1,199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which does not impact Nasdaq's cash, cash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equivalents, restricted cash or restricted cash equivalents as 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relates to customer funds. The increase is also driven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lower other investing activities, which primarily represents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purchases of minority investments made through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corporate venture program,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higher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proceeds from divestitures, net of cash divested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$40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million. 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 increase was partially offset by a net increase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purchases of securities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$291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million, primarily due to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more regulatory capital being invested in investments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original maturities greater than 90 days, purchases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corporate debt securities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acquisition of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net of cash and cash equivalents acquired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purchases of property and equipment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Note 4, “Acquisitions and Divestitures,” and Note 6,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Investments,” to the condensed consolidated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for further discussion.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Net Cash Used in Financing Activities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Net cash used in financing activities increased for the nine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with the same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period 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driven by higher outflows of cash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the default funds and margin deposits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$2,218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which does not impact Nasdaq's cash, cash equivalents,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restricted cash or restricted cash equivalents as it relates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customer funds, increases in repurchases of common stock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$896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an increase in dividends paid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These increases were partially offset by a decrease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repayment of debt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$295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issuance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commercial paper, net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$269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Note 8, “Debt Obligations,” to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financial statements for further discussion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debt obligations.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“Default Fund Contributions and Margin Deposits”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Note 14, “Clearing Operations,” for further discussion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balances.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“Share Repurchase Program,” and “Cash Dividends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Common Stock,” of Note 11, “Nasdaq Stockholders’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Equity,” to the condensed consolidated financial statements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further discussion of our share repurchase program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cash dividends declared and paid on our common stock.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Short-term Investments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Our short-term investments totaled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$151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$28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. Of these securities,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$134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$18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are assets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utilized to meet regulatory capital requirements,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mainly for our clearing operations at Nasdaq Clearing.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45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 in this balance as of September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primarily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due to more capital held for regulatory purposes being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invested in investments with original maturities greater than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90 days, classified as short-term investments. This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partially offset by a decrease in regulatory capital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requirements due to the sale of our Nordic power futures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Restricted Cash and Cash Equivalents above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Note 6, “Investments,” to the condensed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statements for further discussion.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Regulatory Capital Requirements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Clearing Operations Regulatory Capital Requirements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are required to maintain minimum levels of regulatory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capital for the clearing operations of Nasdaq Clearing.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level of regulatory capital required to be maintained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dependent upon many factors, including market conditions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creditworthiness of the counterparty.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our required regulatory capital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$104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was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comprised of European government debt securities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that are included in short-term investments in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Balance Sheets.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Broker-Dealer Net Capital Requirements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broker-dealer subsidiaries, Nasdaq Execution Services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Nasdaq Capital Markets Advisory, are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regulatory requirements intended to ensure their general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soundness and liquidity. These requirements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obligate these subsidiaries to comply with minimum net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capital requirements.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combined required minimum net capital was immaterial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the combined excess capital totaled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$14 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substantially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all of which is held in cash and cash equivalents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Condensed Consolidated Balance Sheets. The required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minimum net capital is included in restricted cash and cash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equivalents in the Condensed Consolidated Balance Sheets.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Nordic and Baltic Exchange Regulatory Capital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Requirements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entities that operate trading venues in the Nordic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Baltic countries are each subject to local regulations and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required to maintain regulatory capital intended to ensure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their general financial soundness and liquidity. As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our required regulatory capital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$40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million was primarily invested in European government debt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securities that are included in short-term investments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Condensed Consolidated Balance Sheets and cash and cash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equivalents, which is included in restricted cash and cash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equivalents in the Condensed Consolidated Balance Sheets.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Other Capital Requirements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operate several other businesses which are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local regulation and are required to maintain certain levels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regulatory capital.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other required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regulatory capital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$13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million, primarily related to Nasdaq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Central Securities Depository, was primarily invested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European government debt securities that are included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short-term investments in the Condensed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Balance Sheets and cash and cash equivalents, which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included in restricted cash and cash equivalents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Condensed Consolidated Balance Sheets.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Equity and dividends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Share Repurchase Program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“Share Repurchase Program,” of Note 11, “Nasdaq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Stockholders’ Equity,” to the condensed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statements for further discussion of our share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repurchase program, including our ASR agreements.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Cash Dividends on Common Stock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following table presents our quarterly cash dividends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paid per common share on our outstanding common stock:</w:t>
      </w:r>
    </w:p>
    <w:tbl>
      <w:tblPr>
        <w:tblW w:w="26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36"/>
        <w:gridCol w:w="571"/>
        <w:gridCol w:w="109"/>
        <w:gridCol w:w="616"/>
      </w:tblGrid>
      <w:tr>
        <w:trPr/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3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First quarter</w:t>
            </w:r>
          </w:p>
        </w:tc>
        <w:tc>
          <w:tcPr>
            <w:tcW w:w="5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$0.24</w:t>
            </w:r>
          </w:p>
        </w:tc>
      </w:tr>
      <w:tr>
        <w:trPr/>
        <w:tc>
          <w:tcPr>
            <w:tcW w:w="13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Second quarter</w:t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0.31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0.27</w:t>
            </w:r>
          </w:p>
        </w:tc>
      </w:tr>
      <w:tr>
        <w:trPr/>
        <w:tc>
          <w:tcPr>
            <w:tcW w:w="13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Third quarter</w:t>
            </w:r>
          </w:p>
        </w:tc>
        <w:tc>
          <w:tcPr>
            <w:tcW w:w="5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0.27</w:t>
            </w:r>
          </w:p>
        </w:tc>
      </w:tr>
      <w:tr>
        <w:trPr/>
        <w:tc>
          <w:tcPr>
            <w:tcW w:w="13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5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$0.89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$0.78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“Cash Dividends on Common Stock,” of Note 11,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Stockholders’ Equity,” to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financial statements for further discussion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dividends.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46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Debt Obligations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Our outstanding debt obligations, by contractual maturity, at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are as follows (in U.S. Dollar millions):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Wingdings;sans-serif" w:hAnsi="Wingdings;sans-serif"/>
          <w:b w:val="false"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n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U.S. Notes 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trike w:val="false"/>
          <w:dstrike w:val="false"/>
          <w:color w:val="6D6D6D"/>
          <w:sz w:val="20"/>
          <w:u w:val="none"/>
          <w:effect w:val="none"/>
        </w:rPr>
        <w:t>n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Euro Notes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6492240" cy="3619500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i-5"/>
      <w:bookmarkEnd w:id="4"/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As of and for the nine months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weighted average interest rate on our debt obligations was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approximately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3.7%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This rate can fluctuate based on changes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foreign currency exchange rates and changes in the amount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duration of outstanding debt. See “Foreign Currency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 Rate Risk” below for further discussion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hedging associated with our Euro Notes. In June 2026,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Nasdaq amended and restated our existing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$1.25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five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year revolving credit facility, with a new maturity date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June 30, 2031, and increased the borrowing capacity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$1.50 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In addition to the 2026 Revolving Credit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Facility, we also have other credit facilities primarily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support our Nasdaq Clearing operations in Europe, as well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provide a cash pool credit line.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we were in compliance with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covenants of all of our debt obligations.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Note 8, “Debt Obligations,” to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financial statements for further discussion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debt obligations.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CONTRACTUAL OBLIGATIONS AND CONTINGENT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had no significant changes to our contractual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obligations and contingent commitments from those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disclosed in “Part II. Item 7. Management’s Discussion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Analysis of Financial Condition and Results of Operations”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our Annual Report on Form 10-K that was filed with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 on February 12,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OFF-BALANCE SHEET ARRANGEMENTS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discussion of off-balance sheet arrangements see: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Note 14, “Clearing Operations,” to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financial statements for further discussion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non-cash default fund contributions and margin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deposits received for clearing operations;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Note 17, “Commitments, Contingencies and Guarantees,”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the condensed consolidated financial statements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further discussion of: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Guarantees issued and credit facilities available;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Other guarantees; and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Routing brokerage activities.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Item 3. Quantitative And Qualitative Disclosures About</w:t>
      </w:r>
      <w:r>
        <w:rPr>
          <w:caps w:val="false"/>
          <w:smallCaps w:val="false"/>
          <w:strike w:val="false"/>
          <w:dstrike w:val="false"/>
          <w:color w:val="0092BC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Market Risk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a result of our operating, investing and financing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activities, we are exposed to market risks such as interest rate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risk and foreign currency exchange rate risk. We are also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exposed to credit risk as a result of our normal business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activities.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have implemented policies and procedures to measure,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manage, monitor and report risk exposures, which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reviewed regularly by management and the board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directors. We identify risk exposures and monitor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manage such risks on a daily basis.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47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perform sensitivity analyses to determine the effects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 risk exposures. We may use derivative instruments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solely to hedge financial risks related to our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positions or risks that are incurred during the normal course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business. We do not use derivative instruments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speculative purposes.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Interest Rate Risk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are subject to the risk of fluctuating interest rates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normal course of business. Our exposure to market risk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changes in interest rates relates primarily to our short-term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 and debt obligations, which are discussed below.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may enter into transactions that expose us to interest rate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risk, for which we may utilize interest rate derivatives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agreements to manage that risk.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Short-Term Investments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our investment portfolio was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primarily comprised of highly rated European government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debt securities, which pay a fixed rate of interest.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securities are subject to interest rate risk and the fair value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securities will decrease if market interest rates increase.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impact of an immediate increase to market interest rates,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uniformly, by a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hypothetical 100 basis points from levels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would not have a material impact 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financial statements.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Debt Obligations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the majority of our outstanding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debt obligations are fixed-rate obligations. Interest rates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certain tranches of notes are subject to adjustment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extent our debt rating is downgraded below investment grade,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further discussed in Note 8, “Debt Obligations,”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condensed consolidated financial statements. While changes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interest rates will have no impact on the interest we pay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fixed-rate obligations, we are exposed to changes in interest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rates as a result of the borrowings under our 2026 Revolving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Credit Facility, as this facility has a variable interest rate.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may also be exposed to changes in interest rates if there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amounts outstanding from the sale of commercial paper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 our commercial paper program, which have variable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interest rates.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we have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$269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outstanding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 our commercial paper program. A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hypothetical 100 basis points increase in interest rates on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outstanding commercial paper would not have a material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impact on our financial statements.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Foreign Currency Exchange Rate Risk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are subject to foreign currency exchange rate risk.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primary transactional exposure to foreign currency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denominated revenues less transaction-based expenses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operating income for the three and nine months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is presented in the following tables.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tables below do not include the offsetting impact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hedging programs.</w:t>
      </w:r>
    </w:p>
    <w:tbl>
      <w:tblPr>
        <w:tblW w:w="47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21"/>
        <w:gridCol w:w="571"/>
        <w:gridCol w:w="646"/>
        <w:gridCol w:w="721"/>
        <w:gridCol w:w="751"/>
        <w:gridCol w:w="781"/>
      </w:tblGrid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Euro</w:t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Swedish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Krona</w:t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Canadian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Dollar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Foreign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Currencies</w:t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U.S.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Dollar</w:t>
            </w:r>
          </w:p>
        </w:tc>
      </w:tr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0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millions, except currency rate)</w:t>
            </w:r>
          </w:p>
        </w:tc>
      </w:tr>
      <w:tr>
        <w:trPr/>
        <w:tc>
          <w:tcPr>
            <w:tcW w:w="4791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Three Months Ended September 30, 2026</w:t>
            </w:r>
          </w:p>
        </w:tc>
      </w:tr>
      <w:tr>
        <w:trPr/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Average FX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rate to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U.S. dollar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1.151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0.104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0.715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# 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Percentage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expenses</w:t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6.5%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3.1%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0.6%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3.1%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86.7%</w:t>
            </w:r>
          </w:p>
        </w:tc>
      </w:tr>
      <w:tr>
        <w:trPr/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Percentage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7.2%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(0.9)%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(5.2)%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(7.4)%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106.3%</w:t>
            </w:r>
          </w:p>
        </w:tc>
      </w:tr>
      <w:tr>
        <w:trPr/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Impact of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10% adverse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currency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fluctuation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expenses</w:t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$(10)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$(5)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$(1)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$(5)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Impact of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10% adverse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currency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fluctuation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$(5)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$(1)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$(4)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$(5)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</w:tbl>
    <w:tbl>
      <w:tblPr>
        <w:tblW w:w="47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21"/>
        <w:gridCol w:w="571"/>
        <w:gridCol w:w="646"/>
        <w:gridCol w:w="721"/>
        <w:gridCol w:w="751"/>
        <w:gridCol w:w="781"/>
      </w:tblGrid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Euro</w:t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Swedish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Krona</w:t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Canadian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Dollar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Foreign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Currencies</w:t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 xml:space="preserve">U.S.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4"/>
                <w:u w:val="single"/>
              </w:rPr>
              <w:t>Dollar</w:t>
            </w:r>
          </w:p>
        </w:tc>
      </w:tr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0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millions, except currency rate)</w:t>
            </w:r>
          </w:p>
        </w:tc>
      </w:tr>
      <w:tr>
        <w:trPr/>
        <w:tc>
          <w:tcPr>
            <w:tcW w:w="4791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Nine Months Ended September 30, 2026</w:t>
            </w:r>
          </w:p>
        </w:tc>
      </w:tr>
      <w:tr>
        <w:trPr/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Average FX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rate to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U.S. dollar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1.161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0.107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0.722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# 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Percentage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expenses</w:t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7.3%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3.4%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0.7%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3.3%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85.3%</w:t>
            </w:r>
          </w:p>
        </w:tc>
      </w:tr>
      <w:tr>
        <w:trPr/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Percentage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9.6%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(1.6)%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(5.4)%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(7.2)%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104.6%</w:t>
            </w:r>
          </w:p>
        </w:tc>
      </w:tr>
      <w:tr>
        <w:trPr/>
        <w:tc>
          <w:tcPr>
            <w:tcW w:w="1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Impact of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10% adverse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currency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fluctuation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revenues less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based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expenses</w:t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$(32)</w:t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$(15)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$(3)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$(14)</w:t>
            </w:r>
          </w:p>
        </w:tc>
        <w:tc>
          <w:tcPr>
            <w:tcW w:w="7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Impact of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10% adverse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currency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fluctuation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$(20)</w:t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$(3)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$(11)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$(15)</w:t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12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2"/>
          <w:u w:val="single"/>
        </w:rPr>
        <w:t>__________</w:t>
      </w:r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#Represents multiple foreign currency rates.</w:t>
      </w:r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N/ANot applicable.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48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adverse impacts shown in the preceding tables should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viewed individually by currency and not in aggregate, due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correlation between changes in exchange rates for certain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currencies.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may use foreign exchange contracts to hedge a portion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forecasted foreign currency denominated revenues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expenses in the normal course of business. We hedge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cash flow exposures to reduce the risk that our earnings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cash flows will be adversely affected by changes in exchange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rates. These foreign exchange contracts are carried at fair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value, with maturities that can ra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nge up to 18 months.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record changes in fair value of these cash flow hedges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foreign currency denominated revenue and expenses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accumulated other comprehensive loss in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Balance Sheets, until the forecasted transaction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occurs. When the forecasted transaction affects earnings,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event the underlying forecasted transaction does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occur, or it becomes probable that it will not occur,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reclassify the related gain or loss on the cash flow hedge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revenue or operating expenses, as applicable. As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the fair value of our derivatives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designated as cash flow hedging instruments are not material.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investments in foreign subsidiaries are exposed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volatility in currency exchange rates through translation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foreign subsidiaries’ net assets or equity to U.S. dollars.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Substantially all of our foreign subsidiaries operate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functional currencies other than the U.S. dollar. The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of these subsidiaries are translated into U.S.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dollars for consolidated reporting using a current rate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exchange, with net gains or losses recorded in accumulated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other comprehensive loss in the Condensed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Balance Sheets.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primary exposure to net assets in foreign currencies as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is presented in the following table:</w:t>
      </w:r>
    </w:p>
    <w:tbl>
      <w:tblPr>
        <w:tblW w:w="37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6"/>
        <w:gridCol w:w="109"/>
        <w:gridCol w:w="706"/>
        <w:gridCol w:w="109"/>
        <w:gridCol w:w="1246"/>
      </w:tblGrid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Net Assets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Impact of a 10%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Adverse Currency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Fluctuation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(in millions)</w:t>
            </w:r>
          </w:p>
        </w:tc>
      </w:tr>
      <w:tr>
        <w:trPr/>
        <w:tc>
          <w:tcPr>
            <w:tcW w:w="15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Swedish Krona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$3,053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$(305)</w:t>
            </w:r>
          </w:p>
        </w:tc>
      </w:tr>
      <w:tr>
        <w:trPr/>
        <w:tc>
          <w:tcPr>
            <w:tcW w:w="15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Canadian Dollar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(13)</w:t>
            </w:r>
          </w:p>
        </w:tc>
      </w:tr>
      <w:tr>
        <w:trPr/>
        <w:tc>
          <w:tcPr>
            <w:tcW w:w="15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Norwegian Krone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(11)</w:t>
            </w:r>
          </w:p>
        </w:tc>
      </w:tr>
      <w:tr>
        <w:trPr/>
        <w:tc>
          <w:tcPr>
            <w:tcW w:w="15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Australian Dollar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(11)</w:t>
            </w:r>
          </w:p>
        </w:tc>
      </w:tr>
      <w:tr>
        <w:trPr/>
        <w:tc>
          <w:tcPr>
            <w:tcW w:w="15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British Pound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(8)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table above, Swedish Krona includes goodwill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$2,290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intangible assets, net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$459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Euro Notes have been designated as a hedge of our net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 in certain foreign subsidiaries to mitigate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foreign exchange risk associated with certain investments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subsidiaries. Accordingly, the remeasurement of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notes is recorded in accumulated other comprehensive loss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Condensed Consolidated Balance Sheets. See Note 8,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Debt Obligations,” to the condensed consolidated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for further discussion. We enter into foreign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 contracts to hedge a portion of our net investment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certain foreign subsidiaries. These foreign exchange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contracts are carried at fair value, with remaining maturities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ranging up to eight years, and reported as either an asset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liability depending on their position as of the balance sheet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date, and accumulated other comprehensive loss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Condensed Consolidated Balance Sheets. The accumulated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gains and losses associated with these instruments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remain in accumulated other comprehensive loss until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foreign subsidiaries are sold or substantially liquidated, 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which point they will be reclassified into earnings.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Credit Risk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Credit risk is the potential loss due to the default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deterioration in credit quality of customers or counterparties.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are exposed to credit risk from third parties, including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customers, counterparties and clearing agents. These parties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may default on their obligations to us due to bankruptcy, lack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liquidity, operational failure or other reasons. We limit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exposure to credit risk by evaluating the counterparties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which we make investments and execute agreements. For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 portfolio, our objective is to invest in securities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preserve principal while maximizing yields, without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significantly increasing risk. Credit risk associated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 is minimized substantially by ensuring that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assets are placed with governments which have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 grade ratings, well-capitalized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institutions and other creditworthy counterparties.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subsidiary, Nasdaq Execution Services, may be exposed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credit risk due to the default of trading counterparties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connection with the routing services it provides for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trading customers. System trades in cash equities routed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other market centers for members of our cash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exchanges are routed by Nasdaq Execution Services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clearing to the NSCC. In this function, Nasdaq Execution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Services is to be neutral by the end of the trading day, but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may be exposed to intraday risk if a trade extends beyond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trading day and into the next day, thereby leaving Nasdaq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Execution Services susceptible to counterparty risk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period between accepting the trade and routing it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clearinghouse. In this interim period, Nasdaq Execution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Services is not novating like a clearing broker but instead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subject to the short-term risk of counterparty failure before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clearinghouse enters the transaction. Once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clearinghouse officially accepts the trade for novation,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 Execution Services is legally removed from trade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execution risk. However, Nasdaq has membership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obligations to NSCC independent of Nasdaq Execution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Services’ arrangements.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Pursuant to the rules of the NSCC and Nasdaq Execution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Services’ clearing agreement, Nasdaq Execution Services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liable for any losses incurred due to a counterparty or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clearing agent’s failure to satisfy its contractual obligations,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either by making payment or delivering securities. Adverse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movements in the prices of securities that are subject to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transactions can increase our credit risk. However, we believe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that the risk of material loss is limited, as Nasdaq Execution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Services’ customers are not permitted to trade on margin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NSCC rules limit counterparty risk on self-cleared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transactions by establishing credit limits and capital deposit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requirements for all brokers that clear with NSCC.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49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Historically, Nasdaq Execution Services has never incurred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liability due to a customer’s failure to satisfy its contractual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obligations as counterparty to a system trade. Credit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difficulties or insolvency, or the perceived possibility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credit difficulties or insolvency, of one or more larger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visible market participants could also result in market-wide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credit difficulties or other market disruptions.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have credit risk related to transaction and subscription-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based revenues that are billed to customers on a monthly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quarterly basis, in arrears. Our potential exposure to credit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losses on these transactions is represented by the receivable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balances in the Condensed Consolidated Balance Sheets.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review and evaluate changes in the status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counterparties’ creditworthiness. Credit losses such as those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described above could adversely affect our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position and results of operations.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We also are exposed to credit risk through our clearing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operations with Nasdaq Clearing. See Note 14, “Clearing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Operations,” to the condensed consolidated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for further discussion. Our clearinghouse holds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material amounts of clearing member cash deposits, which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are held or invested primarily to provide security of capital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while minimizing credit, market and liquidity risks. While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seek to achieve a reasonable rate of return, we are primarily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concerned with preservation of capital and managing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risks associated with these deposits. As the clearinghouse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may remit to the members interest earned at prevailing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 rates, less a spread, this could include negative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reduced yield due to market conditions. The following is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summary of the risks associated with these deposits and how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risks are mitigated.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 xml:space="preserve">Credit Risk: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When the clearinghouse has the ability to hold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cash collateral at a central bank, the clearinghouse utilizes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its access to the central bank system to minimize credit risk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exposures. When funds are not held at a central bank,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seek to substantially mitigate credit risk by ensuring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investments are primarily placed in large, highly rated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institutions, highly rated government debt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instruments and other creditworthy counterparties.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Liquidity Risk: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Liquidity risk is the risk a clearinghouse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may not be able to meet its payment obligations in the right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currency, in the right place and the right time. To mitigate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this risk, the clearinghouse monitors liquidity requirements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closely and maintains funds and assets in a manner which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minimizes the risk of loss or delay in the access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clearinghouse to such funds and assets. For example,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holding funds with a central bank where possible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investing in highly liquid government debt instruments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serves to reduce liquidity risks.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 xml:space="preserve">Interest Rate Risk: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Interest rate risk is the risk that interest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rates rise causing the value of purchased securities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decline. If we were required to sell securities prior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maturity, and interest rates had risen, the sale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securities might be made at a loss relative to the latest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market price. Our clearinghouse seeks to manage this risk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by making short-term investments of members’ cash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deposits. In addition, the clearinghouse investment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guidelines allow for direct purchases or repurchase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agreements with short dated maturities of high quality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sovereign debt (for example, European government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U.S. Treasury securities), central bank certificates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multilateral development bank debt instruments.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u w:val="single"/>
        </w:rPr>
        <w:t>•</w:t>
      </w:r>
      <w:r>
        <w:rPr>
          <w:rFonts w:ascii="Times New Roman;serif" w:hAnsi="Times New Roman;serif"/>
          <w:b w:val="false"/>
          <w:i/>
          <w:sz w:val="20"/>
          <w:u w:val="single"/>
        </w:rPr>
        <w:t>Security Issuer Risk: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Security issuer risk is the risk that 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issuer of a security defaults on its payment when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security matures. This risk is mitigated by limiting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allowable investments and collateral under reverse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repurchase agreements to high quality sovereign,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government agency or multilateral development bank debt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instruments.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Item 4. Controls and Procedures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Disclosure Controls and Procedures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Nasdaq’s management, with the participation of Nasdaq’s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Chief Executive Officer, and Executive Vice President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Chief Financial Officer, has evaluated the effectiveness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Nasdaq’s disclosure controls and procedures (as defined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Rule 13a-15(e) and Rule 15d-15(e) under the Exchange Act)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of the end of the period covered by this report. Based upon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that evaluation, Nasdaq’s Chief Executive Officer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Executive Vice President and Chief Financial Officer, have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concluded that, as of the end of such period, Nasdaq’s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disclosure controls and procedures are effective.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Changes in Internal Control Over Financial Reporting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There have been no changes in Nasdaq’s internal control over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reporting (as defined in Rule 13a-15(f) and Rule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15d-15(f) under the Exchange Act) that occurred during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quarter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that have materially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affected, or are reasonably likely to materially affect,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Nasdaq’s internal control over financial reporting.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PART II - OTHER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Item 1. Legal Proceedings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“Legal and Regulatory Matters” of Note 17,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Commitments, Contingencies and Guarantees,”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condensed consolidated financial statements for a description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our legal proceedings, if any.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Item 1A. Risk Factors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addition to the other information set forth in this Quarterly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Report on Form 10-Q, you should carefully consider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factors discussed under “Risk Factors” in our most recent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Form 10-K. These risks could materially and adversely affect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our business, financial condition and results of operations.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These risks and uncertainties are not the only ones facing us.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Additional risks and uncertainties not presently known to 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or that we currently believe to be immaterial may also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adversely affect our business.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Item 2. Unregistered Sales of Equity Securities and Use of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Proceeds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Issuer Purchases of Equity Securities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/>
          <w:sz w:val="20"/>
          <w:u w:val="single"/>
        </w:rPr>
      </w:pPr>
      <w:r>
        <w:rPr>
          <w:rFonts w:ascii="Times New Roman;serif" w:hAnsi="Times New Roman;serif"/>
          <w:b/>
          <w:i/>
          <w:sz w:val="20"/>
          <w:u w:val="single"/>
        </w:rPr>
        <w:t>Share Repurchase Program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“Share Repurchase Program,” of Note 11, “Nasdaq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Stockholders’ Equity,” to the condensed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statements for further discussion of our share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repurchase program.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Purchases of Equity Securities by the Issuer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Affiliated Purchasers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Under our board approved share repurchase program,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may repurchase shares from time to time at prevailing market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prices in open market purchases, privately-negotiated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transactions, block purchases, an accelerated share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repurchase program or otherwise, as determined by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management.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the remaining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aggregate authorized amount under the existing share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repurchase program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$2.2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The share repurchase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program may be suspended, modified or discontinued at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time, and has no defined expiration date.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table below represents repurchases made by or on behalf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us or any “affiliated purchaser” of our common stock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during the fiscal quarter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September 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:</w:t>
      </w:r>
    </w:p>
    <w:tbl>
      <w:tblPr>
        <w:tblW w:w="4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96"/>
        <w:gridCol w:w="109"/>
        <w:gridCol w:w="961"/>
        <w:gridCol w:w="109"/>
        <w:gridCol w:w="736"/>
        <w:gridCol w:w="109"/>
        <w:gridCol w:w="931"/>
        <w:gridCol w:w="109"/>
        <w:gridCol w:w="796"/>
      </w:tblGrid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Period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Total Number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of Shares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Purchased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Price Paid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Per 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Shares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Purchased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as Part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Publicly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Announced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Plans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Programs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Maximum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Dollar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Shares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that May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Yet Be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Purchased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Under the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Plans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Programs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(in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millions)</w:t>
            </w:r>
          </w:p>
        </w:tc>
      </w:tr>
      <w:tr>
        <w:trPr/>
        <w:tc>
          <w:tcPr>
            <w:tcW w:w="21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July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repurchase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program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3,028,732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$90.16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3,028,732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$2,256</w:t>
            </w:r>
          </w:p>
        </w:tc>
      </w:tr>
      <w:tr>
        <w:trPr/>
        <w:tc>
          <w:tcPr>
            <w:tcW w:w="10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Employee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8,523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$81.39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66" w:type="dxa"/>
            <w:gridSpan w:val="3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August 2026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repurchase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program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103,268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$94.54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103,268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$2,246</w:t>
            </w:r>
          </w:p>
        </w:tc>
      </w:tr>
      <w:tr>
        <w:trPr/>
        <w:tc>
          <w:tcPr>
            <w:tcW w:w="10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Employee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$99.16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2166" w:type="dxa"/>
            <w:gridSpan w:val="3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September 2026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repurchase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program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435,940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$91.70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435,940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$2,206</w:t>
            </w:r>
          </w:p>
        </w:tc>
      </w:tr>
      <w:tr>
        <w:trPr/>
        <w:tc>
          <w:tcPr>
            <w:tcW w:w="10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Employee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1,041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$93.09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</w:tr>
      <w:tr>
        <w:trPr/>
        <w:tc>
          <w:tcPr>
            <w:tcW w:w="4956" w:type="dxa"/>
            <w:gridSpan w:val="9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Total Quarter Ended September 30, 2026</w:t>
            </w:r>
          </w:p>
        </w:tc>
      </w:tr>
      <w:tr>
        <w:trPr/>
        <w:tc>
          <w:tcPr>
            <w:tcW w:w="10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repurchase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program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3,567,940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$90.47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3,567,940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$2,206</w:t>
            </w:r>
          </w:p>
        </w:tc>
      </w:tr>
      <w:tr>
        <w:trPr/>
        <w:tc>
          <w:tcPr>
            <w:tcW w:w="10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Employee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transactions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9,949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$83.30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doub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table above: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N/A - Not applicable.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Employee transactions represents shares surrendered to 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satisfy tax withholding obligations arising from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vesting of restricted stock and PSUs previously issued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employees.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For July 2026, shares listed under share repurchase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program in the table above include repurchases under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ASR agreement.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See “Share Repurchase Program,” of Note 11, “Nasdaq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Stockholders’ Equity,” to the condensed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statements for further discussion of our share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repurchase program. 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Item 5. Other Information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the three months ended September 30, 2026, none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directors or officers adopted, terminated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modified a “Rule 10b5-1 trading arrangement” or “non-Rule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10b5-1 trading arrangement” (as such terms are defined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Item 408 of Regulation S-K), except as follows and which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intended to satisfy the affirmative defense of Rule 10b5-1(c):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September 13, 2026, Adena T. Friedman, Chair and Chief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Officer, adopted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Rule 10b5-1 trading plan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arrange for, over a period of time in 2027, the sale of up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our common stock. The sale may begin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early as January 4, 2027, pursuant to the terms of the trading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plan, and the plan expires on December 31, 2027.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Assuming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all planned sales are completed under the plan, Ms. Friedman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will continue to meet the Company’s executive stock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ownership guidelines and her stake in the Company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remain significant.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trading plan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has been adopted for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diversification and tax-planning purposes. Ms.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Friedman’s belief in the Company’s prospects remains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strong. In addition, as part of her tax-planning strategy, Ms.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Friedman expects to donate a portion of her shares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common stock in 2027 to charitable organizations and/or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donor-advised fund, where the gifted shares will be used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support philanthropic initiatives.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92BC"/>
          <w:sz w:val="20"/>
          <w:u w:val="none"/>
          <w:effect w:val="none"/>
        </w:rPr>
        <w:t>Item 6. Exhibits</w:t>
      </w:r>
    </w:p>
    <w:tbl>
      <w:tblPr>
        <w:tblW w:w="50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66"/>
        <w:gridCol w:w="109"/>
        <w:gridCol w:w="3871"/>
      </w:tblGrid>
      <w:tr>
        <w:trPr/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Exhibit Number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1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31.1</w:t>
              </w:r>
            </w:hyperlink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1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Certification of Chief Executive Officer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1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pursuant to Section 302 of the Sarbanes-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1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Oxley Act of 2002 (“Sarbanes-Oxley”).</w:t>
              </w:r>
            </w:hyperlink>
          </w:p>
        </w:tc>
      </w:tr>
      <w:tr>
        <w:trPr/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1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31.2</w:t>
              </w:r>
            </w:hyperlink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1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Certification of Executive Vice President and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1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Chief Financial Officer pursuant to Section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12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302 of Sarbanes-Oxley.</w:t>
              </w:r>
            </w:hyperlink>
          </w:p>
        </w:tc>
      </w:tr>
      <w:tr>
        <w:trPr/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2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32.1</w:t>
              </w:r>
            </w:hyperlink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2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Certifications Pursuant to 18 U.S.C. Section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2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1350, as adopted pursuant to Section 906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ndaq9302026ex-32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Sarbanes-Oxley.</w:t>
              </w:r>
            </w:hyperlink>
          </w:p>
        </w:tc>
      </w:tr>
      <w:tr>
        <w:trPr/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following materials from the Nasdaq,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Inc. Quarterly Report on Form 10-Q for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quarter ended September 30, 2026, formatted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iXBRL (Inline eXtensible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Reporting Language): (i) Condensed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Consolidated Balance Sheets as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September 30, 2026 and December 31, 2025;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(ii) Condensed Consolidated Statements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Income for the three and nine months ended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September 30, 2026 and 2025; (iii)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Condensed Consolidated Statements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Comprehensive Income for the three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nine months ended September 30, 2026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2025; (iv) Condensed Consolidated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Statements of Changes in Stockholders’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for the three and nine months ended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September 30, 2026 and 2025; (v)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Condensed Consolidated Statements of Cash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Flows for the nine months ended September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30, 2026 and 2025; and (vi) notes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condensed consolidated financial statements.</w:t>
            </w:r>
          </w:p>
        </w:tc>
      </w:tr>
      <w:tr>
        <w:trPr/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Cover Page Interactive Data File, formatted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 iXBRL and contained in Exhibit 101.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Pursuant to the requirements of Section 13 or 15(d)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Securities Exchange Act of 1934, the registrant has duly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caused this report to be signed on its behalf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undersigned, thereunto duly authorized, on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October 22,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tbl>
      <w:tblPr>
        <w:tblW w:w="37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11"/>
        <w:gridCol w:w="1099"/>
        <w:gridCol w:w="1556"/>
      </w:tblGrid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Nasdaq, Inc.</w:t>
            </w:r>
          </w:p>
        </w:tc>
        <w:tc>
          <w:tcPr>
            <w:tcW w:w="10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(Registrant)</w:t>
            </w:r>
          </w:p>
        </w:tc>
        <w:tc>
          <w:tcPr>
            <w:tcW w:w="10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2655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Adena T. Friedman</w:t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</w:t>
            </w:r>
          </w:p>
        </w:tc>
        <w:tc>
          <w:tcPr>
            <w:tcW w:w="2655" w:type="dxa"/>
            <w:gridSpan w:val="2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Adena T. Friedman</w:t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</w:t>
            </w:r>
          </w:p>
        </w:tc>
        <w:tc>
          <w:tcPr>
            <w:tcW w:w="26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Executive Officer</w:t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Date:</w:t>
            </w:r>
          </w:p>
        </w:tc>
        <w:tc>
          <w:tcPr>
            <w:tcW w:w="26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October 22, 2026</w:t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2655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/s/ Sarah Youngwood</w:t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</w:t>
            </w:r>
          </w:p>
        </w:tc>
        <w:tc>
          <w:tcPr>
            <w:tcW w:w="2655" w:type="dxa"/>
            <w:gridSpan w:val="2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Sarah Youngwood</w:t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</w:t>
            </w:r>
          </w:p>
        </w:tc>
        <w:tc>
          <w:tcPr>
            <w:tcW w:w="26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Executive Vice President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Chief Financial Officer</w:t>
            </w:r>
          </w:p>
        </w:tc>
      </w:tr>
      <w:tr>
        <w:trPr/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Date:</w:t>
            </w:r>
          </w:p>
        </w:tc>
        <w:tc>
          <w:tcPr>
            <w:tcW w:w="26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October 22, 2026</w:t>
            </w:r>
          </w:p>
        </w:tc>
      </w:tr>
      <w:tr>
        <w:trPr/>
        <w:tc>
          <w:tcPr>
            <w:tcW w:w="37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31.1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I, Adena T. Friedman, certify that: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1. I have reviewed this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Quarterly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Report on Form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10-Q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of Nasdaq, Inc.;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2. Based on my knowledge, this report does not contain any untrue statement of a material fact or omit to state a material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fact necessary to make the statements made, in light of the circumstances under which such statements were made, not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misleading with respect to the period covered by this report;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3. Based on my knowledge, the financial statements, and other financial information included in this report, fairly present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in all material respects the financial condition, results of operations and cash flows of the registrant as of, and for, the periods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presented in this report;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4. The registrant’s other certifying officer and I are responsible for establishing and maintaining disclosure controls and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procedures (as defined in Exchange Act Rules 13a-15(e) and 15d-15(e)) and internal control over financial reporting (as defined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in Exchange Act Rules 13a-15(f) and 15d-15(f)) for the registrant and have: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(a) Designed such disclosure controls and procedures, or caused such disclosure controls and procedures to be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designed under our supervision, to ensure that material information relating to the registrant, including its consolidated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subsidiaries, is made known to us by others within those entities, particularly during the period in which this report is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being prepared;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(b) Designed such internal control over financial reporting, or caused such internal control over financial reporting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to be designed under our supervision, to provide reasonable assurance regarding the reliability of financial reporting and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the preparation of financial statements for external purposes in accordance with generally accepted accounting principles;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(c) Evaluated the effectiveness of the registrant’s disclosure controls and procedures and presented in this report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our conclusions about the effectiveness of the disclosure controls and procedures, as of the end of the period covered by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this report based on such evaluation;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(d) Disclosed in this report any change in the registrant’s internal control over financial reporting that occurred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during the registrant’s most recent fiscal quarter (the registrant’s fourth fiscal quarter in the case of an annual report) that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has materially affected, or is reasonably likely to materially affect, the registrant’s internal control over financial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reporting;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5. The registrant’s other certifying officer and I have disclosed, based on our most recent evaluation of internal control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over financial reporting, to the registrant’s auditors and the audit committee of the registrant’s board of directors (or persons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performing the equivalent functions):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(a) All significant deficiencies and material weaknesses in the design or operation of internal control over financial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reporting which are reasonably likely to adversely affect the registrant’s ability to record, process, summarize and report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financial information;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(b) Any fraud, whether or not material, that involves management or other employees who have a significant role in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the registrant’s internal control over financial reporting.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628650</wp:posOffset>
                </wp:positionH>
                <wp:positionV relativeFrom="line">
                  <wp:posOffset>635</wp:posOffset>
                </wp:positionV>
                <wp:extent cx="6505575" cy="1165860"/>
                <wp:effectExtent l="0" t="0" r="0" b="0"/>
                <wp:wrapNone/>
                <wp:docPr id="6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64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016"/>
                              <w:gridCol w:w="1631"/>
                              <w:gridCol w:w="806"/>
                              <w:gridCol w:w="4196"/>
                            </w:tblGrid>
                            <w:tr>
                              <w:trPr/>
                              <w:tc>
                                <w:tcPr>
                                  <w:tcW w:w="4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2.25pt;height:91.8pt;mso-wrap-distance-left:0pt;mso-wrap-distance-right:0pt;mso-wrap-distance-top:0pt;mso-wrap-distance-bottom:0pt;margin-top:0pt;mso-position-vertical:top;mso-position-vertical-relative:text;margin-left:49.5pt;mso-position-horizontal-relative:page">
                <v:textbox>
                  <w:txbxContent>
                    <w:tbl>
                      <w:tblPr>
                        <w:tblW w:w="1064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016"/>
                        <w:gridCol w:w="1631"/>
                        <w:gridCol w:w="806"/>
                        <w:gridCol w:w="4196"/>
                      </w:tblGrid>
                      <w:tr>
                        <w:trPr/>
                        <w:tc>
                          <w:tcPr>
                            <w:tcW w:w="4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6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6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486025" cy="175260"/>
                <wp:effectExtent l="0" t="0" r="0" b="0"/>
                <wp:wrapNone/>
                <wp:docPr id="7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7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2486025</wp:posOffset>
                </wp:positionH>
                <wp:positionV relativeFrom="line">
                  <wp:posOffset>635</wp:posOffset>
                </wp:positionV>
                <wp:extent cx="981075" cy="175260"/>
                <wp:effectExtent l="0" t="0" r="0" b="0"/>
                <wp:wrapNone/>
                <wp:docPr id="8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25pt;height:13.8pt;mso-wrap-distance-left:0pt;mso-wrap-distance-right:0pt;mso-wrap-distance-top:0pt;mso-wrap-distance-bottom:0pt;margin-top:0pt;mso-position-vertical:top;mso-position-vertical-relative:text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3467100</wp:posOffset>
                </wp:positionH>
                <wp:positionV relativeFrom="line">
                  <wp:posOffset>635</wp:posOffset>
                </wp:positionV>
                <wp:extent cx="457200" cy="175260"/>
                <wp:effectExtent l="0" t="0" r="0" b="0"/>
                <wp:wrapNone/>
                <wp:docPr id="9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pt;height:13.8pt;mso-wrap-distance-left:0pt;mso-wrap-distance-right:0pt;mso-wrap-distance-top:0pt;mso-wrap-distance-bottom:0pt;margin-top:0pt;mso-position-vertical:top;mso-position-vertical-relative:text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3924300</wp:posOffset>
                </wp:positionH>
                <wp:positionV relativeFrom="line">
                  <wp:posOffset>635</wp:posOffset>
                </wp:positionV>
                <wp:extent cx="2581275" cy="175260"/>
                <wp:effectExtent l="0" t="0" r="0" b="0"/>
                <wp:wrapNone/>
                <wp:docPr id="10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 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/s/    Adena T. Friedman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3.25pt;height:13.8pt;mso-wrap-distance-left:0pt;mso-wrap-distance-right:0pt;mso-wrap-distance-top:0pt;mso-wrap-distance-bottom:0pt;margin-top:0pt;mso-position-vertical:top;mso-position-vertical-relative:text;margin-left:30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  <w:t> 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/s/    Adena T. Friedman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Date: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October 22,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Exhibit 31.2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CERTIFICATION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I, Sarah Youngwood, certify that: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1. I have reviewed this Quarterly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Report on Form 10-Q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of Nasdaq, Inc.;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2. Based on my knowledge, this report does not contain any untrue statement of a material fact or omit to state a material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fact necessary to make the statements made, in light of the circumstances under which such statements were made, not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misleading with respect to the period covered by this report;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3. Based on my knowledge, the financial statements, and other financial information included in this report, fairly present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in all material respects the financial condition, results of operations and cash flows of the registrant as of, and for, the periods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presented in this report;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4. The registrant’s other certifying officer and I are responsible for establishing and maintaining disclosure controls and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procedures (as defined in Exchange Act Rules 13a-15(e) and 15d-15(e)) and internal control over financial reporting (as defined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 Exchange Act Rules 13a-15(f) and 15d-15(f)) for the registrant and have: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(a) Designed such disclosure controls and procedures, or caused such disclosure controls and procedures to be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designed under our supervision, to ensure that material information relating to the registrant, including its consolidated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subsidiaries, is made known to us by others within those entities, particularly during the period in which this report is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being prepared;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(b) Designed such internal control over financial reporting, or caused such internal control over financial reporting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to be designed under our supervision, to provide reasonable assurance regarding the reliability of financial reporting and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the preparation of financial statements for external purposes in accordance with generally accepted accounting principles;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(c) Evaluated the effectiveness of the registrant’s disclosure controls and procedures and presented in this report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our conclusions about the effectiveness of the disclosure controls and procedures, as of the end of the period covered by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this report based on such evaluation;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(d) Disclosed in this report any change in the registrant’s internal control over financial reporting that occurred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during the registrant’s most recent fiscal quarter (the registrant’s fourth fiscal quarter in the case of an annual report) that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has materially affected, or is reasonably likely to materially affect, the registrant’s internal control over financial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reporting;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5. The registrant’s other certifying officer and I have disclosed, based on our most recent evaluation of internal control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over financial reporting, to the registrant’s auditors and the audit committee of the registrant’s board of directors (or persons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performing the equivalent functions):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(a) All significant deficiencies and material weaknesses in the design or operation of internal control over financial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reporting which are reasonably likely to adversely affect the registrant’s ability to record, process, summarize and report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financial information;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(b) Any fraud, whether or not material, that involves management or other employees who have a significant role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 the registrant’s internal control over financial reporting.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 </w: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631190</wp:posOffset>
                </wp:positionH>
                <wp:positionV relativeFrom="line">
                  <wp:posOffset>635</wp:posOffset>
                </wp:positionV>
                <wp:extent cx="6515100" cy="1165860"/>
                <wp:effectExtent l="0" t="0" r="0" b="0"/>
                <wp:wrapNone/>
                <wp:docPr id="11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577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806"/>
                              <w:gridCol w:w="4736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7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91.8pt;mso-wrap-distance-left:0pt;mso-wrap-distance-right:0pt;mso-wrap-distance-top:0pt;mso-wrap-distance-bottom:0pt;margin-top:0pt;mso-position-vertical:top;mso-position-vertical-relative:text;margin-left:49.7pt;mso-position-horizontal-relative:page">
                <v:textbox>
                  <w:txbxContent>
                    <w:tbl>
                      <w:tblPr>
                        <w:tblW w:w="577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806"/>
                        <w:gridCol w:w="4736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7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7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7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7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3133725</wp:posOffset>
                </wp:positionH>
                <wp:positionV relativeFrom="line">
                  <wp:posOffset>635</wp:posOffset>
                </wp:positionV>
                <wp:extent cx="457200" cy="175260"/>
                <wp:effectExtent l="0" t="0" r="0" b="0"/>
                <wp:wrapNone/>
                <wp:docPr id="12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pt;height:13.8pt;mso-wrap-distance-left:0pt;mso-wrap-distance-right:0pt;mso-wrap-distance-top:0pt;mso-wrap-distance-bottom:0pt;margin-top:0pt;mso-position-vertical:top;mso-position-vertical-relative:text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3590925</wp:posOffset>
                </wp:positionH>
                <wp:positionV relativeFrom="line">
                  <wp:posOffset>635</wp:posOffset>
                </wp:positionV>
                <wp:extent cx="2924175" cy="175260"/>
                <wp:effectExtent l="0" t="0" r="0" b="0"/>
                <wp:wrapNone/>
                <wp:docPr id="13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 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/s/ Sarah Youngwood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0.25pt;height:13.8pt;mso-wrap-distance-left:0pt;mso-wrap-distance-right:0pt;mso-wrap-distance-top:0pt;mso-wrap-distance-bottom:0pt;margin-top:0pt;mso-position-vertical:top;mso-position-vertical-relative:text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 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/s/ Sarah Youngwood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Date: October 22, 2026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32.1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of CEO and CFO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18 U.S.C. Section 1350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as Adopted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Section 906 of the Sarbanes-Oxley Act of 2002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In connection with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Quarterly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Report on Form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10-Q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of Nasdaq, Inc. (the “Company”) for the period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September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30, 2026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as filed with the Securities and Exchange Commission on the date hereof (the “Report”), Adena T. Friedman, as Chief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Executive Officer of the Company, and Sarah Youngwood, as Executive Vice President and Chief Financial Officer of the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Company, each hereby certifies, pursuant to 18 U.S.C. § 1350, as adopted pursuant to § 906 of the Sarbanes-Oxley Act of 2002,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that, to the best of her knowledge: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(1) The Report fully complies with the requirements of Section 13(a) or 15(d) of the Securities Exchange Act of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1934; and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(2) The information contained in the Report fairly presents, in all material respects, the financial condition and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results of the operations of the Company.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</w:p>
    <w:p>
      <w:pPr>
        <w:pStyle w:val="TextBody"/>
        <w:bidi w:val="0"/>
        <w:spacing w:lineRule="atLeast" w:line="142" w:before="0" w:after="283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 </w: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628650</wp:posOffset>
                </wp:positionH>
                <wp:positionV relativeFrom="line">
                  <wp:posOffset>635</wp:posOffset>
                </wp:positionV>
                <wp:extent cx="6496050" cy="2645410"/>
                <wp:effectExtent l="0" t="0" r="0" b="0"/>
                <wp:wrapNone/>
                <wp:docPr id="14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26454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568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806"/>
                              <w:gridCol w:w="4646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6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208.3pt;mso-wrap-distance-left:0pt;mso-wrap-distance-right:0pt;mso-wrap-distance-top:0pt;mso-wrap-distance-bottom:0pt;margin-top:0pt;mso-position-vertical:top;mso-position-vertical-relative:text;margin-left:49.5pt;mso-position-horizontal-relative:page">
                <v:textbox>
                  <w:txbxContent>
                    <w:tbl>
                      <w:tblPr>
                        <w:tblW w:w="568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806"/>
                        <w:gridCol w:w="4646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6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3171825</wp:posOffset>
                </wp:positionH>
                <wp:positionV relativeFrom="line">
                  <wp:posOffset>635</wp:posOffset>
                </wp:positionV>
                <wp:extent cx="457200" cy="175260"/>
                <wp:effectExtent l="0" t="0" r="0" b="0"/>
                <wp:wrapNone/>
                <wp:docPr id="15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pt;height:13.8pt;mso-wrap-distance-left:0pt;mso-wrap-distance-right:0pt;mso-wrap-distance-top:0pt;mso-wrap-distance-bottom:0pt;margin-top:0pt;mso-position-vertical:top;mso-position-vertical-relative:text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u w:val="none"/>
                          <w:effect w:val="none"/>
                        </w:rPr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3629025</wp:posOffset>
                </wp:positionH>
                <wp:positionV relativeFrom="line">
                  <wp:posOffset>635</wp:posOffset>
                </wp:positionV>
                <wp:extent cx="2867025" cy="146685"/>
                <wp:effectExtent l="0" t="0" r="0" b="0"/>
                <wp:wrapNone/>
                <wp:docPr id="16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/s/   Adena T. Friedman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.75pt;height:11.55pt;mso-wrap-distance-left:0pt;mso-wrap-distance-right:0pt;mso-wrap-distance-top:0pt;mso-wrap-distance-bottom:0pt;margin-top:0pt;mso-position-vertical:top;mso-position-vertical-relative:text;margin-left:28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/s/   Adena T. Friedman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gif"/><Relationship Id="rId4" Type="http://schemas.openxmlformats.org/officeDocument/2006/relationships/image" Target="media/image3.gif"/><Relationship Id="rId5" Type="http://schemas.openxmlformats.org/officeDocument/2006/relationships/image" Target="media/image4.gif"/><Relationship Id="rId6" Type="http://schemas.openxmlformats.org/officeDocument/2006/relationships/image" Target="media/image5.gif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17</Pages>
  <Words>31762</Words>
  <Characters>179627</Characters>
  <CharactersWithSpaces>207638</CharactersWithSpaces>
  <Paragraphs>7261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