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NASDAQ,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Massachusetts Financial Services Company</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22,728,519.00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23,259,540.00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23,259,540.00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NASDAQ,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151 West 42nd Street, New York, NY 10036</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Massachusetts Financial Services Company</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111 Huntington Avenue, Boston, MA 02199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23,259,540 shares of Common Stock consisting of shares beneficially owned by MFS and/or certain other non-reporting entities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4.1  %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22,728,519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23,259,540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912" w:type="dxa"/>
        <w:jc w:val="left"/>
        <w:tblInd w:w="0" w:type="dxa"/>
        <w:tblLayout w:type="fixed"/>
        <w:tblCellMar>
          <w:top w:w="28" w:type="dxa"/>
          <w:left w:w="28" w:type="dxa"/>
          <w:bottom w:w="28" w:type="dxa"/>
          <w:right w:w="28" w:type="dxa"/>
        </w:tblCellMar>
      </w:tblPr>
      <w:tblGrid>
        <w:gridCol w:w="4456"/>
        <w:gridCol w:w="4456"/>
      </w:tblGrid>
      <w:tr>
        <w:trPr/>
        <w:tc>
          <w:tcPr>
            <w:tcW w:w="4456" w:type="dxa"/>
            <w:tcBorders/>
            <w:vAlign w:val="center"/>
          </w:tcPr>
          <w:p>
            <w:pPr>
              <w:pStyle w:val="TableContents"/>
              <w:bidi w:val="0"/>
              <w:spacing w:before="0" w:after="0"/>
              <w:jc w:val="left"/>
              <w:rPr/>
            </w:pPr>
            <w:r>
              <w:rPr/>
              <w:t> </w:t>
            </w:r>
          </w:p>
          <w:tbl>
            <w:tblPr>
              <w:tblW w:w="4291" w:type="dxa"/>
              <w:jc w:val="left"/>
              <w:tblInd w:w="0" w:type="dxa"/>
              <w:tblLayout w:type="fixed"/>
              <w:tblCellMar>
                <w:top w:w="28" w:type="dxa"/>
                <w:left w:w="28" w:type="dxa"/>
                <w:bottom w:w="28" w:type="dxa"/>
                <w:right w:w="28" w:type="dxa"/>
              </w:tblCellMar>
            </w:tblPr>
            <w:tblGrid>
              <w:gridCol w:w="4291"/>
            </w:tblGrid>
            <w:tr>
              <w:trPr/>
              <w:tc>
                <w:tcPr>
                  <w:tcW w:w="4291" w:type="dxa"/>
                  <w:tcBorders/>
                  <w:vAlign w:val="center"/>
                </w:tcPr>
                <w:p>
                  <w:pPr>
                    <w:pStyle w:val="TableContents"/>
                    <w:bidi w:val="0"/>
                    <w:spacing w:before="0" w:after="0"/>
                    <w:jc w:val="left"/>
                    <w:rPr/>
                  </w:pPr>
                  <w:r>
                    <w:rPr/>
                    <w:t>Massachusetts Financial Services Company</w:t>
                  </w:r>
                </w:p>
              </w:tc>
            </w:tr>
          </w:tbl>
          <w:p>
            <w:pPr>
              <w:pStyle w:val="TableContents"/>
              <w:bidi w:val="0"/>
              <w:spacing w:before="0" w:after="283"/>
              <w:jc w:val="left"/>
              <w:rPr/>
            </w:pPr>
            <w:r>
              <w:rPr/>
            </w:r>
          </w:p>
        </w:tc>
        <w:tc>
          <w:tcPr>
            <w:tcW w:w="44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Deepu Pylee</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Compliance Director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741</Words>
  <Characters>3866</Characters>
  <CharactersWithSpaces>4603</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