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Tal Cohen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Market Platforms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68"/>
        <w:gridCol w:w="448"/>
        <w:gridCol w:w="79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15,518</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90.75</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215,208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(i) 126,563 shares or units of restricted stock, of which 53,203 are vested, (ii) 87,017 shares of Common Stock underlying PSUs, 74,175 of which are vested, and (iii) 1,628 shares ofCommon Stock purchased under the Issuer's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box is a weighted average price. These shares were sold in multiple transactions at prices ranging from $90.51 to $91.09, inclusive. The reporting person undertakes toprovide to Nasdaq, any security holder of Nasdaq or the staff of the U.S. Securities and Exchange Commission, upon request, full information regarding the number of shares sold at eachseparate price within the range set forth in this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1714"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3671</Characters>
  <CharactersWithSpaces>4294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