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7291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291070"/>
                    </a:xfrm>
                    <a:prstGeom prst="rect">
                      <a:avLst/>
                    </a:prstGeom>
                    <a:noFill/>
                  </pic:spPr>
                </pic:pic>
              </a:graphicData>
            </a:graphic>
          </wp:anchor>
        </w:drawing>
      </w:r>
    </w:p>
    <w:p>
      <w:pPr>
        <w:spacing w:after="0" w:line="100" w:lineRule="exact"/>
        <w:rPr>
          <w:sz w:val="24"/>
          <w:szCs w:val="24"/>
          <w:color w:val="auto"/>
        </w:rPr>
      </w:pPr>
    </w:p>
    <w:p>
      <w:pPr>
        <w:sectPr>
          <w:pgSz w:w="11900" w:h="16892"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GREIFELD ROBERT</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NASDAQ OMX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NDAQ</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12/24/2012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8"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40" w:type="dxa"/>
            <w:vAlign w:val="bottom"/>
          </w:tcPr>
          <w:p>
            <w:pPr>
              <w:spacing w:after="0"/>
              <w:rPr>
                <w:sz w:val="21"/>
                <w:szCs w:val="21"/>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1" w:lineRule="exact"/>
        <w:rPr>
          <w:sz w:val="24"/>
          <w:szCs w:val="24"/>
          <w:color w:val="auto"/>
        </w:rPr>
      </w:pPr>
    </w:p>
    <w:p>
      <w:pPr>
        <w:sectPr>
          <w:pgSz w:w="11900" w:h="16892" w:orient="portrait"/>
          <w:cols w:equalWidth="0" w:num="3">
            <w:col w:w="3340" w:space="720"/>
            <w:col w:w="3520" w:space="462"/>
            <w:col w:w="3478"/>
          </w:cols>
          <w:pgMar w:left="240" w:top="225" w:right="139" w:bottom="0" w:gutter="0" w:footer="0" w:header="0"/>
          <w:type w:val="continuous"/>
        </w:sectPr>
      </w:pP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34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80" w:type="dxa"/>
            <w:vAlign w:val="bottom"/>
            <w:gridSpan w:val="6"/>
            <w:vMerge w:val="restart"/>
          </w:tcPr>
          <w:p>
            <w:pPr>
              <w:jc w:val="center"/>
              <w:ind w:right="12"/>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gridSpan w:val="6"/>
            <w:vMerge w:val="continue"/>
          </w:tcPr>
          <w:p>
            <w:pPr>
              <w:spacing w:after="0"/>
              <w:rPr>
                <w:sz w:val="11"/>
                <w:szCs w:val="11"/>
                <w:color w:val="auto"/>
              </w:rPr>
            </w:pPr>
          </w:p>
        </w:tc>
        <w:tc>
          <w:tcPr>
            <w:tcW w:w="38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NY</w:t>
            </w:r>
          </w:p>
        </w:tc>
        <w:tc>
          <w:tcPr>
            <w:tcW w:w="820" w:type="dxa"/>
            <w:vAlign w:val="bottom"/>
          </w:tcPr>
          <w:p>
            <w:pPr>
              <w:ind w:left="40"/>
              <w:spacing w:after="0"/>
              <w:rPr>
                <w:sz w:val="20"/>
                <w:szCs w:val="20"/>
                <w:color w:val="auto"/>
              </w:rPr>
            </w:pPr>
            <w:r>
              <w:rPr>
                <w:rFonts w:ascii="Arial" w:cs="Arial" w:eastAsia="Arial" w:hAnsi="Arial"/>
                <w:sz w:val="17"/>
                <w:szCs w:val="17"/>
                <w:color w:val="0000FF"/>
              </w:rPr>
              <w:t>10006</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gridSpan w:val="2"/>
          </w:tcPr>
          <w:p>
            <w:pPr>
              <w:ind w:left="58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4"/>
          </w:tcPr>
          <w:p>
            <w:pPr>
              <w:jc w:val="center"/>
              <w:ind w:left="55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420" w:type="dxa"/>
            <w:vAlign w:val="bottom"/>
            <w:tcBorders>
              <w:bottom w:val="single" w:sz="8" w:color="2C2C2C"/>
            </w:tcBorders>
            <w:gridSpan w:val="6"/>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420" w:type="dxa"/>
            <w:vAlign w:val="bottom"/>
            <w:gridSpan w:val="6"/>
          </w:tcPr>
          <w:p>
            <w:pPr>
              <w:ind w:left="60"/>
              <w:spacing w:after="0"/>
              <w:rPr>
                <w:sz w:val="20"/>
                <w:szCs w:val="20"/>
                <w:color w:val="auto"/>
              </w:rPr>
            </w:pPr>
            <w:r>
              <w:rPr>
                <w:rFonts w:ascii="Arial" w:cs="Arial" w:eastAsia="Arial" w:hAnsi="Arial"/>
                <w:sz w:val="17"/>
                <w:szCs w:val="17"/>
                <w:color w:val="0000FF"/>
              </w:rPr>
              <w:t>Common Stock, par value $0.01 per share</w:t>
            </w:r>
          </w:p>
        </w:tc>
        <w:tc>
          <w:tcPr>
            <w:tcW w:w="1060" w:type="dxa"/>
            <w:vAlign w:val="bottom"/>
            <w:gridSpan w:val="3"/>
          </w:tcPr>
          <w:p>
            <w:pPr>
              <w:jc w:val="center"/>
              <w:ind w:right="113"/>
              <w:spacing w:after="0"/>
              <w:rPr>
                <w:sz w:val="20"/>
                <w:szCs w:val="20"/>
                <w:color w:val="auto"/>
              </w:rPr>
            </w:pPr>
            <w:r>
              <w:rPr>
                <w:rFonts w:ascii="Arial" w:cs="Arial" w:eastAsia="Arial" w:hAnsi="Arial"/>
                <w:sz w:val="17"/>
                <w:szCs w:val="17"/>
                <w:color w:val="0000FF"/>
                <w:w w:val="93"/>
              </w:rPr>
              <w:t>12/24/2012</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20" w:type="dxa"/>
            <w:vAlign w:val="bottom"/>
          </w:tcPr>
          <w:p>
            <w:pPr>
              <w:ind w:left="240"/>
              <w:spacing w:after="0"/>
              <w:rPr>
                <w:sz w:val="20"/>
                <w:szCs w:val="20"/>
                <w:color w:val="auto"/>
              </w:rPr>
            </w:pPr>
            <w:r>
              <w:rPr>
                <w:rFonts w:ascii="Arial" w:cs="Arial" w:eastAsia="Arial" w:hAnsi="Arial"/>
                <w:sz w:val="17"/>
                <w:szCs w:val="17"/>
                <w:color w:val="0000FF"/>
                <w:w w:val="88"/>
              </w:rPr>
              <w:t>20,000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Pr>
          <w:p>
            <w:pPr>
              <w:jc w:val="right"/>
              <w:ind w:righ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6.3</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693,055</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4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$0.01 per share</w:t>
            </w:r>
          </w:p>
        </w:tc>
        <w:tc>
          <w:tcPr>
            <w:tcW w:w="1060" w:type="dxa"/>
            <w:vAlign w:val="bottom"/>
            <w:tcBorders>
              <w:bottom w:val="single" w:sz="8" w:color="2C2C2C"/>
            </w:tcBorders>
            <w:gridSpan w:val="3"/>
          </w:tcPr>
          <w:p>
            <w:pPr>
              <w:jc w:val="center"/>
              <w:ind w:right="113"/>
              <w:spacing w:after="0"/>
              <w:rPr>
                <w:sz w:val="20"/>
                <w:szCs w:val="20"/>
                <w:color w:val="auto"/>
              </w:rPr>
            </w:pPr>
            <w:r>
              <w:rPr>
                <w:rFonts w:ascii="Arial" w:cs="Arial" w:eastAsia="Arial" w:hAnsi="Arial"/>
                <w:sz w:val="17"/>
                <w:szCs w:val="17"/>
                <w:color w:val="0000FF"/>
                <w:w w:val="93"/>
              </w:rPr>
              <w:t>12/24/2012</w:t>
            </w: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20,000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25.28</w:t>
            </w:r>
            <w:r>
              <w:rPr>
                <w:rFonts w:ascii="Arial" w:cs="Arial" w:eastAsia="Arial" w:hAnsi="Arial"/>
                <w:sz w:val="22"/>
                <w:szCs w:val="22"/>
                <w:color w:val="008000"/>
                <w:w w:val="97"/>
                <w:vertAlign w:val="superscript"/>
              </w:rPr>
              <w:t>(2)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673,055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420" w:type="dxa"/>
            <w:vAlign w:val="bottom"/>
            <w:gridSpan w:val="6"/>
          </w:tcPr>
          <w:p>
            <w:pPr>
              <w:ind w:left="60"/>
              <w:spacing w:after="0"/>
              <w:rPr>
                <w:sz w:val="20"/>
                <w:szCs w:val="20"/>
                <w:color w:val="auto"/>
              </w:rPr>
            </w:pPr>
            <w:r>
              <w:rPr>
                <w:rFonts w:ascii="Arial" w:cs="Arial" w:eastAsia="Arial" w:hAnsi="Arial"/>
                <w:sz w:val="17"/>
                <w:szCs w:val="17"/>
                <w:color w:val="0000FF"/>
              </w:rPr>
              <w:t>Common Stock, par value $0.01 per share</w:t>
            </w:r>
          </w:p>
        </w:tc>
        <w:tc>
          <w:tcPr>
            <w:tcW w:w="1060" w:type="dxa"/>
            <w:vAlign w:val="bottom"/>
            <w:gridSpan w:val="3"/>
          </w:tcPr>
          <w:p>
            <w:pPr>
              <w:jc w:val="center"/>
              <w:ind w:right="113"/>
              <w:spacing w:after="0"/>
              <w:rPr>
                <w:sz w:val="20"/>
                <w:szCs w:val="20"/>
                <w:color w:val="auto"/>
              </w:rPr>
            </w:pPr>
            <w:r>
              <w:rPr>
                <w:rFonts w:ascii="Arial" w:cs="Arial" w:eastAsia="Arial" w:hAnsi="Arial"/>
                <w:sz w:val="17"/>
                <w:szCs w:val="17"/>
                <w:color w:val="0000FF"/>
                <w:w w:val="93"/>
              </w:rPr>
              <w:t>12/26/2012</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ind w:right="240"/>
              <w:spacing w:after="0"/>
              <w:rPr>
                <w:sz w:val="20"/>
                <w:szCs w:val="20"/>
                <w:color w:val="auto"/>
              </w:rPr>
            </w:pPr>
            <w:r>
              <w:rPr>
                <w:rFonts w:ascii="Arial" w:cs="Arial" w:eastAsia="Arial" w:hAnsi="Arial"/>
                <w:sz w:val="13"/>
                <w:szCs w:val="13"/>
                <w:color w:val="0000FF"/>
              </w:rPr>
              <w:t>M</w:t>
            </w:r>
          </w:p>
        </w:tc>
        <w:tc>
          <w:tcPr>
            <w:tcW w:w="720" w:type="dxa"/>
            <w:vAlign w:val="bottom"/>
          </w:tcPr>
          <w:p>
            <w:pPr>
              <w:ind w:left="240"/>
              <w:spacing w:after="0"/>
              <w:rPr>
                <w:sz w:val="20"/>
                <w:szCs w:val="20"/>
                <w:color w:val="auto"/>
              </w:rPr>
            </w:pPr>
            <w:r>
              <w:rPr>
                <w:rFonts w:ascii="Arial" w:cs="Arial" w:eastAsia="Arial" w:hAnsi="Arial"/>
                <w:sz w:val="17"/>
                <w:szCs w:val="17"/>
                <w:color w:val="0000FF"/>
                <w:w w:val="88"/>
              </w:rPr>
              <w:t>55,000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Pr>
          <w:p>
            <w:pPr>
              <w:jc w:val="right"/>
              <w:ind w:righ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6.3</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728,055</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Stock, par value $0.01 per share</w:t>
            </w:r>
          </w:p>
        </w:tc>
        <w:tc>
          <w:tcPr>
            <w:tcW w:w="1060" w:type="dxa"/>
            <w:vAlign w:val="bottom"/>
            <w:tcBorders>
              <w:bottom w:val="single" w:sz="8" w:color="2C2C2C"/>
            </w:tcBorders>
            <w:gridSpan w:val="3"/>
          </w:tcPr>
          <w:p>
            <w:pPr>
              <w:jc w:val="center"/>
              <w:ind w:right="113"/>
              <w:spacing w:after="0"/>
              <w:rPr>
                <w:sz w:val="20"/>
                <w:szCs w:val="20"/>
                <w:color w:val="auto"/>
              </w:rPr>
            </w:pPr>
            <w:r>
              <w:rPr>
                <w:rFonts w:ascii="Arial" w:cs="Arial" w:eastAsia="Arial" w:hAnsi="Arial"/>
                <w:sz w:val="17"/>
                <w:szCs w:val="17"/>
                <w:color w:val="0000FF"/>
                <w:w w:val="93"/>
              </w:rPr>
              <w:t>12/26/2012</w:t>
            </w: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55,000</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25.17</w:t>
            </w:r>
            <w:r>
              <w:rPr>
                <w:rFonts w:ascii="Arial" w:cs="Arial" w:eastAsia="Arial" w:hAnsi="Arial"/>
                <w:sz w:val="22"/>
                <w:szCs w:val="22"/>
                <w:color w:val="008000"/>
                <w:w w:val="97"/>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673,055</w:t>
            </w:r>
            <w:r>
              <w:rPr>
                <w:rFonts w:ascii="Arial" w:cs="Arial" w:eastAsia="Arial" w:hAnsi="Arial"/>
                <w:sz w:val="22"/>
                <w:szCs w:val="22"/>
                <w:color w:val="008000"/>
                <w:w w:val="88"/>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14"/>
                <w:szCs w:val="14"/>
                <w:color w:val="auto"/>
              </w:rPr>
            </w:pPr>
          </w:p>
        </w:tc>
        <w:tc>
          <w:tcPr>
            <w:tcW w:w="720" w:type="dxa"/>
            <w:vAlign w:val="bottom"/>
            <w:gridSpan w:val="2"/>
          </w:tcPr>
          <w:p>
            <w:pPr>
              <w:jc w:val="center"/>
              <w:ind w:right="433"/>
              <w:spacing w:after="0"/>
              <w:rPr>
                <w:sz w:val="20"/>
                <w:szCs w:val="20"/>
                <w:color w:val="auto"/>
              </w:rPr>
            </w:pPr>
            <w:r>
              <w:rPr>
                <w:rFonts w:ascii="Arial" w:cs="Arial" w:eastAsia="Arial" w:hAnsi="Arial"/>
                <w:sz w:val="12"/>
                <w:szCs w:val="12"/>
                <w:b w:val="1"/>
                <w:bCs w:val="1"/>
                <w:color w:val="auto"/>
                <w:w w:val="99"/>
              </w:rPr>
              <w:t>4.</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1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3"/>
              <w:spacing w:after="0" w:line="133" w:lineRule="exact"/>
              <w:rPr>
                <w:sz w:val="20"/>
                <w:szCs w:val="20"/>
                <w:color w:val="auto"/>
              </w:rPr>
            </w:pPr>
            <w:r>
              <w:rPr>
                <w:rFonts w:ascii="Arial" w:cs="Arial" w:eastAsia="Arial" w:hAnsi="Arial"/>
                <w:sz w:val="12"/>
                <w:szCs w:val="12"/>
                <w:b w:val="1"/>
                <w:bCs w:val="1"/>
                <w:color w:val="auto"/>
                <w:w w:val="93"/>
              </w:rPr>
              <w:t>8)</w:t>
            </w: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44"/>
              <w:spacing w:after="0"/>
              <w:rPr>
                <w:sz w:val="20"/>
                <w:szCs w:val="20"/>
                <w:color w:val="auto"/>
              </w:rPr>
            </w:pPr>
            <w:r>
              <w:rPr>
                <w:rFonts w:ascii="Arial" w:cs="Arial" w:eastAsia="Arial" w:hAnsi="Arial"/>
                <w:sz w:val="17"/>
                <w:szCs w:val="17"/>
                <w:color w:val="0000FF"/>
                <w:w w:val="96"/>
              </w:rPr>
              <w:t>20,000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0"/>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6.3</w:t>
            </w:r>
          </w:p>
        </w:tc>
        <w:tc>
          <w:tcPr>
            <w:tcW w:w="160" w:type="dxa"/>
            <w:vAlign w:val="bottom"/>
          </w:tcPr>
          <w:p>
            <w:pPr>
              <w:spacing w:after="0"/>
              <w:rPr>
                <w:sz w:val="5"/>
                <w:szCs w:val="5"/>
                <w:color w:val="auto"/>
              </w:rPr>
            </w:pPr>
          </w:p>
        </w:tc>
        <w:tc>
          <w:tcPr>
            <w:tcW w:w="1080" w:type="dxa"/>
            <w:vAlign w:val="bottom"/>
            <w:vMerge w:val="restart"/>
          </w:tcPr>
          <w:p>
            <w:pPr>
              <w:jc w:val="right"/>
              <w:ind w:right="153"/>
              <w:spacing w:after="0" w:line="146" w:lineRule="exact"/>
              <w:rPr>
                <w:sz w:val="20"/>
                <w:szCs w:val="20"/>
                <w:color w:val="auto"/>
              </w:rPr>
            </w:pPr>
            <w:r>
              <w:rPr>
                <w:rFonts w:ascii="Arial" w:cs="Arial" w:eastAsia="Arial" w:hAnsi="Arial"/>
                <w:sz w:val="13"/>
                <w:szCs w:val="13"/>
                <w:color w:val="0000FF"/>
              </w:rPr>
              <w:t>12/24/2012</w:t>
            </w: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M</w:t>
            </w:r>
          </w:p>
        </w:tc>
        <w:tc>
          <w:tcPr>
            <w:tcW w:w="980" w:type="dxa"/>
            <w:vAlign w:val="bottom"/>
            <w:vMerge w:val="restart"/>
          </w:tcPr>
          <w:p>
            <w:pPr>
              <w:ind w:left="480"/>
              <w:spacing w:after="0" w:line="146" w:lineRule="exact"/>
              <w:rPr>
                <w:sz w:val="20"/>
                <w:szCs w:val="20"/>
                <w:color w:val="auto"/>
              </w:rPr>
            </w:pPr>
            <w:r>
              <w:rPr>
                <w:rFonts w:ascii="Arial" w:cs="Arial" w:eastAsia="Arial" w:hAnsi="Arial"/>
                <w:sz w:val="13"/>
                <w:szCs w:val="13"/>
                <w:color w:val="0000FF"/>
              </w:rPr>
              <w:t>20,000</w:t>
            </w:r>
          </w:p>
        </w:tc>
        <w:tc>
          <w:tcPr>
            <w:tcW w:w="820" w:type="dxa"/>
            <w:vAlign w:val="bottom"/>
            <w:gridSpan w:val="2"/>
            <w:vMerge w:val="continue"/>
          </w:tcPr>
          <w:p>
            <w:pPr>
              <w:spacing w:after="0"/>
              <w:rPr>
                <w:sz w:val="5"/>
                <w:szCs w:val="5"/>
                <w:color w:val="auto"/>
              </w:rPr>
            </w:pPr>
          </w:p>
        </w:tc>
        <w:tc>
          <w:tcPr>
            <w:tcW w:w="720" w:type="dxa"/>
            <w:vAlign w:val="bottom"/>
            <w:vMerge w:val="restart"/>
          </w:tcPr>
          <w:p>
            <w:pPr>
              <w:spacing w:after="0" w:line="146" w:lineRule="exact"/>
              <w:rPr>
                <w:sz w:val="20"/>
                <w:szCs w:val="20"/>
                <w:color w:val="auto"/>
              </w:rPr>
            </w:pPr>
            <w:r>
              <w:rPr>
                <w:rFonts w:ascii="Arial" w:cs="Arial" w:eastAsia="Arial" w:hAnsi="Arial"/>
                <w:sz w:val="13"/>
                <w:szCs w:val="13"/>
                <w:color w:val="0000FF"/>
              </w:rPr>
              <w:t>06/11/2013</w:t>
            </w:r>
          </w:p>
        </w:tc>
        <w:tc>
          <w:tcPr>
            <w:tcW w:w="6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755,000</w:t>
            </w:r>
          </w:p>
        </w:tc>
        <w:tc>
          <w:tcPr>
            <w:tcW w:w="68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44"/>
              <w:spacing w:after="0"/>
              <w:rPr>
                <w:sz w:val="20"/>
                <w:szCs w:val="20"/>
                <w:color w:val="auto"/>
              </w:rPr>
            </w:pPr>
            <w:r>
              <w:rPr>
                <w:rFonts w:ascii="Arial" w:cs="Arial" w:eastAsia="Arial" w:hAnsi="Arial"/>
                <w:sz w:val="17"/>
                <w:szCs w:val="17"/>
                <w:color w:val="0000FF"/>
                <w:w w:val="96"/>
              </w:rPr>
              <w:t>55,000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vMerge w:val="restart"/>
          </w:tcPr>
          <w:p>
            <w:pPr>
              <w:jc w:val="center"/>
              <w:ind w:left="100"/>
              <w:spacing w:after="0" w:line="146"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6.3</w:t>
            </w:r>
          </w:p>
        </w:tc>
        <w:tc>
          <w:tcPr>
            <w:tcW w:w="160" w:type="dxa"/>
            <w:vAlign w:val="bottom"/>
          </w:tcPr>
          <w:p>
            <w:pPr>
              <w:spacing w:after="0"/>
              <w:rPr>
                <w:sz w:val="5"/>
                <w:szCs w:val="5"/>
                <w:color w:val="auto"/>
              </w:rPr>
            </w:pPr>
          </w:p>
        </w:tc>
        <w:tc>
          <w:tcPr>
            <w:tcW w:w="1080" w:type="dxa"/>
            <w:vAlign w:val="bottom"/>
            <w:vMerge w:val="restart"/>
          </w:tcPr>
          <w:p>
            <w:pPr>
              <w:jc w:val="right"/>
              <w:ind w:right="153"/>
              <w:spacing w:after="0" w:line="146" w:lineRule="exact"/>
              <w:rPr>
                <w:sz w:val="20"/>
                <w:szCs w:val="20"/>
                <w:color w:val="auto"/>
              </w:rPr>
            </w:pPr>
            <w:r>
              <w:rPr>
                <w:rFonts w:ascii="Arial" w:cs="Arial" w:eastAsia="Arial" w:hAnsi="Arial"/>
                <w:sz w:val="13"/>
                <w:szCs w:val="13"/>
                <w:color w:val="0000FF"/>
              </w:rPr>
              <w:t>12/26/2012</w:t>
            </w: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M</w:t>
            </w:r>
          </w:p>
        </w:tc>
        <w:tc>
          <w:tcPr>
            <w:tcW w:w="980" w:type="dxa"/>
            <w:vAlign w:val="bottom"/>
            <w:vMerge w:val="restart"/>
          </w:tcPr>
          <w:p>
            <w:pPr>
              <w:ind w:left="480"/>
              <w:spacing w:after="0" w:line="146" w:lineRule="exact"/>
              <w:rPr>
                <w:sz w:val="20"/>
                <w:szCs w:val="20"/>
                <w:color w:val="auto"/>
              </w:rPr>
            </w:pPr>
            <w:r>
              <w:rPr>
                <w:rFonts w:ascii="Arial" w:cs="Arial" w:eastAsia="Arial" w:hAnsi="Arial"/>
                <w:sz w:val="13"/>
                <w:szCs w:val="13"/>
                <w:color w:val="0000FF"/>
              </w:rPr>
              <w:t>55,000</w:t>
            </w:r>
          </w:p>
        </w:tc>
        <w:tc>
          <w:tcPr>
            <w:tcW w:w="820" w:type="dxa"/>
            <w:vAlign w:val="bottom"/>
            <w:gridSpan w:val="2"/>
            <w:vMerge w:val="continue"/>
          </w:tcPr>
          <w:p>
            <w:pPr>
              <w:spacing w:after="0"/>
              <w:rPr>
                <w:sz w:val="5"/>
                <w:szCs w:val="5"/>
                <w:color w:val="auto"/>
              </w:rPr>
            </w:pPr>
          </w:p>
        </w:tc>
        <w:tc>
          <w:tcPr>
            <w:tcW w:w="720" w:type="dxa"/>
            <w:vAlign w:val="bottom"/>
            <w:vMerge w:val="restart"/>
          </w:tcPr>
          <w:p>
            <w:pPr>
              <w:spacing w:after="0" w:line="146" w:lineRule="exact"/>
              <w:rPr>
                <w:sz w:val="20"/>
                <w:szCs w:val="20"/>
                <w:color w:val="auto"/>
              </w:rPr>
            </w:pPr>
            <w:r>
              <w:rPr>
                <w:rFonts w:ascii="Arial" w:cs="Arial" w:eastAsia="Arial" w:hAnsi="Arial"/>
                <w:sz w:val="13"/>
                <w:szCs w:val="13"/>
                <w:color w:val="0000FF"/>
              </w:rPr>
              <w:t>06/11/2013</w:t>
            </w:r>
          </w:p>
        </w:tc>
        <w:tc>
          <w:tcPr>
            <w:tcW w:w="6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700,000</w:t>
            </w:r>
          </w:p>
        </w:tc>
        <w:tc>
          <w:tcPr>
            <w:tcW w:w="68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w w:val="91"/>
              </w:rPr>
              <w:t>900,000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0"/>
              <w:spacing w:after="0" w:line="129"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21.31</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3"/>
                <w:szCs w:val="13"/>
                <w:color w:val="0000FF"/>
              </w:rPr>
              <w:t>06/30/2019</w:t>
            </w:r>
          </w:p>
        </w:tc>
        <w:tc>
          <w:tcPr>
            <w:tcW w:w="6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0"/>
              <w:spacing w:after="0" w:line="129" w:lineRule="exact"/>
              <w:rPr>
                <w:sz w:val="20"/>
                <w:szCs w:val="20"/>
                <w:color w:val="auto"/>
              </w:rPr>
            </w:pPr>
            <w:r>
              <w:rPr>
                <w:rFonts w:ascii="Arial" w:cs="Arial" w:eastAsia="Arial" w:hAnsi="Arial"/>
                <w:sz w:val="13"/>
                <w:szCs w:val="13"/>
                <w:color w:val="0000FF"/>
              </w:rPr>
              <w:t>900,000</w:t>
            </w:r>
          </w:p>
        </w:tc>
        <w:tc>
          <w:tcPr>
            <w:tcW w:w="680" w:type="dxa"/>
            <w:vAlign w:val="bottom"/>
          </w:tcPr>
          <w:p>
            <w:pPr>
              <w:ind w:left="320"/>
              <w:spacing w:after="0" w:line="12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2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(7)</w:t>
            </w:r>
          </w:p>
        </w:tc>
        <w:tc>
          <w:tcPr>
            <w:tcW w:w="7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w w:val="91"/>
              </w:rPr>
              <w:t>960,000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0"/>
              <w:spacing w:after="0" w:line="129"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35.92</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3"/>
                <w:szCs w:val="13"/>
                <w:color w:val="0000FF"/>
              </w:rPr>
              <w:t>12/13/2016</w:t>
            </w:r>
          </w:p>
        </w:tc>
        <w:tc>
          <w:tcPr>
            <w:tcW w:w="6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0"/>
              <w:spacing w:after="0" w:line="129" w:lineRule="exact"/>
              <w:rPr>
                <w:sz w:val="20"/>
                <w:szCs w:val="20"/>
                <w:color w:val="auto"/>
              </w:rPr>
            </w:pPr>
            <w:r>
              <w:rPr>
                <w:rFonts w:ascii="Arial" w:cs="Arial" w:eastAsia="Arial" w:hAnsi="Arial"/>
                <w:sz w:val="13"/>
                <w:szCs w:val="13"/>
                <w:color w:val="0000FF"/>
              </w:rPr>
              <w:t>960,000</w:t>
            </w:r>
          </w:p>
        </w:tc>
        <w:tc>
          <w:tcPr>
            <w:tcW w:w="680" w:type="dxa"/>
            <w:vAlign w:val="bottom"/>
          </w:tcPr>
          <w:p>
            <w:pPr>
              <w:ind w:left="320"/>
              <w:spacing w:after="0" w:line="12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ind w:left="12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November 26, 2012.</w:t>
      </w:r>
    </w:p>
    <w:p>
      <w:pPr>
        <w:spacing w:after="0" w:line="50" w:lineRule="exact"/>
        <w:rPr>
          <w:rFonts w:ascii="Arial" w:cs="Arial" w:eastAsia="Arial" w:hAnsi="Arial"/>
          <w:sz w:val="13"/>
          <w:szCs w:val="13"/>
          <w:color w:val="008000"/>
        </w:rPr>
      </w:pPr>
    </w:p>
    <w:p>
      <w:pPr>
        <w:jc w:val="both"/>
        <w:ind w:left="40" w:right="2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this box is a weighted average price. These shares were sold in multiple transactions at prices ranging from $25.18 to $25.59, inclusive. The reporting person undertakes to provide to The NASDAQ OMX Group, Inc., any security holder of The NASDAQ OMX Group, Inc. or the staff of the U.S. Securities and Exchange Commission, upon request, full information regarding the number of shares sold at each separate price within the range set forth in this footnote (2) to this Form 4.</w:t>
      </w:r>
    </w:p>
    <w:p>
      <w:pPr>
        <w:spacing w:after="0" w:line="25" w:lineRule="exact"/>
        <w:rPr>
          <w:rFonts w:ascii="Arial" w:cs="Arial" w:eastAsia="Arial" w:hAnsi="Arial"/>
          <w:sz w:val="13"/>
          <w:szCs w:val="13"/>
          <w:color w:val="008000"/>
        </w:rPr>
      </w:pPr>
    </w:p>
    <w:p>
      <w:pPr>
        <w:jc w:val="both"/>
        <w:ind w:left="40" w:right="2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this box is a weighted average price. These shares were sold in multiple transactions at prices ranging from $25.07 to $25.34, inclusive. The reporting person undertakes to provide to The NASDAQ OMX Group, Inc., any security holder of The NASDAQ OMX Group, Inc. or the staff of the U.S. Securities and Exchange Commission, upon request, full information regarding the number of shares sold at each separate price within the range set forth in this footnote (3) to this Form 4.</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(i) 300,000 shares of common stock acquired upon exercise of vested stock options, (ii) 209,383 vested shares of restricted stock and (iii) 163,672 vested shares underlying PSUs.</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exercisable as to 100%.</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exercisable as to 450,000 shares on each of December 31, 2011 and December 31, 2012.</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exercisable as to 100%.</w:t>
      </w:r>
    </w:p>
    <w:p>
      <w:pPr>
        <w:sectPr>
          <w:pgSz w:w="11900" w:h="16892" w:orient="portrait"/>
          <w:cols w:equalWidth="0" w:num="1">
            <w:col w:w="11520"/>
          </w:cols>
          <w:pgMar w:left="240" w:top="225" w:right="139" w:bottom="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Edward S. Knight,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5715</wp:posOffset>
            </wp:positionV>
            <wp:extent cx="1388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8110" cy="8255"/>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478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0000FF"/>
        </w:rPr>
        <w:t>12/27/2012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92" w:orient="portrait"/>
          <w:cols w:equalWidth="0" w:num="2">
            <w:col w:w="9040" w:space="100"/>
            <w:col w:w="2380"/>
          </w:cols>
          <w:pgMar w:left="240" w:top="225" w:right="139" w:bottom="0" w:gutter="0" w:footer="0" w:header="0"/>
          <w:type w:val="continuous"/>
        </w:sectPr>
      </w:pPr>
    </w:p>
    <w:bookmarkStart w:id="1" w:name="page2"/>
    <w:bookmarkEnd w:id="1"/>
    <w:p>
      <w:pPr>
        <w:jc w:val="both"/>
        <w:ind w:right="249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4669" TargetMode="External"/><Relationship Id="rId13" Type="http://schemas.openxmlformats.org/officeDocument/2006/relationships/hyperlink" Target="http://www.sec.gov/cgi-bin/browse-edgar?action=getcompany&amp;CIK=00011201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2019-12-17T16:16:39Z</dcterms:created>
  <dcterms:modified xsi:type="dcterms:W3CDTF">2019-12-17T16:16:39Z</dcterms:modified>
</cp:coreProperties>
</file>