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5" w:lineRule="exact"/>
        <w:rPr>
          <w:sz w:val="24"/>
          <w:szCs w:val="24"/>
          <w:color w:val="auto"/>
        </w:rPr>
      </w:pPr>
    </w:p>
    <w:p>
      <w:pPr>
        <w:ind w:left="360" w:right="2500" w:hanging="352"/>
        <w:spacing w:after="0" w:line="257"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-297180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ind w:left="340" w:hanging="332"/>
        <w:spacing w:after="0" w:line="214" w:lineRule="auto"/>
        <w:tabs>
          <w:tab w:leader="none" w:pos="340" w:val="left"/>
        </w:tabs>
        <w:numPr>
          <w:ilvl w:val="0"/>
          <w:numId w:val="2"/>
        </w:numPr>
        <w:rPr>
          <w:rFonts w:ascii="MS PGothic" w:cs="MS PGothic" w:eastAsia="MS PGothic" w:hAnsi="MS PGothic"/>
          <w:sz w:val="1"/>
          <w:szCs w:val="1"/>
          <w:color w:val="auto"/>
        </w:rPr>
      </w:pPr>
      <w:r>
        <w:rPr>
          <w:rFonts w:ascii="Arial" w:cs="Arial" w:eastAsia="Arial" w:hAnsi="Arial"/>
          <w:sz w:val="1"/>
          <w:szCs w:val="1"/>
          <w:b w:val="1"/>
          <w:bCs w:val="1"/>
          <w:color w:val="auto"/>
        </w:rPr>
        <w:t>TRANSITION REPORT PURSUANT TO SECTION 13 OR 15(d) OF THE SECURITIES EXCHANGE ACT OF 1934</w:t>
      </w:r>
    </w:p>
    <w:p>
      <w:pPr>
        <w:spacing w:after="0" w:line="203" w:lineRule="exact"/>
        <w:rPr>
          <w:sz w:val="24"/>
          <w:szCs w:val="24"/>
          <w:color w:val="auto"/>
        </w:rPr>
      </w:pPr>
    </w:p>
    <w:p>
      <w:pPr>
        <w:ind w:left="360"/>
        <w:spacing w:after="0"/>
        <w:tabs>
          <w:tab w:leader="none" w:pos="3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000-32651</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OMX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8"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6540" w:type="dxa"/>
            <w:vAlign w:val="bottom"/>
          </w:tcPr>
          <w:p>
            <w:pPr>
              <w:jc w:val="center"/>
              <w:ind w:right="3641"/>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540" w:type="dxa"/>
            <w:vAlign w:val="bottom"/>
          </w:tcPr>
          <w:p>
            <w:pPr>
              <w:jc w:val="center"/>
              <w:ind w:right="36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40" w:type="dxa"/>
            <w:vAlign w:val="bottom"/>
          </w:tcPr>
          <w:p>
            <w:pPr>
              <w:jc w:val="center"/>
              <w:ind w:right="3641"/>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6540" w:type="dxa"/>
            <w:vAlign w:val="bottom"/>
          </w:tcPr>
          <w:p>
            <w:pPr>
              <w:spacing w:after="0"/>
              <w:rPr>
                <w:sz w:val="20"/>
                <w:szCs w:val="20"/>
                <w:color w:val="auto"/>
              </w:rPr>
            </w:pPr>
            <w:r>
              <w:rPr>
                <w:rFonts w:ascii="Arial" w:cs="Arial" w:eastAsia="Arial" w:hAnsi="Arial"/>
                <w:sz w:val="18"/>
                <w:szCs w:val="18"/>
                <w:b w:val="1"/>
                <w:bCs w:val="1"/>
                <w:color w:val="auto"/>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47"/>
        </w:trPr>
        <w:tc>
          <w:tcPr>
            <w:tcW w:w="6540" w:type="dxa"/>
            <w:vAlign w:val="bottom"/>
          </w:tcPr>
          <w:p>
            <w:pPr>
              <w:jc w:val="center"/>
              <w:ind w:right="3641"/>
              <w:spacing w:after="0" w:line="147"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line="147" w:lineRule="exact"/>
              <w:rPr>
                <w:sz w:val="20"/>
                <w:szCs w:val="20"/>
                <w:color w:val="auto"/>
              </w:rPr>
            </w:pPr>
            <w:r>
              <w:rPr>
                <w:rFonts w:ascii="Arial" w:cs="Arial" w:eastAsia="Arial" w:hAnsi="Arial"/>
                <w:sz w:val="14"/>
                <w:szCs w:val="14"/>
                <w:b w:val="1"/>
                <w:bCs w:val="1"/>
                <w:color w:val="auto"/>
                <w:w w:val="92"/>
              </w:rPr>
              <w:t>(Zip Code)</w:t>
            </w:r>
          </w:p>
        </w:tc>
      </w:tr>
      <w:tr>
        <w:trPr>
          <w:trHeight w:val="216"/>
        </w:trPr>
        <w:tc>
          <w:tcPr>
            <w:tcW w:w="6540" w:type="dxa"/>
            <w:vAlign w:val="bottom"/>
          </w:tcPr>
          <w:p>
            <w:pPr>
              <w:jc w:val="center"/>
              <w:ind w:left="2001"/>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18"/>
                <w:szCs w:val="18"/>
                <w:color w:val="auto"/>
              </w:rPr>
            </w:pPr>
          </w:p>
        </w:tc>
      </w:tr>
      <w:tr>
        <w:trPr>
          <w:trHeight w:val="228"/>
        </w:trPr>
        <w:tc>
          <w:tcPr>
            <w:tcW w:w="6540" w:type="dxa"/>
            <w:vAlign w:val="bottom"/>
          </w:tcPr>
          <w:p>
            <w:pPr>
              <w:jc w:val="right"/>
              <w:ind w:right="1541"/>
              <w:spacing w:after="0"/>
              <w:rPr>
                <w:sz w:val="20"/>
                <w:szCs w:val="20"/>
                <w:color w:val="auto"/>
              </w:rPr>
            </w:pPr>
            <w:r>
              <w:rPr>
                <w:rFonts w:ascii="Arial" w:cs="Arial" w:eastAsia="Arial" w:hAnsi="Arial"/>
                <w:sz w:val="18"/>
                <w:szCs w:val="18"/>
                <w:b w:val="1"/>
                <w:bCs w:val="1"/>
                <w:color w:val="auto"/>
              </w:rPr>
              <w:t>+1 212 401 8700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52705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 w:lineRule="exact"/>
        <w:rPr>
          <w:sz w:val="24"/>
          <w:szCs w:val="24"/>
          <w:color w:val="auto"/>
        </w:rPr>
      </w:pPr>
    </w:p>
    <w:tbl>
      <w:tblPr>
        <w:tblLayout w:type="fixed"/>
        <w:tblInd w:w="36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2"/>
          </w:tcPr>
          <w:p>
            <w:pPr>
              <w:jc w:val="center"/>
              <w:ind w:right="752"/>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189"/>
        </w:trPr>
        <w:tc>
          <w:tcPr>
            <w:tcW w:w="4160" w:type="dxa"/>
            <w:vAlign w:val="bottom"/>
            <w:gridSpan w:val="3"/>
          </w:tcPr>
          <w:p>
            <w:pPr>
              <w:jc w:val="center"/>
              <w:ind w:left="652"/>
              <w:spacing w:after="0" w:line="189" w:lineRule="exact"/>
              <w:rPr>
                <w:sz w:val="20"/>
                <w:szCs w:val="20"/>
                <w:color w:val="auto"/>
              </w:rPr>
            </w:pPr>
            <w:r>
              <w:rPr>
                <w:rFonts w:ascii="Arial" w:cs="Arial" w:eastAsia="Arial" w:hAnsi="Arial"/>
                <w:sz w:val="18"/>
                <w:szCs w:val="18"/>
                <w:color w:val="auto"/>
                <w:w w:val="87"/>
              </w:rPr>
              <w:t>Common Stock, $.01 par value per share</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20" w:type="dxa"/>
            <w:vAlign w:val="bottom"/>
            <w:gridSpan w:val="2"/>
          </w:tcPr>
          <w:p>
            <w:pPr>
              <w:jc w:val="center"/>
              <w:ind w:right="752"/>
              <w:spacing w:after="0" w:line="189" w:lineRule="exact"/>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0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gridSpan w:val="3"/>
          </w:tcPr>
          <w:p>
            <w:pPr>
              <w:jc w:val="center"/>
              <w:ind w:right="2682"/>
              <w:spacing w:after="0"/>
              <w:rPr>
                <w:sz w:val="20"/>
                <w:szCs w:val="20"/>
                <w:color w:val="auto"/>
              </w:rPr>
            </w:pPr>
            <w:r>
              <w:rPr>
                <w:rFonts w:ascii="Arial" w:cs="Arial" w:eastAsia="Arial" w:hAnsi="Arial"/>
                <w:sz w:val="18"/>
                <w:szCs w:val="18"/>
                <w:b w:val="1"/>
                <w:bCs w:val="1"/>
                <w:color w:val="auto"/>
                <w:w w:val="84"/>
              </w:rPr>
              <w:t>None</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160" w:type="dxa"/>
            <w:vAlign w:val="bottom"/>
            <w:gridSpan w:val="3"/>
          </w:tcPr>
          <w:p>
            <w:pPr>
              <w:spacing w:after="0"/>
              <w:rPr>
                <w:sz w:val="7"/>
                <w:szCs w:val="7"/>
                <w:color w:val="auto"/>
              </w:rPr>
            </w:pPr>
          </w:p>
        </w:tc>
        <w:tc>
          <w:tcPr>
            <w:tcW w:w="2380" w:type="dxa"/>
            <w:vAlign w:val="bottom"/>
            <w:tcBorders>
              <w:bottom w:val="single" w:sz="8" w:color="auto"/>
            </w:tcBorders>
            <w:gridSpan w:val="2"/>
          </w:tcPr>
          <w:p>
            <w:pPr>
              <w:spacing w:after="0"/>
              <w:rPr>
                <w:sz w:val="7"/>
                <w:szCs w:val="7"/>
                <w:color w:val="auto"/>
              </w:rPr>
            </w:pPr>
          </w:p>
        </w:tc>
        <w:tc>
          <w:tcPr>
            <w:tcW w:w="2760" w:type="dxa"/>
            <w:vAlign w:val="bottom"/>
          </w:tcPr>
          <w:p>
            <w:pPr>
              <w:spacing w:after="0"/>
              <w:rPr>
                <w:sz w:val="7"/>
                <w:szCs w:val="7"/>
                <w:color w:val="auto"/>
              </w:rPr>
            </w:pPr>
          </w:p>
        </w:tc>
        <w:tc>
          <w:tcPr>
            <w:tcW w:w="17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9300" w:type="dxa"/>
            <w:vAlign w:val="bottom"/>
            <w:gridSpan w:val="6"/>
          </w:tcPr>
          <w:p>
            <w:pPr>
              <w:spacing w:after="0" w:line="195"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7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4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40" w:firstLine="342"/>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2"/>
          </w:tcPr>
          <w:p>
            <w:pPr>
              <w:spacing w:after="0"/>
              <w:rPr>
                <w:sz w:val="20"/>
                <w:szCs w:val="20"/>
                <w:color w:val="auto"/>
              </w:rPr>
            </w:pPr>
            <w:r>
              <w:rPr>
                <w:rFonts w:ascii="Arial" w:cs="Arial" w:eastAsia="Arial" w:hAnsi="Arial"/>
                <w:sz w:val="18"/>
                <w:szCs w:val="18"/>
                <w:color w:val="auto"/>
                <w:w w:val="92"/>
              </w:rPr>
              <w:t>definitions of “large accelerated filer,” “accelerated filer” and “smaller reporting company” in Rule 12b-2 of the Exchange Act.</w:t>
            </w:r>
          </w:p>
        </w:tc>
        <w:tc>
          <w:tcPr>
            <w:tcW w:w="9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ind w:left="10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960" w:type="dxa"/>
            <w:vAlign w:val="bottom"/>
          </w:tcPr>
          <w:p>
            <w:pPr>
              <w:ind w:left="740"/>
              <w:spacing w:after="0"/>
              <w:rPr>
                <w:sz w:val="20"/>
                <w:szCs w:val="20"/>
                <w:color w:val="auto"/>
              </w:rPr>
            </w:pPr>
            <w:r>
              <w:rPr>
                <w:rFonts w:ascii="Arial" w:cs="Arial" w:eastAsia="Arial" w:hAnsi="Arial"/>
                <w:sz w:val="18"/>
                <w:szCs w:val="18"/>
                <w:color w:val="auto"/>
                <w:w w:val="92"/>
              </w:rPr>
              <w:t>Accelerated filer</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3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gridSpan w:val="2"/>
          </w:tcPr>
          <w:p>
            <w:pPr>
              <w:ind w:left="74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263"/>
        </w:trPr>
        <w:tc>
          <w:tcPr>
            <w:tcW w:w="91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9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ind w:right="40" w:firstLine="342"/>
        <w:spacing w:after="0" w:line="247" w:lineRule="auto"/>
        <w:rPr>
          <w:sz w:val="20"/>
          <w:szCs w:val="20"/>
          <w:color w:val="auto"/>
        </w:rPr>
      </w:pPr>
      <w:r>
        <w:rPr>
          <w:rFonts w:ascii="Arial" w:cs="Arial" w:eastAsia="Arial" w:hAnsi="Arial"/>
          <w:sz w:val="18"/>
          <w:szCs w:val="18"/>
          <w:color w:val="auto"/>
        </w:rPr>
        <w:t>As of June 30, 2011, the aggregate market value of the registrant’s common stock held by non-affiliates of the registrant was approximately $3.2 billion (this amount represents approximately 128.1 million shares of The NASDAQ OMX Group, Inc.’s common stock based on the last reported sales price of $25.30 of the common stock on The NASDAQ Stock Market on such date).</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80"/>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line="160" w:lineRule="exact"/>
              <w:rPr>
                <w:sz w:val="20"/>
                <w:szCs w:val="20"/>
                <w:color w:val="auto"/>
              </w:rPr>
            </w:pPr>
            <w:r>
              <w:rPr>
                <w:rFonts w:ascii="Arial" w:cs="Arial" w:eastAsia="Arial" w:hAnsi="Arial"/>
                <w:sz w:val="14"/>
                <w:szCs w:val="14"/>
                <w:b w:val="1"/>
                <w:bCs w:val="1"/>
                <w:color w:val="auto"/>
                <w:w w:val="80"/>
              </w:rPr>
              <w:t>Class</w:t>
            </w:r>
          </w:p>
        </w:tc>
        <w:tc>
          <w:tcPr>
            <w:tcW w:w="4760" w:type="dxa"/>
            <w:vAlign w:val="bottom"/>
            <w:gridSpan w:val="5"/>
          </w:tcPr>
          <w:p>
            <w:pPr>
              <w:spacing w:after="0"/>
              <w:rPr>
                <w:sz w:val="15"/>
                <w:szCs w:val="15"/>
                <w:color w:val="auto"/>
              </w:rPr>
            </w:pPr>
          </w:p>
        </w:tc>
        <w:tc>
          <w:tcPr>
            <w:tcW w:w="3680" w:type="dxa"/>
            <w:vAlign w:val="bottom"/>
          </w:tcPr>
          <w:p>
            <w:pPr>
              <w:jc w:val="center"/>
              <w:ind w:right="1602"/>
              <w:spacing w:after="0" w:line="160" w:lineRule="exact"/>
              <w:rPr>
                <w:sz w:val="20"/>
                <w:szCs w:val="20"/>
                <w:color w:val="auto"/>
              </w:rPr>
            </w:pPr>
            <w:r>
              <w:rPr>
                <w:rFonts w:ascii="Arial" w:cs="Arial" w:eastAsia="Arial" w:hAnsi="Arial"/>
                <w:sz w:val="14"/>
                <w:szCs w:val="14"/>
                <w:b w:val="1"/>
                <w:bCs w:val="1"/>
                <w:color w:val="auto"/>
                <w:w w:val="88"/>
              </w:rPr>
              <w:t>Outstanding at February 10, 2012</w:t>
            </w:r>
          </w:p>
        </w:tc>
      </w:tr>
      <w:tr>
        <w:trPr>
          <w:trHeight w:val="209"/>
        </w:trPr>
        <w:tc>
          <w:tcPr>
            <w:tcW w:w="2660" w:type="dxa"/>
            <w:vAlign w:val="bottom"/>
            <w:gridSpan w:val="2"/>
          </w:tcPr>
          <w:p>
            <w:pPr>
              <w:ind w:left="1380"/>
              <w:spacing w:after="0" w:line="188" w:lineRule="exact"/>
              <w:rPr>
                <w:sz w:val="20"/>
                <w:szCs w:val="20"/>
                <w:color w:val="auto"/>
              </w:rPr>
            </w:pPr>
            <w:r>
              <w:rPr>
                <w:rFonts w:ascii="Arial" w:cs="Arial" w:eastAsia="Arial" w:hAnsi="Arial"/>
                <w:sz w:val="18"/>
                <w:szCs w:val="18"/>
                <w:color w:val="auto"/>
                <w:w w:val="88"/>
              </w:rPr>
              <w:t>Common Stock, $</w:t>
            </w:r>
          </w:p>
        </w:tc>
        <w:tc>
          <w:tcPr>
            <w:tcW w:w="3400" w:type="dxa"/>
            <w:vAlign w:val="bottom"/>
            <w:gridSpan w:val="4"/>
          </w:tcPr>
          <w:p>
            <w:pPr>
              <w:spacing w:after="0" w:line="202" w:lineRule="exact"/>
              <w:rPr>
                <w:sz w:val="20"/>
                <w:szCs w:val="20"/>
                <w:color w:val="auto"/>
              </w:rPr>
            </w:pPr>
            <w:r>
              <w:rPr>
                <w:rFonts w:ascii="Arial" w:cs="Arial" w:eastAsia="Arial" w:hAnsi="Arial"/>
                <w:sz w:val="18"/>
                <w:szCs w:val="18"/>
                <w:color w:val="auto"/>
              </w:rPr>
              <w:t>.01 par value per share</w:t>
            </w: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center"/>
              <w:ind w:right="1602"/>
              <w:spacing w:after="0"/>
              <w:rPr>
                <w:sz w:val="20"/>
                <w:szCs w:val="20"/>
                <w:color w:val="auto"/>
              </w:rPr>
            </w:pPr>
            <w:r>
              <w:rPr>
                <w:rFonts w:ascii="Arial" w:cs="Arial" w:eastAsia="Arial" w:hAnsi="Arial"/>
                <w:sz w:val="18"/>
                <w:szCs w:val="18"/>
                <w:color w:val="auto"/>
                <w:w w:val="85"/>
              </w:rPr>
              <w:t>173,386,138 shares</w:t>
            </w:r>
          </w:p>
        </w:tc>
      </w:tr>
      <w:tr>
        <w:trPr>
          <w:trHeight w:val="88"/>
        </w:trPr>
        <w:tc>
          <w:tcPr>
            <w:tcW w:w="2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380" w:type="dxa"/>
            <w:vAlign w:val="bottom"/>
            <w:tcBorders>
              <w:bottom w:val="single" w:sz="8" w:color="auto"/>
            </w:tcBorders>
            <w:gridSpan w:val="2"/>
          </w:tcPr>
          <w:p>
            <w:pPr>
              <w:spacing w:after="0"/>
              <w:rPr>
                <w:sz w:val="7"/>
                <w:szCs w:val="7"/>
                <w:color w:val="auto"/>
              </w:rPr>
            </w:pPr>
          </w:p>
        </w:tc>
        <w:tc>
          <w:tcPr>
            <w:tcW w:w="840" w:type="dxa"/>
            <w:vAlign w:val="bottom"/>
          </w:tcPr>
          <w:p>
            <w:pPr>
              <w:spacing w:after="0"/>
              <w:rPr>
                <w:sz w:val="7"/>
                <w:szCs w:val="7"/>
                <w:color w:val="auto"/>
              </w:rPr>
            </w:pPr>
          </w:p>
        </w:tc>
        <w:tc>
          <w:tcPr>
            <w:tcW w:w="3680" w:type="dxa"/>
            <w:vAlign w:val="bottom"/>
          </w:tcPr>
          <w:p>
            <w:pPr>
              <w:spacing w:after="0"/>
              <w:rPr>
                <w:sz w:val="7"/>
                <w:szCs w:val="7"/>
                <w:color w:val="auto"/>
              </w:rPr>
            </w:pPr>
          </w:p>
        </w:tc>
      </w:tr>
      <w:tr>
        <w:trPr>
          <w:trHeight w:val="224"/>
        </w:trPr>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gridSpan w:val="4"/>
          </w:tcPr>
          <w:p>
            <w:pPr>
              <w:ind w:left="58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3680" w:type="dxa"/>
            <w:vAlign w:val="bottom"/>
          </w:tcPr>
          <w:p>
            <w:pPr>
              <w:spacing w:after="0"/>
              <w:rPr>
                <w:sz w:val="19"/>
                <w:szCs w:val="19"/>
                <w:color w:val="auto"/>
              </w:rPr>
            </w:pPr>
          </w:p>
        </w:tc>
      </w:tr>
      <w:tr>
        <w:trPr>
          <w:trHeight w:val="181"/>
        </w:trPr>
        <w:tc>
          <w:tcPr>
            <w:tcW w:w="2500" w:type="dxa"/>
            <w:vAlign w:val="bottom"/>
          </w:tcPr>
          <w:p>
            <w:pPr>
              <w:spacing w:after="0"/>
              <w:rPr>
                <w:sz w:val="15"/>
                <w:szCs w:val="15"/>
                <w:color w:val="auto"/>
              </w:rPr>
            </w:pPr>
          </w:p>
        </w:tc>
        <w:tc>
          <w:tcPr>
            <w:tcW w:w="5240" w:type="dxa"/>
            <w:vAlign w:val="bottom"/>
            <w:gridSpan w:val="7"/>
          </w:tcPr>
          <w:p>
            <w:pPr>
              <w:jc w:val="center"/>
              <w:ind w:right="4620"/>
              <w:spacing w:after="0"/>
              <w:rPr>
                <w:sz w:val="20"/>
                <w:szCs w:val="20"/>
                <w:color w:val="auto"/>
              </w:rPr>
            </w:pPr>
            <w:r>
              <w:rPr>
                <w:rFonts w:ascii="Arial" w:cs="Arial" w:eastAsia="Arial" w:hAnsi="Arial"/>
                <w:sz w:val="14"/>
                <w:szCs w:val="14"/>
                <w:b w:val="1"/>
                <w:bCs w:val="1"/>
                <w:color w:val="auto"/>
                <w:w w:val="84"/>
              </w:rPr>
              <w:t>Document</w:t>
            </w:r>
          </w:p>
        </w:tc>
        <w:tc>
          <w:tcPr>
            <w:tcW w:w="3680" w:type="dxa"/>
            <w:vAlign w:val="bottom"/>
          </w:tcPr>
          <w:p>
            <w:pPr>
              <w:jc w:val="center"/>
              <w:ind w:right="1602"/>
              <w:spacing w:after="0"/>
              <w:rPr>
                <w:sz w:val="20"/>
                <w:szCs w:val="20"/>
                <w:color w:val="auto"/>
              </w:rPr>
            </w:pPr>
            <w:r>
              <w:rPr>
                <w:rFonts w:ascii="Arial" w:cs="Arial" w:eastAsia="Arial" w:hAnsi="Arial"/>
                <w:sz w:val="14"/>
                <w:szCs w:val="14"/>
                <w:b w:val="1"/>
                <w:bCs w:val="1"/>
                <w:color w:val="auto"/>
                <w:w w:val="90"/>
              </w:rPr>
              <w:t>Parts Into Which Incorporated</w:t>
            </w:r>
          </w:p>
        </w:tc>
      </w:tr>
      <w:tr>
        <w:trPr>
          <w:trHeight w:val="181"/>
        </w:trPr>
        <w:tc>
          <w:tcPr>
            <w:tcW w:w="2500" w:type="dxa"/>
            <w:vAlign w:val="bottom"/>
          </w:tcPr>
          <w:p>
            <w:pPr>
              <w:ind w:left="300"/>
              <w:spacing w:after="0" w:line="182" w:lineRule="exact"/>
              <w:rPr>
                <w:sz w:val="20"/>
                <w:szCs w:val="20"/>
                <w:color w:val="auto"/>
              </w:rPr>
            </w:pPr>
            <w:r>
              <w:rPr>
                <w:rFonts w:ascii="Arial" w:cs="Arial" w:eastAsia="Arial" w:hAnsi="Arial"/>
                <w:sz w:val="18"/>
                <w:szCs w:val="18"/>
                <w:color w:val="auto"/>
                <w:w w:val="85"/>
              </w:rPr>
              <w:t>Certain portions of the Definitive</w:t>
            </w:r>
          </w:p>
        </w:tc>
        <w:tc>
          <w:tcPr>
            <w:tcW w:w="620" w:type="dxa"/>
            <w:vAlign w:val="bottom"/>
            <w:tcBorders>
              <w:top w:val="single" w:sz="8" w:color="auto"/>
            </w:tcBorders>
            <w:gridSpan w:val="3"/>
          </w:tcPr>
          <w:p>
            <w:pPr>
              <w:ind w:left="180"/>
              <w:spacing w:after="0" w:line="182" w:lineRule="exact"/>
              <w:rPr>
                <w:sz w:val="20"/>
                <w:szCs w:val="20"/>
                <w:color w:val="auto"/>
              </w:rPr>
            </w:pPr>
            <w:r>
              <w:rPr>
                <w:rFonts w:ascii="Arial" w:cs="Arial" w:eastAsia="Arial" w:hAnsi="Arial"/>
                <w:sz w:val="18"/>
                <w:szCs w:val="18"/>
                <w:color w:val="auto"/>
                <w:w w:val="91"/>
              </w:rPr>
              <w:t>Proxy</w:t>
            </w:r>
          </w:p>
        </w:tc>
        <w:tc>
          <w:tcPr>
            <w:tcW w:w="294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Statement for the 2012 Annual</w:t>
            </w:r>
          </w:p>
        </w:tc>
        <w:tc>
          <w:tcPr>
            <w:tcW w:w="1680" w:type="dxa"/>
            <w:vAlign w:val="bottom"/>
            <w:tcBorders>
              <w:top w:val="single" w:sz="8" w:color="auto"/>
            </w:tcBorders>
            <w:gridSpan w:val="2"/>
          </w:tcPr>
          <w:p>
            <w:pPr>
              <w:spacing w:after="0"/>
              <w:rPr>
                <w:sz w:val="15"/>
                <w:szCs w:val="15"/>
                <w:color w:val="auto"/>
              </w:rPr>
            </w:pPr>
          </w:p>
        </w:tc>
        <w:tc>
          <w:tcPr>
            <w:tcW w:w="3680" w:type="dxa"/>
            <w:vAlign w:val="bottom"/>
            <w:tcBorders>
              <w:top w:val="single" w:sz="8" w:color="auto"/>
            </w:tcBorders>
          </w:tcPr>
          <w:p>
            <w:pPr>
              <w:spacing w:after="0"/>
              <w:rPr>
                <w:sz w:val="15"/>
                <w:szCs w:val="15"/>
                <w:color w:val="auto"/>
              </w:rPr>
            </w:pPr>
          </w:p>
        </w:tc>
      </w:tr>
      <w:tr>
        <w:trPr>
          <w:trHeight w:val="222"/>
        </w:trPr>
        <w:tc>
          <w:tcPr>
            <w:tcW w:w="7740" w:type="dxa"/>
            <w:vAlign w:val="bottom"/>
            <w:gridSpan w:val="8"/>
          </w:tcPr>
          <w:p>
            <w:pPr>
              <w:jc w:val="center"/>
              <w:ind w:right="2120"/>
              <w:spacing w:after="0"/>
              <w:rPr>
                <w:sz w:val="20"/>
                <w:szCs w:val="20"/>
                <w:color w:val="auto"/>
              </w:rPr>
            </w:pPr>
            <w:r>
              <w:rPr>
                <w:rFonts w:ascii="Arial" w:cs="Arial" w:eastAsia="Arial" w:hAnsi="Arial"/>
                <w:sz w:val="18"/>
                <w:szCs w:val="18"/>
                <w:color w:val="auto"/>
                <w:w w:val="90"/>
              </w:rPr>
              <w:t>Meeting of Stockholders</w:t>
            </w:r>
          </w:p>
        </w:tc>
        <w:tc>
          <w:tcPr>
            <w:tcW w:w="3680" w:type="dxa"/>
            <w:vAlign w:val="bottom"/>
          </w:tcPr>
          <w:p>
            <w:pPr>
              <w:jc w:val="center"/>
              <w:ind w:right="1602"/>
              <w:spacing w:after="0"/>
              <w:rPr>
                <w:sz w:val="20"/>
                <w:szCs w:val="20"/>
                <w:color w:val="auto"/>
              </w:rPr>
            </w:pPr>
            <w:r>
              <w:rPr>
                <w:rFonts w:ascii="Arial" w:cs="Arial" w:eastAsia="Arial" w:hAnsi="Arial"/>
                <w:sz w:val="18"/>
                <w:szCs w:val="18"/>
                <w:color w:val="auto"/>
                <w:w w:val="97"/>
              </w:rPr>
              <w:t>Part III</w:t>
            </w:r>
          </w:p>
        </w:tc>
      </w:tr>
      <w:tr>
        <w:trPr>
          <w:trHeight w:val="50"/>
        </w:trPr>
        <w:tc>
          <w:tcPr>
            <w:tcW w:w="2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2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9140" w:type="dxa"/>
            <w:vAlign w:val="bottom"/>
            <w:gridSpan w:val="19"/>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8880" w:type="dxa"/>
            <w:vAlign w:val="bottom"/>
            <w:gridSpan w:val="1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Properties</w:t>
              </w:r>
            </w:hyperlink>
          </w:p>
        </w:tc>
        <w:tc>
          <w:tcPr>
            <w:tcW w:w="7780" w:type="dxa"/>
            <w:vAlign w:val="bottom"/>
            <w:gridSpan w:val="11"/>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Legal Proceedings</w:t>
              </w:r>
            </w:hyperlink>
          </w:p>
        </w:tc>
        <w:tc>
          <w:tcPr>
            <w:tcW w:w="8460" w:type="dxa"/>
            <w:vAlign w:val="bottom"/>
            <w:gridSpan w:val="15"/>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2"/>
                <w:szCs w:val="22"/>
                <w:color w:val="auto"/>
              </w:rPr>
            </w:pPr>
          </w:p>
        </w:tc>
        <w:tc>
          <w:tcPr>
            <w:tcW w:w="1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978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Quantitative and Qualitative Disclosures About Market Risk</w:t>
              </w:r>
            </w:hyperlink>
          </w:p>
        </w:tc>
        <w:tc>
          <w:tcPr>
            <w:tcW w:w="3480" w:type="dxa"/>
            <w:vAlign w:val="bottom"/>
            <w:gridSpan w:val="4"/>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94">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2"/>
                <w:szCs w:val="22"/>
                <w:color w:val="auto"/>
              </w:rPr>
            </w:pPr>
          </w:p>
        </w:tc>
        <w:tc>
          <w:tcPr>
            <w:tcW w:w="552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22"/>
                <w:szCs w:val="22"/>
                <w:color w:val="auto"/>
              </w:rPr>
            </w:pPr>
          </w:p>
        </w:tc>
        <w:tc>
          <w:tcPr>
            <w:tcW w:w="346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978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578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2660" w:type="dxa"/>
            <w:vAlign w:val="bottom"/>
            <w:gridSpan w:val="2"/>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4460" w:type="dxa"/>
            <w:vAlign w:val="bottom"/>
            <w:gridSpan w:val="5"/>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Exhibits, Financial Statement Schedules</w:t>
              </w:r>
            </w:hyperlink>
          </w:p>
        </w:tc>
        <w:tc>
          <w:tcPr>
            <w:tcW w:w="6940" w:type="dxa"/>
            <w:vAlign w:val="bottom"/>
            <w:gridSpan w:val="9"/>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Form 10-K, unless otherwise specified:</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“we,” “us” and “our” refer to The NASDAQ OMX Group, Inc.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NASDAQ Stock Market” and “NASDAQ” refer to the registered national securities exchange operated by The NASDAQ Stock Market LLC.</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AB” refers to OMX AB (publ), as that entity operated prior to the business combination with Nasdaq.</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refers to The Nasdaq Stock Market, Inc., as that entity operated prior to the business combination with OMX AB.</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refers to OMX AB (publ) subsequent to the business combination with Nasdaq.</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refers to collectively, NASDAQ OMX Stockholm, NASDAQ OMX Copenhagen, NASDAQ OMX Helsinki and NASDAQ OMX Iceland.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Baltic” refers to collectively, NASDAQ OMX Tallinn, NASDAQ OMX Riga and NASDAQ OMX Vilnius.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“PHLX” refers to the Philadelphia Stock Exchange, Inc. and its subsidiaries, as that entity operated prior to its acquisition by NASDAQ OMX.</w:t>
      </w:r>
    </w:p>
    <w:p>
      <w:pPr>
        <w:spacing w:after="0" w:line="126"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PHLX” refers to NASDAQ OMX PHLX LLC (formerly NASDAQ OMX PHLX, Inc.) subsequent to its acquisition by NASDAQ OMX.</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“SEK” or “Swedish Krona” refers to the lawful currency of Sweden.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BX Venture Market</w:t>
      </w:r>
      <w:r>
        <w:rPr>
          <w:rFonts w:ascii="Arial" w:cs="Arial" w:eastAsia="Arial" w:hAnsi="Arial"/>
          <w:sz w:val="11"/>
          <w:szCs w:val="11"/>
          <w:color w:val="auto"/>
        </w:rPr>
        <w:t>®</w:t>
      </w:r>
      <w:r>
        <w:rPr>
          <w:rFonts w:ascii="Arial" w:cs="Arial" w:eastAsia="Arial" w:hAnsi="Arial"/>
          <w:sz w:val="18"/>
          <w:szCs w:val="18"/>
          <w:color w:val="auto"/>
        </w:rPr>
        <w:t>, Directors Desk</w:t>
      </w:r>
      <w:r>
        <w:rPr>
          <w:rFonts w:ascii="Arial" w:cs="Arial" w:eastAsia="Arial" w:hAnsi="Arial"/>
          <w:sz w:val="11"/>
          <w:szCs w:val="11"/>
          <w:color w:val="auto"/>
        </w:rPr>
        <w:t>®</w:t>
      </w:r>
      <w:r>
        <w:rPr>
          <w:rFonts w:ascii="Arial" w:cs="Arial" w:eastAsia="Arial" w:hAnsi="Arial"/>
          <w:sz w:val="18"/>
          <w:szCs w:val="18"/>
          <w:color w:val="auto"/>
        </w:rPr>
        <w:t>, Dream It Do It.</w:t>
      </w:r>
      <w:r>
        <w:rPr>
          <w:rFonts w:ascii="Arial" w:cs="Arial" w:eastAsia="Arial" w:hAnsi="Arial"/>
          <w:sz w:val="11"/>
          <w:szCs w:val="11"/>
          <w:color w:val="auto"/>
        </w:rPr>
        <w:t>®</w:t>
      </w:r>
      <w:r>
        <w:rPr>
          <w:rFonts w:ascii="Arial" w:cs="Arial" w:eastAsia="Arial" w:hAnsi="Arial"/>
          <w:sz w:val="18"/>
          <w:szCs w:val="18"/>
          <w:color w:val="auto"/>
        </w:rPr>
        <w:t>, Globe NewsWire</w:t>
      </w:r>
      <w:r>
        <w:rPr>
          <w:rFonts w:ascii="Arial" w:cs="Arial" w:eastAsia="Arial" w:hAnsi="Arial"/>
          <w:sz w:val="11"/>
          <w:szCs w:val="11"/>
          <w:color w:val="auto"/>
        </w:rPr>
        <w:t>®</w:t>
      </w:r>
      <w:r>
        <w:rPr>
          <w:rFonts w:ascii="Arial" w:cs="Arial" w:eastAsia="Arial" w:hAnsi="Arial"/>
          <w:sz w:val="18"/>
          <w:szCs w:val="18"/>
          <w:color w:val="auto"/>
        </w:rPr>
        <w:t>, INET</w:t>
      </w:r>
      <w:r>
        <w:rPr>
          <w:rFonts w:ascii="Arial" w:cs="Arial" w:eastAsia="Arial" w:hAnsi="Arial"/>
          <w:sz w:val="11"/>
          <w:szCs w:val="11"/>
          <w:color w:val="auto"/>
        </w:rPr>
        <w:t>®</w:t>
      </w:r>
      <w:r>
        <w:rPr>
          <w:rFonts w:ascii="Arial" w:cs="Arial" w:eastAsia="Arial" w:hAnsi="Arial"/>
          <w:sz w:val="18"/>
          <w:szCs w:val="18"/>
          <w:color w:val="auto"/>
        </w:rPr>
        <w:t>, ITCH</w:t>
      </w:r>
      <w:r>
        <w:rPr>
          <w:rFonts w:ascii="Arial" w:cs="Arial" w:eastAsia="Arial" w:hAnsi="Arial"/>
          <w:sz w:val="11"/>
          <w:szCs w:val="11"/>
          <w:color w:val="auto"/>
        </w:rPr>
        <w:t>®</w:t>
      </w:r>
      <w:r>
        <w:rPr>
          <w:rFonts w:ascii="Arial" w:cs="Arial" w:eastAsia="Arial" w:hAnsi="Arial"/>
          <w:sz w:val="18"/>
          <w:szCs w:val="18"/>
          <w:color w:val="auto"/>
        </w:rPr>
        <w:t>, Market Intelligence Desk</w:t>
      </w:r>
      <w:r>
        <w:rPr>
          <w:rFonts w:ascii="Arial" w:cs="Arial" w:eastAsia="Arial" w:hAnsi="Arial"/>
          <w:sz w:val="11"/>
          <w:szCs w:val="11"/>
          <w:color w:val="auto"/>
        </w:rPr>
        <w:t>®</w:t>
      </w:r>
      <w:r>
        <w:rPr>
          <w:rFonts w:ascii="Arial" w:cs="Arial" w:eastAsia="Arial" w:hAnsi="Arial"/>
          <w:sz w:val="18"/>
          <w:szCs w:val="18"/>
          <w:color w:val="auto"/>
        </w:rPr>
        <w:t>, MarketSite</w:t>
      </w:r>
      <w:r>
        <w:rPr>
          <w:rFonts w:ascii="Arial" w:cs="Arial" w:eastAsia="Arial" w:hAnsi="Arial"/>
          <w:sz w:val="11"/>
          <w:szCs w:val="11"/>
          <w:color w:val="auto"/>
        </w:rPr>
        <w:t>®</w:t>
      </w:r>
      <w:r>
        <w:rPr>
          <w:rFonts w:ascii="Arial" w:cs="Arial" w:eastAsia="Arial" w:hAnsi="Arial"/>
          <w:sz w:val="18"/>
          <w:szCs w:val="18"/>
          <w:color w:val="auto"/>
        </w:rPr>
        <w:t>, NASDAQ</w:t>
      </w:r>
      <w:r>
        <w:rPr>
          <w:rFonts w:ascii="Arial" w:cs="Arial" w:eastAsia="Arial" w:hAnsi="Arial"/>
          <w:sz w:val="11"/>
          <w:szCs w:val="11"/>
          <w:color w:val="auto"/>
        </w:rPr>
        <w:t>®</w:t>
      </w:r>
      <w:r>
        <w:rPr>
          <w:rFonts w:ascii="Arial" w:cs="Arial" w:eastAsia="Arial" w:hAnsi="Arial"/>
          <w:sz w:val="18"/>
          <w:szCs w:val="18"/>
          <w:color w:val="auto"/>
        </w:rPr>
        <w:t>, NASDAQ Capital Market</w:t>
      </w:r>
      <w:r>
        <w:rPr>
          <w:rFonts w:ascii="Arial" w:cs="Arial" w:eastAsia="Arial" w:hAnsi="Arial"/>
          <w:sz w:val="11"/>
          <w:szCs w:val="11"/>
          <w:color w:val="auto"/>
        </w:rPr>
        <w:t>®</w:t>
      </w:r>
      <w:r>
        <w:rPr>
          <w:rFonts w:ascii="Arial" w:cs="Arial" w:eastAsia="Arial" w:hAnsi="Arial"/>
          <w:sz w:val="18"/>
          <w:szCs w:val="18"/>
          <w:color w:val="auto"/>
        </w:rPr>
        <w:t>, NASDAQ Composite Index</w:t>
      </w:r>
      <w:r>
        <w:rPr>
          <w:rFonts w:ascii="Arial" w:cs="Arial" w:eastAsia="Arial" w:hAnsi="Arial"/>
          <w:sz w:val="11"/>
          <w:szCs w:val="11"/>
          <w:color w:val="auto"/>
        </w:rPr>
        <w:t>®</w:t>
      </w:r>
      <w:r>
        <w:rPr>
          <w:rFonts w:ascii="Arial" w:cs="Arial" w:eastAsia="Arial" w:hAnsi="Arial"/>
          <w:sz w:val="18"/>
          <w:szCs w:val="18"/>
          <w:color w:val="auto"/>
        </w:rPr>
        <w:t>, NASDAQ Global Market</w:t>
      </w:r>
      <w:r>
        <w:rPr>
          <w:rFonts w:ascii="Arial" w:cs="Arial" w:eastAsia="Arial" w:hAnsi="Arial"/>
          <w:sz w:val="11"/>
          <w:szCs w:val="11"/>
          <w:color w:val="auto"/>
        </w:rPr>
        <w:t>®</w:t>
      </w:r>
      <w:r>
        <w:rPr>
          <w:rFonts w:ascii="Arial" w:cs="Arial" w:eastAsia="Arial" w:hAnsi="Arial"/>
          <w:sz w:val="18"/>
          <w:szCs w:val="18"/>
          <w:color w:val="auto"/>
        </w:rPr>
        <w:t>, NASDAQ Global Select Market</w:t>
      </w:r>
      <w:r>
        <w:rPr>
          <w:rFonts w:ascii="Arial" w:cs="Arial" w:eastAsia="Arial" w:hAnsi="Arial"/>
          <w:sz w:val="11"/>
          <w:szCs w:val="11"/>
          <w:color w:val="auto"/>
        </w:rPr>
        <w:t>®</w:t>
      </w:r>
      <w:r>
        <w:rPr>
          <w:rFonts w:ascii="Arial" w:cs="Arial" w:eastAsia="Arial" w:hAnsi="Arial"/>
          <w:sz w:val="18"/>
          <w:szCs w:val="18"/>
          <w:color w:val="auto"/>
        </w:rPr>
        <w:t>, NASDAQ Market Center</w:t>
      </w:r>
      <w:r>
        <w:rPr>
          <w:rFonts w:ascii="Arial" w:cs="Arial" w:eastAsia="Arial" w:hAnsi="Arial"/>
          <w:sz w:val="11"/>
          <w:szCs w:val="11"/>
          <w:color w:val="auto"/>
        </w:rPr>
        <w:t>®</w:t>
      </w:r>
      <w:r>
        <w:rPr>
          <w:rFonts w:ascii="Arial" w:cs="Arial" w:eastAsia="Arial" w:hAnsi="Arial"/>
          <w:sz w:val="18"/>
          <w:szCs w:val="18"/>
          <w:color w:val="auto"/>
        </w:rPr>
        <w:t>, NASDAQ Market Forces</w:t>
      </w:r>
      <w:r>
        <w:rPr>
          <w:rFonts w:ascii="Arial" w:cs="Arial" w:eastAsia="Arial" w:hAnsi="Arial"/>
          <w:sz w:val="11"/>
          <w:szCs w:val="11"/>
          <w:color w:val="auto"/>
        </w:rPr>
        <w:t>®</w:t>
      </w:r>
      <w:r>
        <w:rPr>
          <w:rFonts w:ascii="Arial" w:cs="Arial" w:eastAsia="Arial" w:hAnsi="Arial"/>
          <w:sz w:val="18"/>
          <w:szCs w:val="18"/>
          <w:color w:val="auto"/>
        </w:rPr>
        <w:t>, NASDAQ Market Velocity</w:t>
      </w:r>
      <w:r>
        <w:rPr>
          <w:rFonts w:ascii="Arial" w:cs="Arial" w:eastAsia="Arial" w:hAnsi="Arial"/>
          <w:sz w:val="11"/>
          <w:szCs w:val="11"/>
          <w:color w:val="auto"/>
        </w:rPr>
        <w:t>®</w:t>
      </w:r>
      <w:r>
        <w:rPr>
          <w:rFonts w:ascii="Arial" w:cs="Arial" w:eastAsia="Arial" w:hAnsi="Arial"/>
          <w:sz w:val="18"/>
          <w:szCs w:val="18"/>
          <w:color w:val="auto"/>
        </w:rPr>
        <w:t>, NASDAQ MarketSite</w:t>
      </w:r>
      <w:r>
        <w:rPr>
          <w:rFonts w:ascii="Arial" w:cs="Arial" w:eastAsia="Arial" w:hAnsi="Arial"/>
          <w:sz w:val="11"/>
          <w:szCs w:val="11"/>
          <w:color w:val="auto"/>
        </w:rPr>
        <w:t>®</w:t>
      </w:r>
      <w:r>
        <w:rPr>
          <w:rFonts w:ascii="Arial" w:cs="Arial" w:eastAsia="Arial" w:hAnsi="Arial"/>
          <w:sz w:val="18"/>
          <w:szCs w:val="18"/>
          <w:color w:val="auto"/>
        </w:rPr>
        <w:t>, NASDAQ OMX</w:t>
      </w:r>
      <w:r>
        <w:rPr>
          <w:rFonts w:ascii="Arial" w:cs="Arial" w:eastAsia="Arial" w:hAnsi="Arial"/>
          <w:sz w:val="11"/>
          <w:szCs w:val="11"/>
          <w:color w:val="auto"/>
        </w:rPr>
        <w:t>®</w:t>
      </w:r>
      <w:r>
        <w:rPr>
          <w:rFonts w:ascii="Arial" w:cs="Arial" w:eastAsia="Arial" w:hAnsi="Arial"/>
          <w:sz w:val="18"/>
          <w:szCs w:val="18"/>
          <w:color w:val="auto"/>
        </w:rPr>
        <w:t>, NASDAQ OMX Advantage</w:t>
      </w:r>
      <w:r>
        <w:rPr>
          <w:rFonts w:ascii="Arial" w:cs="Arial" w:eastAsia="Arial" w:hAnsi="Arial"/>
          <w:sz w:val="11"/>
          <w:szCs w:val="11"/>
          <w:color w:val="auto"/>
        </w:rPr>
        <w:t>®</w:t>
      </w:r>
      <w:r>
        <w:rPr>
          <w:rFonts w:ascii="Arial" w:cs="Arial" w:eastAsia="Arial" w:hAnsi="Arial"/>
          <w:sz w:val="18"/>
          <w:szCs w:val="18"/>
          <w:color w:val="auto"/>
        </w:rPr>
        <w:t>, NASDAQ OMX Alpha Indexes</w:t>
      </w:r>
      <w:r>
        <w:rPr>
          <w:rFonts w:ascii="Arial" w:cs="Arial" w:eastAsia="Arial" w:hAnsi="Arial"/>
          <w:sz w:val="11"/>
          <w:szCs w:val="11"/>
          <w:color w:val="auto"/>
        </w:rPr>
        <w:t>®</w:t>
      </w:r>
      <w:r>
        <w:rPr>
          <w:rFonts w:ascii="Arial" w:cs="Arial" w:eastAsia="Arial" w:hAnsi="Arial"/>
          <w:sz w:val="18"/>
          <w:szCs w:val="18"/>
          <w:color w:val="auto"/>
        </w:rPr>
        <w:t>, NASDAQ OMX BX</w:t>
      </w:r>
      <w:r>
        <w:rPr>
          <w:rFonts w:ascii="Arial" w:cs="Arial" w:eastAsia="Arial" w:hAnsi="Arial"/>
          <w:sz w:val="11"/>
          <w:szCs w:val="11"/>
          <w:color w:val="auto"/>
        </w:rPr>
        <w:t>®</w:t>
      </w:r>
      <w:r>
        <w:rPr>
          <w:rFonts w:ascii="Arial" w:cs="Arial" w:eastAsia="Arial" w:hAnsi="Arial"/>
          <w:sz w:val="18"/>
          <w:szCs w:val="18"/>
          <w:color w:val="auto"/>
        </w:rPr>
        <w:t>, NASDAQ OMX Futures Exchange</w:t>
      </w:r>
      <w:r>
        <w:rPr>
          <w:rFonts w:ascii="Arial" w:cs="Arial" w:eastAsia="Arial" w:hAnsi="Arial"/>
          <w:sz w:val="11"/>
          <w:szCs w:val="11"/>
          <w:color w:val="auto"/>
        </w:rPr>
        <w:t>®</w:t>
      </w:r>
      <w:r>
        <w:rPr>
          <w:rFonts w:ascii="Arial" w:cs="Arial" w:eastAsia="Arial" w:hAnsi="Arial"/>
          <w:sz w:val="18"/>
          <w:szCs w:val="18"/>
          <w:color w:val="auto"/>
        </w:rPr>
        <w:t>, NASDAQ OMX Green Economy Index</w:t>
      </w:r>
      <w:r>
        <w:rPr>
          <w:rFonts w:ascii="Arial" w:cs="Arial" w:eastAsia="Arial" w:hAnsi="Arial"/>
          <w:sz w:val="11"/>
          <w:szCs w:val="11"/>
          <w:color w:val="auto"/>
        </w:rPr>
        <w:t>®</w:t>
      </w:r>
      <w:r>
        <w:rPr>
          <w:rFonts w:ascii="Arial" w:cs="Arial" w:eastAsia="Arial" w:hAnsi="Arial"/>
          <w:sz w:val="18"/>
          <w:szCs w:val="18"/>
          <w:color w:val="auto"/>
        </w:rPr>
        <w:t>, NASDAQ OMX Group</w:t>
      </w:r>
      <w:r>
        <w:rPr>
          <w:rFonts w:ascii="Arial" w:cs="Arial" w:eastAsia="Arial" w:hAnsi="Arial"/>
          <w:sz w:val="11"/>
          <w:szCs w:val="11"/>
          <w:color w:val="auto"/>
        </w:rPr>
        <w:t>®</w:t>
      </w:r>
      <w:r>
        <w:rPr>
          <w:rFonts w:ascii="Arial" w:cs="Arial" w:eastAsia="Arial" w:hAnsi="Arial"/>
          <w:sz w:val="18"/>
          <w:szCs w:val="18"/>
          <w:color w:val="auto"/>
        </w:rPr>
        <w:t>, NASDAQ OMX Nordic</w:t>
      </w:r>
      <w:r>
        <w:rPr>
          <w:rFonts w:ascii="Arial" w:cs="Arial" w:eastAsia="Arial" w:hAnsi="Arial"/>
          <w:sz w:val="11"/>
          <w:szCs w:val="11"/>
          <w:color w:val="auto"/>
        </w:rPr>
        <w:t>®</w:t>
      </w:r>
      <w:r>
        <w:rPr>
          <w:rFonts w:ascii="Arial" w:cs="Arial" w:eastAsia="Arial" w:hAnsi="Arial"/>
          <w:sz w:val="18"/>
          <w:szCs w:val="18"/>
          <w:color w:val="auto"/>
        </w:rPr>
        <w:t>, NASDAQ SocialStream</w:t>
      </w:r>
      <w:r>
        <w:rPr>
          <w:rFonts w:ascii="Arial" w:cs="Arial" w:eastAsia="Arial" w:hAnsi="Arial"/>
          <w:sz w:val="11"/>
          <w:szCs w:val="11"/>
          <w:color w:val="auto"/>
        </w:rPr>
        <w:t>®</w:t>
      </w:r>
      <w:r>
        <w:rPr>
          <w:rFonts w:ascii="Arial" w:cs="Arial" w:eastAsia="Arial" w:hAnsi="Arial"/>
          <w:sz w:val="18"/>
          <w:szCs w:val="18"/>
          <w:color w:val="auto"/>
        </w:rPr>
        <w:t>, NASDAQ TotalView</w:t>
      </w:r>
      <w:r>
        <w:rPr>
          <w:rFonts w:ascii="Arial" w:cs="Arial" w:eastAsia="Arial" w:hAnsi="Arial"/>
          <w:sz w:val="11"/>
          <w:szCs w:val="11"/>
          <w:color w:val="auto"/>
        </w:rPr>
        <w:t>®</w:t>
      </w:r>
      <w:r>
        <w:rPr>
          <w:rFonts w:ascii="Arial" w:cs="Arial" w:eastAsia="Arial" w:hAnsi="Arial"/>
          <w:sz w:val="18"/>
          <w:szCs w:val="18"/>
          <w:color w:val="auto"/>
        </w:rPr>
        <w:t>, NASDAQ US ALL Market</w:t>
      </w:r>
      <w:r>
        <w:rPr>
          <w:rFonts w:ascii="Arial" w:cs="Arial" w:eastAsia="Arial" w:hAnsi="Arial"/>
          <w:sz w:val="11"/>
          <w:szCs w:val="11"/>
          <w:color w:val="auto"/>
        </w:rPr>
        <w:t>®</w:t>
      </w:r>
      <w:r>
        <w:rPr>
          <w:rFonts w:ascii="Arial" w:cs="Arial" w:eastAsia="Arial" w:hAnsi="Arial"/>
          <w:sz w:val="18"/>
          <w:szCs w:val="18"/>
          <w:color w:val="auto"/>
        </w:rPr>
        <w:t>, NASDAQ Volatility Guard</w:t>
      </w:r>
      <w:r>
        <w:rPr>
          <w:rFonts w:ascii="Arial" w:cs="Arial" w:eastAsia="Arial" w:hAnsi="Arial"/>
          <w:sz w:val="11"/>
          <w:szCs w:val="11"/>
          <w:color w:val="auto"/>
        </w:rPr>
        <w:t>®</w:t>
      </w:r>
      <w:r>
        <w:rPr>
          <w:rFonts w:ascii="Arial" w:cs="Arial" w:eastAsia="Arial" w:hAnsi="Arial"/>
          <w:sz w:val="18"/>
          <w:szCs w:val="18"/>
          <w:color w:val="auto"/>
        </w:rPr>
        <w:t>, NASDAQ-100 Index</w:t>
      </w:r>
      <w:r>
        <w:rPr>
          <w:rFonts w:ascii="Arial" w:cs="Arial" w:eastAsia="Arial" w:hAnsi="Arial"/>
          <w:sz w:val="11"/>
          <w:szCs w:val="11"/>
          <w:color w:val="auto"/>
        </w:rPr>
        <w:t>®</w:t>
      </w:r>
      <w:r>
        <w:rPr>
          <w:rFonts w:ascii="Arial" w:cs="Arial" w:eastAsia="Arial" w:hAnsi="Arial"/>
          <w:sz w:val="18"/>
          <w:szCs w:val="18"/>
          <w:color w:val="auto"/>
        </w:rPr>
        <w:t>, NASDAQ-100 Index Tracking Stock</w:t>
      </w:r>
      <w:r>
        <w:rPr>
          <w:rFonts w:ascii="Arial" w:cs="Arial" w:eastAsia="Arial" w:hAnsi="Arial"/>
          <w:sz w:val="11"/>
          <w:szCs w:val="11"/>
          <w:color w:val="auto"/>
        </w:rPr>
        <w:t>®</w:t>
      </w:r>
      <w:r>
        <w:rPr>
          <w:rFonts w:ascii="Arial" w:cs="Arial" w:eastAsia="Arial" w:hAnsi="Arial"/>
          <w:sz w:val="18"/>
          <w:szCs w:val="18"/>
          <w:color w:val="auto"/>
        </w:rPr>
        <w:t>, NDX</w:t>
      </w:r>
      <w:r>
        <w:rPr>
          <w:rFonts w:ascii="Arial" w:cs="Arial" w:eastAsia="Arial" w:hAnsi="Arial"/>
          <w:sz w:val="11"/>
          <w:szCs w:val="11"/>
          <w:color w:val="auto"/>
        </w:rPr>
        <w:t>®</w:t>
      </w:r>
      <w:r>
        <w:rPr>
          <w:rFonts w:ascii="Arial" w:cs="Arial" w:eastAsia="Arial" w:hAnsi="Arial"/>
          <w:sz w:val="18"/>
          <w:szCs w:val="18"/>
          <w:color w:val="auto"/>
        </w:rPr>
        <w:t>, NFX World Currency</w:t>
      </w:r>
      <w:r>
        <w:rPr>
          <w:rFonts w:ascii="Arial" w:cs="Arial" w:eastAsia="Arial" w:hAnsi="Arial"/>
          <w:sz w:val="11"/>
          <w:szCs w:val="11"/>
          <w:color w:val="auto"/>
        </w:rPr>
        <w:t>®</w:t>
      </w:r>
      <w:r>
        <w:rPr>
          <w:rFonts w:ascii="Arial" w:cs="Arial" w:eastAsia="Arial" w:hAnsi="Arial"/>
          <w:sz w:val="18"/>
          <w:szCs w:val="18"/>
          <w:color w:val="auto"/>
        </w:rPr>
        <w:t>, NFX XL</w:t>
      </w:r>
      <w:r>
        <w:rPr>
          <w:rFonts w:ascii="Arial" w:cs="Arial" w:eastAsia="Arial" w:hAnsi="Arial"/>
          <w:sz w:val="11"/>
          <w:szCs w:val="11"/>
          <w:color w:val="auto"/>
        </w:rPr>
        <w:t>®</w:t>
      </w:r>
      <w:r>
        <w:rPr>
          <w:rFonts w:ascii="Arial" w:cs="Arial" w:eastAsia="Arial" w:hAnsi="Arial"/>
          <w:sz w:val="18"/>
          <w:szCs w:val="18"/>
          <w:color w:val="auto"/>
        </w:rPr>
        <w:t>, PHLX</w:t>
      </w:r>
      <w:r>
        <w:rPr>
          <w:rFonts w:ascii="Arial" w:cs="Arial" w:eastAsia="Arial" w:hAnsi="Arial"/>
          <w:sz w:val="11"/>
          <w:szCs w:val="11"/>
          <w:color w:val="auto"/>
        </w:rPr>
        <w:t>®</w:t>
      </w:r>
      <w:r>
        <w:rPr>
          <w:rFonts w:ascii="Arial" w:cs="Arial" w:eastAsia="Arial" w:hAnsi="Arial"/>
          <w:sz w:val="18"/>
          <w:szCs w:val="18"/>
          <w:color w:val="auto"/>
        </w:rPr>
        <w:t>, Portal Alliance</w:t>
      </w:r>
      <w:r>
        <w:rPr>
          <w:rFonts w:ascii="Arial" w:cs="Arial" w:eastAsia="Arial" w:hAnsi="Arial"/>
          <w:sz w:val="11"/>
          <w:szCs w:val="11"/>
          <w:color w:val="auto"/>
        </w:rPr>
        <w:t>®</w:t>
      </w:r>
      <w:r>
        <w:rPr>
          <w:rFonts w:ascii="Arial" w:cs="Arial" w:eastAsia="Arial" w:hAnsi="Arial"/>
          <w:sz w:val="18"/>
          <w:szCs w:val="18"/>
          <w:color w:val="auto"/>
        </w:rPr>
        <w:t>, QQQ</w:t>
      </w:r>
      <w:r>
        <w:rPr>
          <w:rFonts w:ascii="Arial" w:cs="Arial" w:eastAsia="Arial" w:hAnsi="Arial"/>
          <w:sz w:val="11"/>
          <w:szCs w:val="11"/>
          <w:color w:val="auto"/>
        </w:rPr>
        <w:t>®</w:t>
      </w:r>
      <w:r>
        <w:rPr>
          <w:rFonts w:ascii="Arial" w:cs="Arial" w:eastAsia="Arial" w:hAnsi="Arial"/>
          <w:sz w:val="18"/>
          <w:szCs w:val="18"/>
          <w:color w:val="auto"/>
        </w:rPr>
        <w:t>, QView</w:t>
      </w:r>
      <w:r>
        <w:rPr>
          <w:rFonts w:ascii="Arial" w:cs="Arial" w:eastAsia="Arial" w:hAnsi="Arial"/>
          <w:sz w:val="11"/>
          <w:szCs w:val="11"/>
          <w:color w:val="auto"/>
        </w:rPr>
        <w:t>®</w:t>
      </w:r>
      <w:r>
        <w:rPr>
          <w:rFonts w:ascii="Arial" w:cs="Arial" w:eastAsia="Arial" w:hAnsi="Arial"/>
          <w:sz w:val="18"/>
          <w:szCs w:val="18"/>
          <w:color w:val="auto"/>
        </w:rPr>
        <w:t>, Shareholder.com</w:t>
      </w:r>
      <w:r>
        <w:rPr>
          <w:rFonts w:ascii="Arial" w:cs="Arial" w:eastAsia="Arial" w:hAnsi="Arial"/>
          <w:sz w:val="11"/>
          <w:szCs w:val="11"/>
          <w:color w:val="auto"/>
        </w:rPr>
        <w:t>®</w:t>
      </w:r>
      <w:r>
        <w:rPr>
          <w:rFonts w:ascii="Arial" w:cs="Arial" w:eastAsia="Arial" w:hAnsi="Arial"/>
          <w:sz w:val="18"/>
          <w:szCs w:val="18"/>
          <w:color w:val="auto"/>
        </w:rPr>
        <w:t>, and The NASDAQ Stock Market</w:t>
      </w:r>
      <w:r>
        <w:rPr>
          <w:rFonts w:ascii="Arial" w:cs="Arial" w:eastAsia="Arial" w:hAnsi="Arial"/>
          <w:sz w:val="11"/>
          <w:szCs w:val="11"/>
          <w:color w:val="auto"/>
        </w:rPr>
        <w:t>®</w:t>
      </w:r>
      <w:r>
        <w:rPr>
          <w:rFonts w:ascii="Arial" w:cs="Arial" w:eastAsia="Arial" w:hAnsi="Arial"/>
          <w:sz w:val="18"/>
          <w:szCs w:val="18"/>
          <w:color w:val="auto"/>
        </w:rPr>
        <w:t xml:space="preserve"> are registered trademarks of The NASDAQ OMX Group, Inc.</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w:t>
      </w:r>
      <w:r>
        <w:rPr>
          <w:rFonts w:ascii="Arial" w:cs="Arial" w:eastAsia="Arial" w:hAnsi="Arial"/>
          <w:sz w:val="11"/>
          <w:szCs w:val="11"/>
          <w:color w:val="auto"/>
        </w:rPr>
        <w:t>®</w:t>
      </w:r>
      <w:r>
        <w:rPr>
          <w:rFonts w:ascii="Arial" w:cs="Arial" w:eastAsia="Arial" w:hAnsi="Arial"/>
          <w:sz w:val="18"/>
          <w:szCs w:val="18"/>
          <w:color w:val="auto"/>
        </w:rPr>
        <w:t>” and “Trade Reporting Facility</w:t>
      </w:r>
      <w:r>
        <w:rPr>
          <w:rFonts w:ascii="Arial" w:cs="Arial" w:eastAsia="Arial" w:hAnsi="Arial"/>
          <w:sz w:val="11"/>
          <w:szCs w:val="11"/>
          <w:color w:val="auto"/>
        </w:rPr>
        <w:t>®</w:t>
      </w:r>
      <w:r>
        <w:rPr>
          <w:rFonts w:ascii="Arial" w:cs="Arial" w:eastAsia="Arial" w:hAnsi="Arial"/>
          <w:sz w:val="18"/>
          <w:szCs w:val="18"/>
          <w:color w:val="auto"/>
        </w:rPr>
        <w:t>” are registered trademarks of the Financial Industry Regulatory Authority, or FINRA.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trademarks and servicemarks used herein are the property of their respective owners.</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Form 10-K for initial public offerings, or IPOs, is based on data generated internally by us, which includes best efforts underwritings and closed-end funds; therefore, the data may not be comparable to other publicly-available IPO data. Data in this Form 10-K for new listings of equity securities on The NASDAQ Stock Market is based on data generated internally by us, which includes best efforts underwritings, issuers that switched from other listing venues, closed-end funds and exchange traded funds, or ETFs. Data in this Form 10-K for IPOs and new listings of equities securities on the exchanges that comprise NASDAQ OMX Nordic and NASDAQ OMX Baltic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Form 10-K.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21"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2012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tax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 and availability of liquidity;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and clearing volume, market share or listed companies;</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covenants in our credit facilities, indentures and other agreements governing our indebtedness which may restrict the operation of our business;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2011, The NASDAQ Stock Market was home to 2,680 listed companies with a combined market capitalization of approximately $4.4 trillion. In addition, in the U.S. we operate two additional cash equities trading markets, two options markets, a futures market and a derivatives clearinghouse. We also engage in riskless principal trading of over-the-counter, or OTC, power and gas contracts.</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2011, the exchanges that comprise NASDAQ OMX Nordic and NASDAQ OMX Baltic, together with NASDAQ OMX First North, were home to 776 listed companies with a combined market capitalization of approximately $0.9 trillion. We also operate NASDAQ OMX Armenia.</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NASDAQ OMX Commodities operates the world’s largest power derivatives exchange, one of Europe’s largest carbon exchanges and together with Nord Pool Spot, N2EX, a marketplace for physical U.K. power contracts.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Structure</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Nasdaq was founded in 1971 as a wholly-owned subsidiary of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this restructuring, Nasdaq applied to the SEC to register The NASDAQ Stock Market as a national securities exchange. FINRA fully divested its ownership of Nasdaq in 2006, and The NASDAQ Stock Market became fully operational as an independent registered national securities exchange in 2007. In 2006, Nasdaq also reorganized its operations into a holding company structure. As a result, our exchange licenses and exchange and broker-dealer operations are held by our subsidiaries.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27, 2008, Nasdaq and OMX AB combined their businesses pursuant to an agreement with Borse Dubai Limited, a Dubai company, or Borse Dubai, and Nasdaq was renamed The NASDAQ OMX Group, Inc. This transformational combination resulted in the expansion of our business from a U.S.-based exchange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operator to a global exchange company offering technology that powers more than 70 exchanges, clearing organizations and central securities depositories in more than 50 countries. Our Genium INET technology platforms, based on proven INET technology that we originally acquired in the acquisition of INET ECN in 2005, provides technology to customers with the speed, scale and reliability required to meet the specific needs of their markets.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Also in 2008, we expanded our U.S. Market Services business through the acquisitions of the Philadelphia Stock Exchange, Inc., or PHLX, and the Boston Stock Exchange, Incorporated, or BSX. The acquisition of PHLX, renamed NASDAQ OMX PHLX LLC, expanded our presence in the derivatives markets, and we currently operate two separate options markets, NASDAQ OMX PHLX and The NASDAQ Options Market. We used the BSX license to create a second U.S. cash equities market, called NASDAQ OMX BX, which was launched in January 2009 and in 2010, we launched a third U.S. cash equities market utilizing the PHLX license called NASDAQ OMX PSX. Most recently, we expanded our Market Services offerings with the acquisition in 2010 of FTEN, Inc., or FTEN, a leading provider of Real-Time Risk Management, or RTRM, solutions for the financial securities market.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have expanded into the business of trading and clearing commodities products in recent years. In 2008, we acquired the clearing, international derivatives and consulting subsidiaries of Nord Pool ASA, or Nord Pool. As a result of this acquisition, we launched NASDAQ OMX Commodities, which offers energy and carbon derivatives products. In 2010, we acquired a derivatives trading market through the purchase of the remaining businesses of Nord Pool. Also in 2010, through our subsidiary NASDAQ OMX Commodities Clearing Company, or NOCC, we purchased the assets of North American Energy Credit and Clearing Corp., expanding our presence in the OTC energy commodity markets. Together with Nord Pool Spot, NASDAQ OMX Commodities also launched N2EX, a marketplace for physical U.K. power contracts, in 2010.</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August 2010, we acquired SMARTS Group Holdings Pty Ltd, or SMARTS, a leading technology provider of surveillance solutions to exchanges, regulators and brokers. This acquisition allowed our Market Technology business to enter the surveillance and compliance market.</w:t>
      </w:r>
    </w:p>
    <w:p>
      <w:pPr>
        <w:spacing w:after="0" w:line="72"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In recent years, we have expanded our Corporate Solutions business within our Issuer Services segment, which provides customer support services, products and programs to companies, including companies listed on our exchanges. Most recently, in December 2010, we acquired Zoomvision Mamato, or ZVM, a company that provides live webcasting services primarily for investor relations professionals and, in October 2011, we acquired Glide Technologies Limited, or Glide Technologies, a London-based service provider specializing in corporate communications and reputation management solutions.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Premier global exchange company. </w:t>
      </w:r>
      <w:r>
        <w:rPr>
          <w:rFonts w:ascii="Arial" w:cs="Arial" w:eastAsia="Arial" w:hAnsi="Arial"/>
          <w:sz w:val="18"/>
          <w:szCs w:val="18"/>
          <w:color w:val="auto"/>
        </w:rPr>
        <w:t>We are a premier global exchange company that operates the largest cash equities market in terms of share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traded in the world. For the year ended December 31, 2011, our exchanges had an average daily trading volume of 8.4 million trades in cash equities, representing a value of approximately $15.4 trillion. In addition, across our markets, we had 3,456 listings representing over 40 countries as of December 31, 2011, including many of the world’s largest companies. Our wholly-owned subsidiary The NASDAQ Stock Market continues to be the single largest liquidity pool for trading cash equities in the U.S.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Leader in global exchange technology. </w:t>
      </w:r>
      <w:r>
        <w:rPr>
          <w:rFonts w:ascii="Arial" w:cs="Arial" w:eastAsia="Arial" w:hAnsi="Arial"/>
          <w:sz w:val="16"/>
          <w:szCs w:val="16"/>
          <w:color w:val="auto"/>
        </w:rPr>
        <w:t>We believe we are the leader in global exchange technology. As the world’s first electronic stock market,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pioneered electronic trading and have continued to innovate over the last 40 years. Our INET platform processes trades at sub-millisecond transaction speeds with close to 100% system reliability. In addition, our platforms are highly scalable with current capacity at ten times the average daily volume allowing significantly higher transaction volume to be handled at low incremental cost. Furthermore, we were the first exchange to offer electronic trading and integrated derivatives trading and clearing to other exchanges and today have a global technology customer base of more than 70 marketplaces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over 50 countries worldwide, including China (Hong Kong), Japan, Singapore, Australia and the U.S. Our Genium INET offering, based on proven INET technology, provides technology customers with the speed, scale and reliability required to meet the specific needs of their markets. We believe that we will continue to provide leading technology for the world’s competitive and demanding capital markets, which increasingly require that exchanges be able to constantly secure the best price for investors and issuers, a natural strength of our technology and electronic trading platforms.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Diversified operations and products. </w:t>
      </w:r>
      <w:r>
        <w:rPr>
          <w:rFonts w:ascii="Arial" w:cs="Arial" w:eastAsia="Arial" w:hAnsi="Arial"/>
          <w:sz w:val="18"/>
          <w:szCs w:val="18"/>
          <w:color w:val="auto"/>
        </w:rPr>
        <w:t>We have a diversified business, both in terms of geography and product offerings. In addition, our recent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strategic initiatives have significantly diversified our product offerings, particularly in the derivatives trading and clearing, commodities, corporate solutions and surveillance technology businesses.</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Proven and disciplined management team. </w:t>
      </w:r>
      <w:r>
        <w:rPr>
          <w:rFonts w:ascii="Arial" w:cs="Arial" w:eastAsia="Arial" w:hAnsi="Arial"/>
          <w:sz w:val="16"/>
          <w:szCs w:val="16"/>
          <w:color w:val="auto"/>
        </w:rPr>
        <w:t>We have a proven and disciplined management team led by Robert Greifeld, our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that has substantial financial services industry experience and expertise in making and integrating strategic acquisitions. We believe the NASDAQ OMX management team has demonstrated an ability to innovate and respond effectively to market opportunities.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Commitment to regulatory integrity. </w:t>
      </w:r>
      <w:r>
        <w:rPr>
          <w:rFonts w:ascii="Arial" w:cs="Arial" w:eastAsia="Arial" w:hAnsi="Arial"/>
          <w:sz w:val="16"/>
          <w:szCs w:val="16"/>
          <w:color w:val="auto"/>
        </w:rPr>
        <w:t>As a global exchange company, we are subject to regulation in many jurisdictions worldwide. NASDAQ OMX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always committed to working with regulators, exchanges and market participants to ensure transparent trading and a fair and orderly market for the benefit of investors. In some instances, NASDAQ OMX has entered into agreements with independent third parties to provide regulatory oversight that is separate from our markets. In addition to operating real-time market surveillance programs relating to trading and compliance-monitoring, NASDAQ also maintains enforcement programs with respect to listings on our markets. We are committed to strong and effective regulation and believe that regulatory integrity benefits investors, strengthens the NASDAQ OMX brand and attracts companies seeking to do business with us or to list securities on our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operate in three segments: Market Services, Issuer Services and Market Technology. Of our 2011 revenues less transaction rebates, brokerage, clearance and exchange fees of $1,690 million, 67.4% was from our Market Services segment, 21.8% was from our Issuer Services segment and 10.8% was from our Market Technology segment. Of our 2010 revenues less transaction rebates, brokerage, clearance and exchange fees of $1,522 million, 67.3% was from our Market Services segment, 22.6% was from our Issuer Services segment, 10.0% was from our Market Technology segment and 0.1% related to other revenues. Of our 2009 revenues less transaction rebates, brokerage, clearance and exchange fees of $1,453 million, 67.2% was from our Market Services segment, 22.7% was from our Issuer Services segment, 10.0% was from our Market Technology segment and 0.1% related to other revenues.</w:t>
      </w:r>
    </w:p>
    <w:p>
      <w:pPr>
        <w:spacing w:after="0" w:line="107" w:lineRule="exact"/>
        <w:rPr>
          <w:sz w:val="20"/>
          <w:szCs w:val="20"/>
          <w:color w:val="auto"/>
        </w:rPr>
      </w:pPr>
    </w:p>
    <w:p>
      <w:pPr>
        <w:ind w:right="180" w:firstLine="456"/>
        <w:spacing w:after="0" w:line="375" w:lineRule="auto"/>
        <w:rPr>
          <w:sz w:val="20"/>
          <w:szCs w:val="20"/>
          <w:color w:val="auto"/>
        </w:rPr>
      </w:pPr>
      <w:r>
        <w:rPr>
          <w:rFonts w:ascii="Arial" w:cs="Arial" w:eastAsia="Arial" w:hAnsi="Arial"/>
          <w:sz w:val="18"/>
          <w:szCs w:val="18"/>
          <w:color w:val="auto"/>
        </w:rPr>
        <w:t xml:space="preserve">See Note 18, “Business Segments,” to the consolidated financial statements for additional financial information about our segments and geographic data. </w:t>
      </w:r>
      <w:r>
        <w:rPr>
          <w:rFonts w:ascii="Arial" w:cs="Arial" w:eastAsia="Arial" w:hAnsi="Arial"/>
          <w:sz w:val="18"/>
          <w:szCs w:val="18"/>
          <w:b w:val="1"/>
          <w:bCs w:val="1"/>
          <w:color w:val="auto"/>
        </w:rPr>
        <w:t>Market Services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U.S., we offer trading in cash equity securities, derivatives and ETFs on The NASDAQ Stock Market, The NASDAQ Options Market, NASDAQ OMX PHLX, NASDAQ OMX BX, NASDAQ OMX PSX and NASDAQ OMX Futures Exchange, or NFX, and engage in riskless principal trading of OTC power and gas contracts through NOCC. Our transaction-based 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Cash Equities Trading. </w:t>
      </w:r>
      <w:r>
        <w:rPr>
          <w:rFonts w:ascii="Arial" w:cs="Arial" w:eastAsia="Arial" w:hAnsi="Arial"/>
          <w:sz w:val="18"/>
          <w:szCs w:val="18"/>
          <w:color w:val="auto"/>
        </w:rPr>
        <w:t>The NASDAQ Stock Market is the largest single pool of liquidity for trading U.S.-listed cash equities, matching an average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18.1% of all U.S. cash equities volume for 2011.</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also operate two additional U.S. cash equities markets, called NASDAQ OMX BX and NASDAQ OMX PSX. With these markets, we offer a second and third quote within the U.S. cash equities marketplace, providing our customers enhanced trading choices and price flexibility. As with The NASDAQ Stock Market, NASDAQ OMX BX and NASDAQ OMX PSX are run on our INET trading system, providing customers additional fast and efficient cash equity securities markets using familiar technology. In accessing these markets, our customers can leverage existing infrastructure, reducing incremental costs when connecting. NASDAQ OMX PSX is the first and only cash equities exchange that operates a pro rata price/size priority model, in contrast to a price/time priority model. In other words, members can get to the front of the queue by virtue of their relative size in the NASDAQ OMX PSX market as opposed to being the fastest to the market. In doing so, NASDAQ OMX PSX emphasizes size over speed, providing additional flexibility to our customers in choosing the best model for their orders. In 2011, NASDAQ OMX BX matched an average of approximately 2.1% and NASDAQ OMX PSX matched an average of approximately 1.0% of all U.S. cash equities volume.</w:t>
      </w:r>
    </w:p>
    <w:p>
      <w:pPr>
        <w:spacing w:after="0" w:line="1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fully electronic U.S. transaction-based platforms provide members with the ability to access, process, display and integrate orders and quotes in cash equity securities on The NASDAQ Stock Market, NASDAQ OMX BX and NASDAQ OMX PSX. Market participants include market makers, broker-dealers, alternative trading systems, or ATSs, and registered securities exchanges. These services are offered for NASDAQ-listed and non-NASDAQ-listed securities. Specifically, our platforms:</w:t>
      </w:r>
    </w:p>
    <w:p>
      <w:pPr>
        <w:spacing w:after="0" w:line="49" w:lineRule="exact"/>
        <w:rPr>
          <w:sz w:val="20"/>
          <w:szCs w:val="20"/>
          <w:color w:val="auto"/>
        </w:rPr>
      </w:pPr>
    </w:p>
    <w:p>
      <w:pPr>
        <w:ind w:left="780" w:right="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comprehensive display of the interest by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subscribers quotes, orders and total anonymous interest at every price level for exchange-listed securities and critical data for the Opening Cross, Closing Cross, Halt Cross and IPO Cross; and</w:t>
      </w:r>
    </w:p>
    <w:p>
      <w:pPr>
        <w:spacing w:after="0" w:line="37"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i w:val="1"/>
          <w:iCs w:val="1"/>
          <w:color w:val="auto"/>
        </w:rPr>
        <w:t xml:space="preserve">Trade Reporting. </w:t>
      </w:r>
      <w:r>
        <w:rPr>
          <w:rFonts w:ascii="Arial" w:cs="Arial" w:eastAsia="Arial" w:hAnsi="Arial"/>
          <w:sz w:val="15"/>
          <w:szCs w:val="15"/>
          <w:color w:val="auto"/>
        </w:rPr>
        <w:t>All U.S. registered national securities exchanges and securities associations are required to establish a transaction reporting plan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central collection of price and volume information concerning trades executed in those markets. Trades executed on The NASDAQ Stock Market, NASDAQ OMX BX and NASDAQ OMX PSX are automatically reported under the appropriate transaction reporting plan. Currently, market participants are not charged for the reporting of most of these trades. The NASDAQ Stock Market, NASDAQ OMX BX and NASDAQ OMX PSX, however, earn revenues for all of these trades in the form of shared market information revenues under the Unlisted Trading Privileges Plan, or the UTP Plan, for NASDAQ-listed securities and under the Consolidated Tape and Consolidated Quotation Plans for securities listed on the New York Stock Exchange, or NYSE, NYSE Amex and other exchanges.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The FINRA/NASDAQ Trade Reporting Facility, or FINRA/NASDAQ TRF, we collect reports of trades executed by broker-dealers outside of our exchanges. The FINRA/NASDAQ TRF collects trade reports as a facility of FINRA. A large percentage of these trades results from orders that broker-dealers have matched internally and is submitted to the FINRA/NASDAQ TRF for reporting purposes only. The FINRA/NASDAQ TRF charges market participants for locked-in reporting of most trades, but it shares back most revenues earned from shared market information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3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to trade reporting and trade comparison services, we provide clearing firms with risk management services to assist them in monitoring their exposure to their correspondent brokers.</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U.S. Derivative Trading and Clearing. </w:t>
      </w:r>
      <w:r>
        <w:rPr>
          <w:rFonts w:ascii="Arial" w:cs="Arial" w:eastAsia="Arial" w:hAnsi="Arial"/>
          <w:sz w:val="18"/>
          <w:szCs w:val="18"/>
          <w:color w:val="auto"/>
        </w:rPr>
        <w:t>In the U.S., we operate The NASDAQ Options Market and NASDAQ OMX PHLX for the trading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ETF options, index options and foreign currency options. As of December 31, 2011, NASDAQ OMX PHLX, which operates a hybrid electronic and floor-based market, was the largest options market in the U.S. During the year ended December 31, 2011, NASDAQ OMX PHLX and The NASDAQ Options Market had an average combined market share of approximately 27.7% in the U.S. equity options market, consisting of approximately 23.1% at NASDAQ OMX PHLX and approximately 4.6% at The NASDAQ Options Market. Together, the combined market share of 27.7% represented the largest share of the U.S. equity options market and ETF options market. Our options trading platforms provide trading opportunities to both retail investors and algorithmic (high-frequency) trading firms, who tend to prefer electronic trading, and institutional investors, who typically pursue more complex trading strategies and often prefer to trade on the floor.</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the U.S., we also operate NFX, a designated contract market regulated by the U.S. Commodity Futures Trading Commission, or CFTC. NFX offers trading of futures contracts on foreign currencies and gold, which clear at The Options Clearing Corporation, or OCC.</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Through International Derivatives Clearinghouse, or IDCH, a division of our majority-owned subsidiary International Derivatives Clearing Group, or IDCG, we bring a centrally-cleared solution to the largest segment of the OTC derivatives marketplace, specifically interest rate derivatives. IDCH acts as the central counterparty, or CCP, for clearing interest rate swap products, which are also regulated by the CFTC. IDCH utilizes NASDAQ OMX matching, risk, and clearing technology to clear and settle interest rate derivative products.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also engages in riskless principal trading of OTC power and gas contracts through our subsidiary NOCC.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Nordics. </w:t>
      </w:r>
      <w:r>
        <w:rPr>
          <w:rFonts w:ascii="Arial" w:cs="Arial" w:eastAsia="Arial" w:hAnsi="Arial"/>
          <w:sz w:val="18"/>
          <w:szCs w:val="18"/>
          <w:color w:val="auto"/>
        </w:rPr>
        <w:t>NASDAQ OMX Nordic’s operations comprise the exchanges in Stockholm (Sweden), Copenhagen (Denmark), Helsinki (Finland), and Iceland.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exchanges offer trading for cash equities and bonds, trading and clearing services for derivatives, and clearing services for resale and repurchase agreements. Our platform allows the exchanges to share the same trading system, which enables efficient cross-border trading and settlement, cross membership and a single source for Nordic market data.</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13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NASDAQ OMX’s trading offering also includes cash equities listed in Norway and Norwegian derivatives products. The offering is designed to provide lower trading costs and other benefits for customers seeking to trade all Nordic cash equity products on one platform. NASDAQ OMX has been the second largest market for trading in Norwegian stocks since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Most of our cash equity trades on the exchanges that comprise NASDAQ OMX Nordic are centrally cleared by the European Multilateral Clearing Facility N.V., or EMCF, a leading European clearinghouse in which we own a 22% equity stake.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NASDAQ OMX launched a clearing service for the resale and repurchase agreement market. As a result of an agreement between the Swedish Money Market Council and NASDAQ OMX, a large portion of the Swedish Interbank resale and repurchase agreement market is cleared through NASDAQ OMX Stockholm.</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Baltics. </w:t>
      </w:r>
      <w:r>
        <w:rPr>
          <w:rFonts w:ascii="Arial" w:cs="Arial" w:eastAsia="Arial" w:hAnsi="Arial"/>
          <w:sz w:val="16"/>
          <w:szCs w:val="16"/>
          <w:color w:val="auto"/>
        </w:rPr>
        <w:t>NASDAQ OMX Baltic operations comprise the exchanges in Tallinn (Estonia), Riga (Latvia) and Vilnius (Lithuania). As of December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NASDAQ OMX owns NASDAQ OMX Tallinn and has a majority ownership in NASDAQ OMX Vilnius and NASDAQ OMX Riga. In addition, NASDAQ OMX Tallinn owns the central securities depository in Estonia, NASDAQ OMX Riga owns the central securities depository in Latvia, and NASDAQ OMX Helsinki and NASDAQ OMX Vilnius jointly own the central securities depository in Lithuania.</w:t>
      </w:r>
    </w:p>
    <w:p>
      <w:pPr>
        <w:spacing w:after="0" w:line="99"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Commodities Trading and Clearing. </w:t>
      </w:r>
      <w:r>
        <w:rPr>
          <w:rFonts w:ascii="Arial" w:cs="Arial" w:eastAsia="Arial" w:hAnsi="Arial"/>
          <w:sz w:val="16"/>
          <w:szCs w:val="16"/>
          <w:color w:val="auto"/>
        </w:rPr>
        <w:t>NASDAQ OMX Commodities offers trading and clearing of international power derivatives and carbon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OMX Commodities’ offering includes the world’s largest power derivatives exchange and one of Europe’s largest carbon exchanges.</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NASDAQ OMX Commodities has 390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w:t>
      </w:r>
    </w:p>
    <w:p>
      <w:pPr>
        <w:spacing w:after="0" w:line="93" w:lineRule="exact"/>
        <w:rPr>
          <w:sz w:val="20"/>
          <w:szCs w:val="20"/>
          <w:color w:val="auto"/>
        </w:rPr>
      </w:pPr>
    </w:p>
    <w:p>
      <w:pPr>
        <w:ind w:right="1060" w:firstLine="456"/>
        <w:spacing w:after="0" w:line="375" w:lineRule="auto"/>
        <w:rPr>
          <w:sz w:val="20"/>
          <w:szCs w:val="20"/>
          <w:color w:val="auto"/>
        </w:rPr>
      </w:pPr>
      <w:r>
        <w:rPr>
          <w:rFonts w:ascii="Arial" w:cs="Arial" w:eastAsia="Arial" w:hAnsi="Arial"/>
          <w:sz w:val="18"/>
          <w:szCs w:val="18"/>
          <w:color w:val="auto"/>
        </w:rPr>
        <w:t xml:space="preserve">In addition, NASDAQ OMX Commodities, together with Nord Pool Spot, operates N2EX, a marketplace for physical U.K. power contracts. </w:t>
      </w:r>
      <w:r>
        <w:rPr>
          <w:rFonts w:ascii="Arial" w:cs="Arial" w:eastAsia="Arial" w:hAnsi="Arial"/>
          <w:sz w:val="18"/>
          <w:szCs w:val="18"/>
          <w:b w:val="1"/>
          <w:bCs w:val="1"/>
          <w:i w:val="1"/>
          <w:iCs w:val="1"/>
          <w:color w:val="auto"/>
        </w:rPr>
        <w:t>Access Services</w:t>
      </w:r>
    </w:p>
    <w:p>
      <w:pPr>
        <w:spacing w:after="0" w:line="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provide market participants with several alternatives for accessing our markets for a fee. Shifting connectivity from proprietary networks to third-party networks has significantly reduced technology and network costs and increased our systems’ scalability without affecting performance or reliability.</w:t>
      </w:r>
    </w:p>
    <w:p>
      <w:pPr>
        <w:spacing w:after="0" w:line="7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U.S. marketplaces may be accessed via a number of different protocols. The Financial Information Exchange product that uses the FIX protocol, a standard method of financial communication between trading firms and vendors, enables firms to leverage their existing FIX technology with cost-effective connections to our markets. Market participants may also access our systems using QIX, a proprietary programming interface that provides a more streamlined and efficient protocol for our users with expanded functionality, including quotation updates, and computer-to-computer interface, or CTCI, a protocol that allows market participants to enter transactions directly from their computer systems to our computer systems. Firms also may use former INET protocols, such as OUCH and RASH, to access our single trading platform. We also earn revenues from connectivity to various market data feeds. As an alternative to a firm-developed trading front-end, our system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offers the NASDAQ Workstation, an internet-browser based interface that allows market participants to view market data and enter orders, quotes and trade reports. Finally, we offer a variety of add-on compliance tools to help firms comply with regulatory requirements.</w:t>
      </w:r>
    </w:p>
    <w:p>
      <w:pPr>
        <w:spacing w:after="0" w:line="118"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7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Net U.S. Tape Plans. </w:t>
      </w:r>
      <w:r>
        <w:rPr>
          <w:rFonts w:ascii="Arial" w:cs="Arial" w:eastAsia="Arial" w:hAnsi="Arial"/>
          <w:sz w:val="16"/>
          <w:szCs w:val="16"/>
          <w:color w:val="auto"/>
        </w:rPr>
        <w:t>The NASDAQ Stock Market operates as the exclusive Securities Information Processor of the UTP Plan for the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U.S. Market Data Products. </w:t>
      </w:r>
      <w:r>
        <w:rPr>
          <w:rFonts w:ascii="Arial" w:cs="Arial" w:eastAsia="Arial" w:hAnsi="Arial"/>
          <w:sz w:val="16"/>
          <w:szCs w:val="16"/>
          <w:color w:val="auto"/>
        </w:rPr>
        <w:t>Our market data products enhance transparency and provide critical information to professional and non-professional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distribute this proprietary market information to both market participants and non-participants through a number of proprietary products. We use our broad distribution network of more than 2,000 market data distributors to deliver data regarding our market depth, index values, mutual fund valuation, order imbalances, market sentiment and other analytical data.</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OMX BX and NASDAQ OMX PSX markets. TotalView is offered through distributors to professional subscribers for a monthly fee per terminal and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non-professional subscribers for a lower monthly fee per terminal. We also offer TotalView enterprise licenses to facilitate broad based distribution of this data. In addition, we charge the distributor a monthly distributor fee.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6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Basic, which offers a flexible and affordable way to provide customers with essential trading data of best bid and offer and last sale information;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Last Sale, which provides broad based and universal access to real-time last sale information via Internet portals;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Market Replay, a powerful replay and analysis tool that allows users to view order book and trade data for NASDAQ, NYSE- and NYSE Amex-listed securities at any point in time;</w:t>
      </w:r>
    </w:p>
    <w:p>
      <w:pPr>
        <w:spacing w:after="0" w:line="37"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OMX DataStore, which is designed to transform the market data industry through use of plug-and-play technology to deliver new proprietary information content;</w:t>
      </w:r>
    </w:p>
    <w:p>
      <w:pPr>
        <w:spacing w:after="0" w:line="37"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Mutual Fund Quotation Service, a service for over 26,000 mutual funds, money market funds and unit investment trusts that supports fund data, including net asset values, and capital gains and dividend income distribution and provides print and electronic media exposure for the funds. In 2011, this service was completely revamped with a new front-end website;</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Mutual Fund Dissemination Service, which is a service that facilitates the real-time and end-of-day recap dissemination of all mutual fund pricing information and is used by data vendors and media to receive complete net asset value data on funds;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Global Index Dissemination Service, which is a real-time data feed that carries the values for a number of broad-based and sector indexes and ETFs;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RussellTick, which is a data feed that consolidates the distribution of the Russell family of indexes;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Top Of PHLX Options, which is a top-price-level data feed directly from the NASDAQ OMX PHLX options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MatchView, a direct data feed that provides a view of the prevailing best bid offer of other exchanges;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Index Watch, which provides index weights and components, including advanced notification of corporate actions, as well as real-time, daily and historical index values for NASDAQ OMX indexes;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Data-On-Demand, a service that gives customers instant access to historical Level 1 information;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Access, a service that uses NASDAQ OMX expertise to perform services for clients, such as client on-site reviews.</w:t>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December 2011, we acquired the business of RapiData LLC, or RapiData, a leading provider of machine-readable economic news to trading firms and financial institutions. With this acquisition, we will deliver U.S. government and other economic news directly from the source to customers interested in receiving information in an electronic feed.</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European Market Data Products. </w:t>
      </w:r>
      <w:r>
        <w:rPr>
          <w:rFonts w:ascii="Arial" w:cs="Arial" w:eastAsia="Arial" w:hAnsi="Arial"/>
          <w:sz w:val="16"/>
          <w:szCs w:val="16"/>
          <w:color w:val="auto"/>
        </w:rPr>
        <w:t>The exchanges that comprise NASDAQ OMX Nordic and NASDAQ OMX Baltic, as well as NASDAQ OMX</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European market data products and services are based on the trading information from the exchanges that comprise NASDAQ OMX Nordic and NASDAQ OMX Baltic, as well as NASDAQ OMX Commodities, for four classes of assets: cash equities, bonds, derivatives and commodities. We provide varying levels of quote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trade information to market participants and to data distributors, who in turn provide subscriptions for this information. Revenues from European market data products are subscription-based and are generated primarily based on the number of data subscribers and distributors of our data.</w:t>
      </w:r>
    </w:p>
    <w:p>
      <w:pPr>
        <w:spacing w:after="0" w:line="72"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European market data products include:</w:t>
      </w:r>
    </w:p>
    <w:p>
      <w:pPr>
        <w:spacing w:after="0" w:line="77" w:lineRule="exact"/>
        <w:rPr>
          <w:sz w:val="20"/>
          <w:szCs w:val="20"/>
          <w:color w:val="auto"/>
        </w:rPr>
      </w:pPr>
    </w:p>
    <w:p>
      <w:pPr>
        <w:ind w:left="780" w:right="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Equity TotalView, which provides full market insight into the order book, news and analysis data for all Nordic cash equities. The product also includes index values and weights and liquidity measure indicators;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Derivative Level 2, which provides listing details, trade information, derived information and order book information with the five best levels of bid and ask prices with the respective total quantity; and</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Fixed Income Level 2, which provides listing details, order book information, bid and ask quotes for up to five levels, trade information, derived information, indicative bid and ask quotes, daily turnover statistics and company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provides services through a registered securities company that is regulated by the Swedish Financial Supervisory Authority, or SFSA. Services primarily consist of flexible back-office systems, which allow customers to entirely or partly outsource their company’s back-office functions.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 Revenues are based on a fixed basic fee for back-office brokerage services, such as administration or licensing, maintenance and operations, and a variable portion that depends on the number of transactions completed.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group—approximately 3,500 companies representing approximately $5.3 trillion in total market value as of December 31, 2011.</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 In addition, through our Corporate Solutions business, we offer companies access to innovative products and services that ease transparency, maximize board efficiency and facilitate corporate governance.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15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 xml:space="preserve">U.S. Listings. </w:t>
      </w:r>
      <w:r>
        <w:rPr>
          <w:rFonts w:ascii="Arial" w:cs="Arial" w:eastAsia="Arial" w:hAnsi="Arial"/>
          <w:sz w:val="18"/>
          <w:szCs w:val="18"/>
          <w:color w:val="auto"/>
        </w:rPr>
        <w:t>Companies listed on The NASDAQ Stock Market represent a diverse array of industries including health care,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services, information technology, financial services, industrials and energy.</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2011, a total of 2,680 companies listed securities on The NASDAQ Stock Market, with 1,460 listings on The NASDAQ Global Select Market, 750 on The NASDAQ Global Market and 470 on The NASDAQ Capital Market.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2011, The NASDAQ Stock Market attracted 151 new listings. Included in these listings were 78 IPOs, almost 51% of the total U.S. IPOs in 2011. The new listings were comprised of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New Listings on The NASDAQ Stock Market</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Switches from NYSE/NYSE Amex</w:t>
            </w:r>
          </w:p>
        </w:tc>
        <w:tc>
          <w:tcPr>
            <w:tcW w:w="35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IPOs</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Upgrades from OTC</w:t>
            </w:r>
          </w:p>
        </w:tc>
        <w:tc>
          <w:tcPr>
            <w:tcW w:w="35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ETFs, Structured Products and Other Listings</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2011, the following NYSE-listed companies switched to The NASDAQ Stock Market, representing approximately $41.6 billion in market capitalization: Fifth Street Finance Corp., Frontier Communications Corporation, Icahn Enterprises L.P., Magnetek, Inc., SLM Corporation, Viacom Inc. and The Wendy’s Company. In the fourth quarter of 2011, we also announced that Texas Instruments Incorporated, representing approximately $33 billion in market capitalization, would switch to The NASDAQ Stock Market on the first trading day in 2012. A total of three companies switched from NYSE Amex and one company switched from NYSE Arca to The NASDAQ Stock Market in 2011.</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European Listings. </w:t>
      </w:r>
      <w:r>
        <w:rPr>
          <w:rFonts w:ascii="Arial" w:cs="Arial" w:eastAsia="Arial" w:hAnsi="Arial"/>
          <w:sz w:val="18"/>
          <w:szCs w:val="18"/>
          <w:color w:val="auto"/>
        </w:rPr>
        <w:t>We also offer listings on the exchanges that comprise NASDAQ OMX Nordic and NASDAQ OMX Baltic. For smaller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companies, we offer access to the financial markets through the NASDAQ OMX First North alternative marketplaces. As of December 31, 2011, a total of 776 companies listed securities on our Nordic and Baltic exchanges and NASDAQ OMX First North. Measured in terms of the market capitalization of listed companies, as of December 31, 2011, NASDAQ OMX Nordic was the third largest marketplace in Europe for IT companies, the largest marketplace in the world for the paper industry, the third largest marketplace in the world for apparel retail companies and third largest marketplace in the world for the industrial machinery industry.</w:t>
      </w:r>
    </w:p>
    <w:p>
      <w:pPr>
        <w:spacing w:after="0" w:line="13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European listing customers are organizations such as companies, funds or governments. Customers issue securities in the forms of cash equities, depository receipts, warrants, ETFs, convertibles, rights, options, bonds and fixed-income related products. In 2011, a total of 34 new companies were listed on our Nordic and Baltic exchanges and NASDAQ OMX First North.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Corporate Solutions. </w:t>
      </w:r>
      <w:r>
        <w:rPr>
          <w:rFonts w:ascii="Arial" w:cs="Arial" w:eastAsia="Arial" w:hAnsi="Arial"/>
          <w:sz w:val="16"/>
          <w:szCs w:val="16"/>
          <w:color w:val="auto"/>
        </w:rPr>
        <w:t>Our Corporate Solutions business provides customer support services, products and programs to customers, including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listed on our exchanges. Through our Corporate Solutions offerings, companies gain access to innovative products and services that ease transparency, mitigate risk, maximize board efficiency and facilitate better corporate governance. We provide corporate solutions in the following key areas of focus:</w:t>
      </w:r>
    </w:p>
    <w:p>
      <w:pPr>
        <w:spacing w:after="0" w:line="12" w:lineRule="exact"/>
        <w:rPr>
          <w:sz w:val="20"/>
          <w:szCs w:val="20"/>
          <w:color w:val="auto"/>
        </w:rPr>
      </w:pPr>
    </w:p>
    <w:p>
      <w:pPr>
        <w:ind w:left="780" w:right="12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Investor Relations</w:t>
      </w:r>
      <w:r>
        <w:rPr>
          <w:rFonts w:ascii="Arial" w:cs="Arial" w:eastAsia="Arial" w:hAnsi="Arial"/>
          <w:sz w:val="16"/>
          <w:szCs w:val="16"/>
          <w:color w:val="auto"/>
        </w:rPr>
        <w:t>. We provide industry-leading investor relations and news distribution products designed to make it easier for companies to interact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communicate with analysts and investors while meeting corporate governance and disclosure requirements.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Market Monitoring</w:t>
      </w:r>
      <w:r>
        <w:rPr>
          <w:rFonts w:ascii="Arial" w:cs="Arial" w:eastAsia="Arial" w:hAnsi="Arial"/>
          <w:sz w:val="18"/>
          <w:szCs w:val="18"/>
          <w:color w:val="auto"/>
        </w:rPr>
        <w:t>. We offer unique proprietary services that help companies monitor their stock and track peer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Board Practice</w:t>
      </w:r>
      <w:r>
        <w:rPr>
          <w:rFonts w:ascii="Arial" w:cs="Arial" w:eastAsia="Arial" w:hAnsi="Arial"/>
          <w:sz w:val="18"/>
          <w:szCs w:val="18"/>
          <w:color w:val="auto"/>
        </w:rPr>
        <w:t>. We offer management solutions to ensure board member effectiveness.</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Global Visibility. </w:t>
      </w:r>
      <w:r>
        <w:rPr>
          <w:rFonts w:ascii="Arial" w:cs="Arial" w:eastAsia="Arial" w:hAnsi="Arial"/>
          <w:sz w:val="18"/>
          <w:szCs w:val="18"/>
          <w:color w:val="auto"/>
        </w:rPr>
        <w:t>We provide ways for companies to increase their visibility through our MarketSite offerings and access to discounts and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offers from other listed companies.</w:t>
      </w:r>
    </w:p>
    <w:p>
      <w:pPr>
        <w:spacing w:after="0" w:line="37"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Webcasting. </w:t>
      </w:r>
      <w:r>
        <w:rPr>
          <w:rFonts w:ascii="Arial" w:cs="Arial" w:eastAsia="Arial" w:hAnsi="Arial"/>
          <w:sz w:val="18"/>
          <w:szCs w:val="18"/>
          <w:color w:val="auto"/>
        </w:rPr>
        <w:t>We offer webcasting and investor relations communication services for companies in the Nordic region through our subsidiary ZVM, a</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provider of webcasting services in Northern Europe.</w:t>
      </w:r>
    </w:p>
    <w:p>
      <w:pPr>
        <w:spacing w:after="0" w:line="37"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Corporate Communications and Reputation Management. </w:t>
      </w:r>
      <w:r>
        <w:rPr>
          <w:rFonts w:ascii="Arial" w:cs="Arial" w:eastAsia="Arial" w:hAnsi="Arial"/>
          <w:sz w:val="18"/>
          <w:szCs w:val="18"/>
          <w:color w:val="auto"/>
        </w:rPr>
        <w:t>Through our acquisition of Glide Technologies in October 2011, we offer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reputation management solutions. This acquisition allows us to offer a fully-integrated workflow solution for investor relations and public relations professionals.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business.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8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total, the Global Index Group now offers over 2,600 diverse indexes, with more than 1,000 launched in 2011. At the end of 2011, NASDAQ OMX indexes were the basis for over 5,500 structured products in 24 countries. In 2011, product sponsors launched 11 ETFs based on NASDAQ OMX indexes. Our flagship index, the NASDAQ-100 Index, includes the top 100 non-financial securities listed on The NASDAQ Stock Market.</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2011, we launched the NASDAQ US All Market Index family consisting of more than 900 market capitalization-weighted, float-adjusted indexes, including the flagship NASDAQ US All Market index, which covers more than 4,000 companies. This Index family is based on a transparent, rules-based methodology specifically developed for institutions to use as a benchmark for the performance of the U.S. equity market.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Powering more than 70 markets in over 50 countries, we are the world’s leading technology solutions provider and partner to exchanges, clearing organizations and central securities depositories. Our technology business is also the sales channel for our complete global offering to other marketplaces.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Technology Solutions. </w:t>
      </w:r>
      <w:r>
        <w:rPr>
          <w:rFonts w:ascii="Arial" w:cs="Arial" w:eastAsia="Arial" w:hAnsi="Arial"/>
          <w:sz w:val="16"/>
          <w:szCs w:val="16"/>
          <w:color w:val="auto"/>
        </w:rPr>
        <w:t>The systems solutions we offer support trading, clearing, settlement, surveillance and information dissemination for markets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NASDAQ OMX’s technology solutions are utilized by, among others, the Australian Securities Exchange, Bolsa de Valores de Colombia, Egypt Stock Exchange, Hong Kong Exchanges and Clearing, SIX Swiss Exchange, Singapore Exchanges, Tokyo Commodity Exchange, Osaka Securities Exchange and SBI Japannext.</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trading and market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Systems Integration, Operation and Support. </w:t>
      </w:r>
      <w:r>
        <w:rPr>
          <w:rFonts w:ascii="Arial" w:cs="Arial" w:eastAsia="Arial" w:hAnsi="Arial"/>
          <w:sz w:val="16"/>
          <w:szCs w:val="16"/>
          <w:color w:val="auto"/>
        </w:rPr>
        <w:t>A central part of many projects is facility management and systems integration. Through our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can assume total responsibility for projects involving migration to a new system and the establishment of entirely new marketplaces. We also offer operation and support for the applications, systems platforms, networks and other components included in a turn-key information technology solution. By transferring the operation and support of systems to us, the customer can focus on its core operations and reduce its operational risk level. At the same time, economies of scale can be achieved, by allowing the customer access to existing, effective technology and infrastructure.</w:t>
      </w:r>
    </w:p>
    <w:p>
      <w:pPr>
        <w:spacing w:after="0" w:line="10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Our advisory services are designed to support our customers’ strategies and help them with critical decisions in a highly demanding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Operating our own exchanges and partnering with global marketplaces, we continually gain insight on developments in the financial world. We understand first-hand how marketplaces operate, the challenges they face and the complex technology infrastructures that support them. Our consultants have deep experience in strategy, operations and change management, and are backed by the combined knowledge of NASDAQ OMX as well as a network of external experts in the exchange industry.</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Surveillance Solutions</w:t>
      </w:r>
      <w:r>
        <w:rPr>
          <w:rFonts w:ascii="Arial" w:cs="Arial" w:eastAsia="Arial" w:hAnsi="Arial"/>
          <w:sz w:val="18"/>
          <w:szCs w:val="18"/>
          <w:color w:val="auto"/>
        </w:rPr>
        <w:t>. Since our acquisition of SMARTS, a leading technology provider of surveillance solutions to exchanges, regulators and brokers,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offered broker surveillance and compliance services to our customers.</w:t>
      </w:r>
    </w:p>
    <w:p>
      <w:pPr>
        <w:spacing w:after="0" w:line="11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i w:val="1"/>
          <w:iCs w:val="1"/>
          <w:color w:val="auto"/>
        </w:rPr>
        <w:t xml:space="preserve">Core Technology. </w:t>
      </w:r>
      <w:r>
        <w:rPr>
          <w:rFonts w:ascii="Arial" w:cs="Arial" w:eastAsia="Arial" w:hAnsi="Arial"/>
          <w:sz w:val="16"/>
          <w:szCs w:val="16"/>
          <w:color w:val="auto"/>
        </w:rPr>
        <w:t>Technology plays a key role in ensuring the growth and reliability of financial markets. At NASDAQ OMX, we are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through technology to ensure our position as a driving force in the exchange industry and to provide the best possible trading experience for our customers and investors. Investment decisions are made based on customer needs and general market trends.</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continuously improve our core technology with a focus on reducing latency and improving capacity and reliability. NASDAQ OMX’s next generation technology is capable of handling multi-million messages per second at an average speed of sub-100 microseconds, currently one of the fastest of any exchange or alternative trading system in the world.</w:t>
      </w:r>
    </w:p>
    <w:p>
      <w:pPr>
        <w:spacing w:after="0" w:line="12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foundation for NASDAQ OMX’s core technology is INET. The INET technology is used across NASDAQ OMX’s U.S. and European markets. INET is also the main building block of our Market Technology offering, Genium INET. Genium INET combines innovative functionality with a modular approach to manage change and create new advantages for existing and new customers, as well as our own marketplaces.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trade names of NASDAQ OMX Nordic and our operations in Europe. Many of these trademarks are registered in a number of countries. Examples of registered trademarks used in our European operations include: OMX, GENIUM, Genium INET, SECUR, CLICK XT and EXIGO.</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time, we have accumulated a robust portfolio of issued patents in the U.S., Europe and in other parts of the world. We currently hold rights to patents relating to certain aspects of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maintain copyright protection in our NASDAQ-branded materials.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Market Services. </w:t>
      </w:r>
      <w:r>
        <w:rPr>
          <w:rFonts w:ascii="Arial" w:cs="Arial" w:eastAsia="Arial" w:hAnsi="Arial"/>
          <w:sz w:val="16"/>
          <w:szCs w:val="16"/>
          <w:color w:val="auto"/>
        </w:rPr>
        <w:t>The cash equity securities markets are intensely competitive. We compete in the U.S. against NYSE Euronext, BATS Global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 Edge, regional exchanges and ATSs. In Europe, our major competitors include NYSE Euronext, Deutsche Börse, the London Stock Exchange Group plc, or LSE, the Spanish Exchanges, SIX Swiss Exchange, and multilateral trading facilities, or MTFs, such as Chi-X and BATS Europe, which are similar to U.S. ATSs. Competition also comes from broker-dealers and from off-board, or OTC trading, in the U.S. and elsewhere.</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bond trading, we compete in Europe with alternative marketplaces such as EuroMTS Limited. For derivatives products, competition comes in the form of trading and clearing that takes place OTC, usually through banks and brokerage firms, or through trading and clearing competition with other exchanges. The competitive significance in Europe of these varied alternative trading venues is likely to increase in the future, with the regulatory environment in Europe becoming more favorable to alternative trading venues as a result of the reforms required by the Markets in Financial Instruments Directive, or MiFID, and a broader effort to increase competition in financial services.</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Competition is based on a number of factors, including the quality of our technological and regulatory infrastructure, total transaction costs, the depth and breadth of liquidity, the quality of value-added customer services, reputation and the direct cost of trade execution.</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Cash equity securities trading. </w:t>
      </w:r>
      <w:r>
        <w:rPr>
          <w:rFonts w:ascii="Arial" w:cs="Arial" w:eastAsia="Arial" w:hAnsi="Arial"/>
          <w:sz w:val="18"/>
          <w:szCs w:val="18"/>
          <w:color w:val="auto"/>
        </w:rPr>
        <w:t>The U.S. marketplace continues to evolve as the number of exchanges increases and less heavily regulated broker-owned</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systems and ATSs, known collectively as dark pools, expand in number and activity. While many of the new entrants may have limited liquidity, some may attract significant levels of cash equity order volume through aggressive pricing, through interconnections with other systems, and from volume originating with broker-dealer owners and investors. In 2011, broker-dealer owned systems continued the rapid growth that began in 2009. In addition, there remains interest in electronic trading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systems specializing primarily in large block trades, such as LiquidNet and Investment Technology Group’s POSIT platform. During 2010, three new exchange competitors to NASDAQ OMX appeared. In July 2010, Direct Edge received SEC approval to operate its two markets, EDGA and EDGX, as exchanges and in October 2010, BATS launched a second exchange, BATS-Y. During 2010, NASDAQ OMX also launched its third cash equity exchange, NASDAQ OMX PSX, to provide a third alternative combination of pricing and features. No new U.S. exchanges were launched or received approval in 2011. However, NASDAQ OMX continues to face fierce competition from all trading venues for market share.</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Regulatory events also could result in significant changes in the competitive landscape. In February 2011, the SEC implemented a new short sale restriction that triggers when a security declines 10% from its previous close. In August 2011, the SEC expanded its existing single stock trading pause to include all Regulation NMS securities. These regulations stem from the 2010 SEC concept release on market structure issues, as well as the events of the May 6, 2010 “flash crash.” Any potential rules concerning halting trading during volatile markets, market access, algorithmic (high-frequency) trading, alternative trading systems (such as dark pools), and other market structure issues could change the competitive landscape by helping or hurting NASDAQ OMX or its competitors’ business models.</w:t>
      </w:r>
    </w:p>
    <w:p>
      <w:pPr>
        <w:spacing w:after="0" w:line="13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European landscape is continuing to adapt to the competitive forces released by MiFID in November 2007. Throughout Europe, new MTFs have been created with the most prominent MTFs (Chi-X, Turquoise, and BATS) based in the United Kingdom and attracting a significant share of electronically matched volume. MTFs continue to grow their business in shares listed on our Nordic exchanges. Trade reporting alternatives to incumbent exchanges, such as Markit BOAT, also continue to be active. Electronic trading systems interested in pursuing block business have long been active in Europe and are looking to grow their businesses. In the Nordics, the Burgundy MTF grew modestly in 2010 but contracted slightly in 2011. These entrants pursue many of the same strategies to attract order flow as do ATSs in the U.S., which include attractive pricing, participant investment, technological innovation and pursuit of exchange status. Because of the success of the new entrants, incumbent exchanges have lowered prices, adopted new technology, and prepared to compete aggressively for trading volumes and revenue. While the state of competition in Europe remains evolutionary, the level of competition faced by incumbent national exchanges will remain intense.</w:t>
      </w:r>
    </w:p>
    <w:p>
      <w:pPr>
        <w:spacing w:after="0" w:line="9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result of the conditions in the U.S. and Europe, we experience competition in our core trading activities such as execution services, quoting and trading capabilities, and reporting services. Many of our competitors have engaged in aggressive price competition by reducing the trade execution transaction fees they charge their customers. As a result of this competition, we significantly reduced the trade execution transaction fees we charge our customers in the past, particularly our large-volume customers. We periodically reexamine our pricing structure to ensure that our fees remain competitive.</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principal competitors for trading options in the U.S. include the Chicago Board Options Exchange, or CBOE, the International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ISE, NYSE ARCA, NYSE Amex and the Boston Options Exchange, or BOX. Competition is focused on providing market participants with greater functionality, trading system stability, customer service, efficient pricing, and speed of execution. NASDAQ OMX operates two options exchanges with different market structures. NASDAQ OMX PHLX operates a pro-rata hybrid electronic and floor based exchange and competes most directly with CBOE, ISE, NYSE Arca and NYSE Amex. The NASDAQ Options Market operates a price/time priority exchange and competes most directly with NYSE ARCA and BOX. Both BATS and the CBOE launched new options exchanges in 2010, with BATS being somewhat similar to The NASDAQ Options Market. The further intensifying of competition for exchange traded options means that we must continuously review our technology and pricing.</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MiFID does not address competition between derivatives markets to the extent that it addresses cash equities trading and consequently has been slower to affect competition in trading derivative securities. Exchange based competition for trading in European derivatives continues to occur mainly where there is competition in trading for the underlying equities and our competition for options on European equities is primarily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EUREX Group, or EUREX, NYSE Liffe, EDX London Limited, or EDX, and, to a limited extent, the U.S. options exchanges. Such competition is limited to options on a small number of equity securities although these securities tend to be among the most active. In addition to exchange based competition in derivatives, we continue to face competition from OTC derivative markets.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trading in Europe evolves under the current review of the original MiFID legislation, competition for trading volumes in derivatives will likely increase.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current and potential competition require us to constantly reassess our pricing and product offerings in order to remain competitive.</w:t>
      </w:r>
    </w:p>
    <w:p>
      <w:pPr>
        <w:spacing w:after="0" w:line="15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Clearing. </w:t>
      </w:r>
      <w:r>
        <w:rPr>
          <w:rFonts w:ascii="Arial" w:cs="Arial" w:eastAsia="Arial" w:hAnsi="Arial"/>
          <w:sz w:val="15"/>
          <w:szCs w:val="15"/>
          <w:color w:val="auto"/>
        </w:rPr>
        <w:t>In both the U.S. and Europe, cash equity clearing has been organized along national lines. Typically, a single clearinghouse would serve</w:t>
      </w:r>
      <w:r>
        <w:rPr>
          <w:rFonts w:ascii="Arial" w:cs="Arial" w:eastAsia="Arial" w:hAnsi="Arial"/>
          <w:sz w:val="15"/>
          <w:szCs w:val="15"/>
          <w:i w:val="1"/>
          <w:iCs w:val="1"/>
          <w:color w:val="auto"/>
        </w:rPr>
        <w:t xml:space="preserve"> </w:t>
      </w:r>
      <w:r>
        <w:rPr>
          <w:rFonts w:ascii="Arial" w:cs="Arial" w:eastAsia="Arial" w:hAnsi="Arial"/>
          <w:sz w:val="15"/>
          <w:szCs w:val="15"/>
          <w:color w:val="auto"/>
        </w:rPr>
        <w:t>essentially all cash equity trading involving securities listed on exchanges within a nation’s borders. Some countries, such as Sweden, did not have a clearinghouse until 2009. In some countries, such as the U.S., the clearinghouse is part of the same organization as the central securities depository. In some, such as Germany, the clearinghouse and the stock exchange are part of the same corporate structure, and in others, such as the U.K., the clearinghouse, exchange, and central securities depository are separate. Furthermore, there is a much shorter history of using CCP services in European clearing than in the U.S.</w:t>
      </w:r>
    </w:p>
    <w:p>
      <w:pPr>
        <w:spacing w:after="0" w:line="8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this time, competition in clearing in Europe remains limited with a few new non-national clearinghouses such as EMCF, X-Clear and EuroCCP serving non-national multilateral trading facilities or offering alternative clearing facilities for trades executed on incumbent exchanges. However, competition is altering the clearing business in Europe in response to the European Code of Conduct in Clearing and Settlement. Even as a 22% equity owner of EMCF, one of the largest cash equities clearinghouses in Europe, we support interoperability of cash equities clearinghouses, which will foster a healthy competition among cash equities clearinghouses in Europe.</w:t>
      </w:r>
    </w:p>
    <w:p>
      <w:pPr>
        <w:spacing w:after="0" w:line="12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the U.S., competition in equity clearing has been legislatively called for since 1975 but only recently have technological advances made competitive clearing in the U.S. a viable possibility. Should clearing competition become a vibrant reality in the U.S., it may have an impact on equity trading and on our business as clearing is a non-trivial cost of trade execution.</w:t>
      </w:r>
    </w:p>
    <w:p>
      <w:pPr>
        <w:spacing w:after="0" w:line="12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 xml:space="preserve">Market data services. </w:t>
      </w:r>
      <w:r>
        <w:rPr>
          <w:rFonts w:ascii="Arial" w:cs="Arial" w:eastAsia="Arial" w:hAnsi="Arial"/>
          <w:sz w:val="18"/>
          <w:szCs w:val="18"/>
          <w:color w:val="auto"/>
        </w:rPr>
        <w:t>The market data business in the U.S. includes both consolidated and proprietary data products. Consolidated data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by SEC-mandated consolidators (one for NASDAQ-listed stocks and another for NYSE and other-listed stocks) that share the revenue among the exchanges that contribute data. Proprietary data products are made up exclusively of data derived from each exchange’s systems. In Europe, all market data products are proprietary as there is no official data consolidator.</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revenues from the sale of consolidated market data products and services are under competitive threat from other securities exchanges that trade NASDAQ-listed securities. Current SEC regulations permit these regional exchanges and FINRA’s Alternative Display Facility to quote and trade NASDAQ-listed securities. Trade reporting facilities regulated by FINRA are also operated by The NASDAQ Stock Market and other exchanges.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Amex-listed securities for those respective tape plans.</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Participants in the tape plans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Stock Market. We continuously evaluate and refine both programs. To remain competitive, in July 2006 and in January 2008, we changed the terms of the program and established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new Nasdaq Data Revenue Sharing Program. In December 2010, we again changed the terms of the program which were effective January 2011. We may adjust either program in the future to respond to competitive pressures.</w:t>
      </w:r>
    </w:p>
    <w:p>
      <w:pPr>
        <w:spacing w:after="0" w:line="11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sale of our proprietary data products in both the U.S. and Europe is under competitive threat from alternative exchanges and trading venues that offer similar products, sometimes at a lower price or free of charge.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typically price their market data very aggressively in order to grow transactions volume, thereby limiting our flexibility in pricing market data. Any action by a market participant to provide information to another exchange or market data vendor could have a negative impact on our data products. The market data business must also adapt to rapidly changing information delivery technologies and constantly invest in innovative product design and development. Other market data providers may not face the regulatory obligations we face and may consequently be more flexible in pricing and more agile in deploying new products and business methods to our detriment. The growth of the number of proprietary data feeds offered by NASDAQ OMX and other exchanges has also increased the reluctance of some data vendors to add new feeds to their product offerings which further complicates exchanges’ efforts to expand their market data offerings.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 xml:space="preserve">Listings. </w:t>
      </w:r>
      <w:r>
        <w:rPr>
          <w:rFonts w:ascii="Arial" w:cs="Arial" w:eastAsia="Arial" w:hAnsi="Arial"/>
          <w:sz w:val="16"/>
          <w:szCs w:val="16"/>
          <w:color w:val="auto"/>
        </w:rPr>
        <w:t>Our primary competitor for larger company listings in the U.S. is the NYSE. The NASDAQ Stock Market also competes with NYSE Amex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of smaller companies. In early 2012, BATS announced its first primary listings, and DirectEdge has announced its intention to compete for listings in the future. The NASDAQ Stock Market also competes with local and overseas markets for listings by companies that choose to list outside of their home country.</w:t>
      </w:r>
    </w:p>
    <w:p>
      <w:pPr>
        <w:spacing w:after="0" w:line="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listings business in Europe is characterized by the large number of exchanges competing for new or secondary listings. Each country has one or more national exchanges that are often the first choice of companies in the respective countries. For those considering an alternative, the European exchanges that attract the most overseas listings are LSE, NYSE Euronext, Deutsche Börse and the exchanges that comprise NASDAQ OMX Nordic. In addition to the larger exchanges, companies are able to consider smaller markets and quoting facilities, such as LSE’s Alternative Investment Market, Euronext’s Alternext, Deutsche Börse’s Entry Standard, Borsa Italiana’s Expandi Market, PLUS Markets plc, the Pink Sheets LLC and the Over-the-Counter Bulletin Board, or OTCBB. Other exchanges in Sweden include the Nordic Growth Market and Aktietorget, which primarily serve companies with small market capitalizations.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Indexes. </w:t>
      </w:r>
      <w:r>
        <w:rPr>
          <w:rFonts w:ascii="Arial" w:cs="Arial" w:eastAsia="Arial" w:hAnsi="Arial"/>
          <w:sz w:val="16"/>
          <w:szCs w:val="16"/>
          <w:color w:val="auto"/>
        </w:rPr>
        <w:t>The NASDAQ Stock Market is subject to intense competition for the listing of financial products from other exchanges. The indexes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are based face competition from indexes created by a large number of index providers. For 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 Technology. </w:t>
      </w:r>
      <w:r>
        <w:rPr>
          <w:rFonts w:ascii="Arial" w:cs="Arial" w:eastAsia="Arial" w:hAnsi="Arial"/>
          <w:sz w:val="16"/>
          <w:szCs w:val="16"/>
          <w:color w:val="auto"/>
        </w:rPr>
        <w:t>The traditional model, where each exchange or exchange-related business developed its own technology internally sometimes aided by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is evolving as many operators recognize the enormous cost savings made possible by buying technology already developed. Two types of competitors are emerging: other exchanges providing solutions, including NYSE Euronext and LSE, and pure technology providers focused on the exchange industry. These organizations offer a range of off-the-shelf technology including trading, clearing, settlement, depository and information dissemination. They also offer customization and operation expertise. NASDAQ OMX provides technology to over 70 exchanges, clearing organizations and central securities depositories worldwide and provides compliance services through its subsidiary SMARTS.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extensive regulation in the United States and Europe.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77"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U.S. federal securities laws establish a two-tiered system for the regulation of securities markets, market participants and listed companies. The SEC occupies the first tier and has primary responsibility for enforcing the federal securities laws. Self-Regulatory Organizations, or SROs, which are non-governmental organizations, occupy the second tier. SROs,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7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8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These rules and regulations are not focused on the protection of our stockholders, although we believe that regulation improves the quality of exchanges and, therefore, our company. U.S. federal securities laws and the rules that govern our operations are subject to frequent change.</w:t>
      </w:r>
    </w:p>
    <w:p>
      <w:pPr>
        <w:spacing w:after="0" w:line="7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Regulation of U.S. Exchanges. </w:t>
      </w:r>
      <w:r>
        <w:rPr>
          <w:rFonts w:ascii="Arial" w:cs="Arial" w:eastAsia="Arial" w:hAnsi="Arial"/>
          <w:sz w:val="16"/>
          <w:szCs w:val="16"/>
          <w:color w:val="auto"/>
        </w:rPr>
        <w:t>SROs in the securities industry are an essential component of the regulatory scheme of the Securities Exchange Act of 1934,</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With the registration of The NASDAQ Stock Market as a national securities exchange in 2006, we received our own SRO status through our exchange subsidiary, separate from that of FINRA. With the acquisitions of the Philadelphia Stock Exchange and the Boston Stock Exchange, we acquired additional SRO licenses. As SROs, each entity has separate rules pertaining to its broker-dealer members and listed companies. Broker-dealers that choose to become members of The NASDAQ Stock Market, NASDAQ OMX PHLX, and/or NASDAQ OMX BX are subject to the rules of those exchanges. Broker-dealers may also choose other SRO memberships, including membership in FINRA.</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are also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because of settlements with the SEC. To the extent such actions or reviews and inspections result in regulatory or other changes, we may be required to modify the manner in which we conduct our business, which may adversely affect our business.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the proposal for public comment, following which the SEC may approve or disapprove the proposal, as it deems appropriate. The SEC’s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action is designed to ensure that applicable SRO rules and procedures are consistent with the aims of the Exchange Act and its rules and regulations. In addition, pursuant to the requirements of the Exchange Act, our exchanges must file all proposals to change their pricing structure with the SEC.</w:t>
      </w:r>
    </w:p>
    <w:p>
      <w:pPr>
        <w:spacing w:after="0" w:line="7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NASDAQ OMX currently operates three cash equities and two options markets in the United States. We operate The NASDAQ Stock Market and The NASDAQ Options Market pursuant to The NASDAQ Stock Market’s SRO license; the NASDAQ OMX BX cash equities market pursuant to the NASDAQ OMX BX SRO license; and the NASDAQ OMX PSX cash equities market and the NASDAQ OMX PHLX options market pursuant to the NASDAQ OMX PHLX SRO license. In addition, NASDAQ OMX BX regulates the BOX Market, pursuant to a regulatory services agreement between a subsidiary of NASDAQ OMX BX and BOX. NASDAQ OMX does not have an ownership interest in BOX, and BOX compensates NASDAQ OMX BX based on the cost of the regulatory services provided to BOX. Under the terms of the regulatory services agreement, NASDAQ OMX BX’s services for the BOX Market will terminate for trades occurring after the earlier to occur of BOX’s registration as a national securities exchange, whereupon BOX will become its own SRO, or May 31, 2012. NASDAQ OMX BX will continue to provide regulatory services for trades occurring prior to the termination date until all regulatory matters related to these trades have been resolved.</w:t>
      </w:r>
    </w:p>
    <w:p>
      <w:pPr>
        <w:spacing w:after="0" w:line="10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FINRA provides regulatory services to the markets operated or regulated by The NASDAQ Stock Market, NASDAQ OMX PHLX and NASDAQ OMX BX, including the regulation of trading activity and surveillance and investigative functions. We have a limited direct regulatory role in conducting real-time market monitoring, certain options surveillance, rulemaking and some membership functions through our MarketWatch department. We refer suspicious trading behavior discovered by our regulatory staff and all other employees of the markets operated or regulated by The NASDAQ Stock Market, NASDAQ OMX PHLX and NASDAQ OMX BX to FINRA for further investigation.</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Broker-dealer regulation. </w:t>
      </w:r>
      <w:r>
        <w:rPr>
          <w:rFonts w:ascii="Arial" w:cs="Arial" w:eastAsia="Arial" w:hAnsi="Arial"/>
          <w:sz w:val="18"/>
          <w:szCs w:val="18"/>
          <w:color w:val="auto"/>
        </w:rPr>
        <w:t>NASDAQ OMX’s broker-dealer subsidiaries are subject to regulation by the SEC, the SROs and the various state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Nasdaq Execution Services, LLC currently operates as our routing broker for sending orders from The Nasdaq Stock Market, NASDAQ OMX BX and NASDAQ OMX PSX to other venues for execution. NASDAQ Options Services, LLC performs a comparable function with respect to routing of orders from The NASDAQ Options Market and NASDAQ OMX PHLX.</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NASDAQ Stock Market, NASDAQ OMX BX, NASDAQ OMX PHLX, BATS-Y Exchange, BATS-Z Exchange, CBOE, Chicago Stock Exchange, EDGA Exchange, EDGX Exchange, FINRA, National Stock Exchange, NYSE, NYSE Amex and NYSE Arca.</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NASDAQ Options Services is registered as a broker-dealer with the SEC and in all 50 states, the District of Columbia and Puerto Rico. It is also a member of The NASDAQ Stock Market, NASDAQ OMX PHLX, BATS-Z Exchange, BOX, CBOE, C2 Options Exchange, FINRA, ISE, NFA, NYSE Amex and NYSE Arca.</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both Nasdaq Execution Services and NASDAQ Options Services.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were in compliance with all of such capital requirements.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Regulatory contractual relationships with FINRA. </w:t>
      </w:r>
      <w:r>
        <w:rPr>
          <w:rFonts w:ascii="Arial" w:cs="Arial" w:eastAsia="Arial" w:hAnsi="Arial"/>
          <w:sz w:val="16"/>
          <w:szCs w:val="16"/>
          <w:color w:val="auto"/>
        </w:rPr>
        <w:t>The NASDAQ Stock Market, NASDAQ OMX PHLX, NASDAQ OMX PSX and NASDAQ OMX BX</w:t>
      </w:r>
      <w:r>
        <w:rPr>
          <w:rFonts w:ascii="Arial" w:cs="Arial" w:eastAsia="Arial" w:hAnsi="Arial"/>
          <w:sz w:val="16"/>
          <w:szCs w:val="16"/>
          <w:i w:val="1"/>
          <w:iCs w:val="1"/>
          <w:color w:val="auto"/>
        </w:rPr>
        <w:t xml:space="preserve"> </w:t>
      </w:r>
      <w:r>
        <w:rPr>
          <w:rFonts w:ascii="Arial" w:cs="Arial" w:eastAsia="Arial" w:hAnsi="Arial"/>
          <w:sz w:val="16"/>
          <w:szCs w:val="16"/>
          <w:color w:val="auto"/>
        </w:rPr>
        <w:t>have signed a series of regulatory service agreements covering the services FINRA provides to the respective SROs, including some of the regulatory services we perform for BOX.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have entered into a joint agreement with the other options exchanges for conducting insider trading surveillance. Our SROs continue to monitor the activities conducted under the agreement and continue to have regulatory responsibility in this area.</w:t>
      </w:r>
    </w:p>
    <w:p>
      <w:pPr>
        <w:spacing w:after="0" w:line="10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we are relieved of regulatory responsibility:</w:t>
      </w:r>
    </w:p>
    <w:p>
      <w:pPr>
        <w:spacing w:after="0" w:line="46" w:lineRule="exact"/>
        <w:rPr>
          <w:sz w:val="20"/>
          <w:szCs w:val="20"/>
          <w:color w:val="auto"/>
        </w:rPr>
      </w:pPr>
    </w:p>
    <w:p>
      <w:pPr>
        <w:ind w:left="780" w:right="2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The NASDAQ Stock Market, NASDAQ OMX BX and the members of these exchanges;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industry agreements with FINRA covering responsibility for enforcement of insider trading rules;</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industry agreement with FINRA covering enforcement of rules related to cash equity sales practices and certain other non-market related rules;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18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Regulation NMS and Options Intermarket Linkage Plan. </w:t>
      </w:r>
      <w:r>
        <w:rPr>
          <w:rFonts w:ascii="Arial" w:cs="Arial" w:eastAsia="Arial" w:hAnsi="Arial"/>
          <w:sz w:val="16"/>
          <w:szCs w:val="16"/>
          <w:color w:val="auto"/>
        </w:rPr>
        <w:t>We are subject to Regulation NMS for our cash equities markets, and our options markets have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With the acquisition of PHLX, we also acquired its subsidiary, NFX (formerly the Philadelphia Board of Trade), a designated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under the Commodity Exchange Act. As a designated contract market, NFX is subject to regulatory oversight by the CFTC, an independent agency with the mandate to regulate commodity futures and option markets in the U.S. NFX currently lists futures contracts on foreign currencies and gold. The National Futures Association, or NFA, provides certain regulatory services to NFX pursuant to a Regulatory Services Agreement. The CFTC also regulates IDCH, a derivatives clearing organization under the Commodity Exchange Act that is wholly owned by IDCG. IDCH clears interest rate swap contracts that are traded in the OTC market or will be traded on swap execution facilities. NFA also provides regulatory services to IDCH.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Energy Commodity Regulation. </w:t>
      </w:r>
      <w:r>
        <w:rPr>
          <w:rFonts w:ascii="Arial" w:cs="Arial" w:eastAsia="Arial" w:hAnsi="Arial"/>
          <w:sz w:val="18"/>
          <w:szCs w:val="18"/>
          <w:color w:val="auto"/>
        </w:rPr>
        <w:t>Our subsidiary NOCC is regulated as a power marketer by the Federal Energy Regulatory Commission (for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every state but Texas) and the Public Utility Commission of Texas (for transactions in Texas).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Regulation of our markets in the European Union focuses on issues relating to financial services, listing and trading of securities and market abuse. Currently, there are new regulatory proposals relating to CCP services and OTC derivatives transactions. As the regulatory environment continues to change and related opportunities arise, we intend to use our position in the industry to continue product development, and ensure that the exchanges and clearinghouses that comprise NASDAQ OMX Nordic and NASDAQ OMX Baltic maintain favorable liquidity and offer efficient trading.</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Confidence in capital markets is paramount for trading to function properly. NASDAQ OMX Nordic carries out market regulation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Iceland, the surveillance activities are carried out by specially appointed persons. In addition, there are special personnel who carry out surveillance activities at each of the three Baltic exchanges. There are three surveillance committees at NASDAQ OMX Nordic, one at each NASDAQ OMX Nordic exchange in Sweden, Finland and Denmark. These committees have an advisory role in relation to surveillance matters. In Sweden and Finland, decisions to list new companies are made by the listing committees of the exchanges. In Denmark and Iceland, listing decisions are made by the President of the exchange, a duty delegated by the board of NASDAQ OMX Copenhagen and NASDAQ OMX Iceland, respectively.</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99"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 In Sweden, general supervision of the exchange market operated by NASDAQ OMX Stockholm is carried out by the SFSA, while NASDAQ OMX Stockholm’s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 Stockholm’s exchange and clearing activities are regulated primarily by the Swedish Securities Markets Act 2007:528, or SSMA, which sets up basic requirements regarding the board of the exchange or clearinghouse and its share capital, and which also outlines the conditions on which exchange and clearing licenses are issued. The SSMA also provides that any changes to the exchange’s articles of association following initial registration must be approved by the SFSA.</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information concerning trading and that the general public must be given the opportunity to access this information). Additionally, the exchange operator must identify and manage the risks which may arise in its operations, use secure technical systems and identify and handle the conflicts of interest which may arise between the exchange or its owners’ interests and the interest in safeguarding effective risk management and secure technical systems. Similar requirements are set up by the SSMA in relation to clearing operations.</w:t>
      </w:r>
    </w:p>
    <w:p>
      <w:pPr>
        <w:spacing w:after="0" w:line="13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Norway, Denmark and Finland, which looks to safeguard effective and comprehensive supervision of the exchanges comprising NASDAQ OMX Nordic and the systems operated by it, and to ensure a common supervisory approach.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December 31, 2011, NASDAQ OMX had 2,433 employees, including staff employed at consolidated entities where we have a controlling financial interest. Of the total employees, 1,132 were based in the U.S. and 1,301 were based outside of the U.S. None of our U.S. employees is subject to collective bargaining agreements or is represented by a union. Approximately 103 employees based in Denmark and Finland are covered by local union agreements.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click on “Financial Information,” and then click on “SEC Filings.”</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use our website, www.nasdaqomx.com, as a means of disclosing material non-public information and for complying with disclosure obligations under Regulation FD.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face intense competition from other exchanges and markets for market share of trading activity and listings. In addition, our market data, global index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the markets for the products we offer, thereby adversely affecting our operating results.</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United States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exchanges.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05"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We also compete globally with other regulated exchanges and markets, ATSs, MTFs and other traditional and non-traditional execution venues. Some of these competitors also are our customers. Our exchange competitors include NYSE Euronext, the London Stock Exchange, Deutsche Börse, the Tokyo Stock Exchange, and a number of other exchanges in the U.S. and around the world. These exchanges offer a range of services comparable to those offered by our exchanges and generally compete with us in providing trade executions, trade reporting, market data, listings, regulation, index, and technology services. Public ATSs in the U.S. and MTFs in Europe are broker-dealer operated systems that offer trade execution services, typically at very low cost. Our competitors include Burgundy MTF in the Nordics. In London, two MTFs operated by BATS (Chi-X and BATS) and the Turquoise MTF operated by the LSE offer pan-European execution services in competition with our Nordic exchanges. Other competing execution venues include broker-dealer owned systems such as dark-pools and internalization engines which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9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Competitors may develop market trading platforms that are more competitive than ours. Competitors may enter into strategic partnerships, mergers or acquisitions that could make their trading, listings or data businesses more competitive than ours. If we are unable to compete successfully in this environment, our business, financial condition and operating results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securities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market data and with respect to products for pre-trade book data and for post-trade last sale data. In the future, our competitors may offer rebates for quotes and trades on their systems. If we are unable to compete successfully in respect to the pricing of our services and products, our business, financial condition and operating results may be adversely affected.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market factors, which are beyond our control, may adversely affect our business and financial condition.</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business performance is impacted by a number of factors including general economic conditions in both the U.S. and Europe, market volatility, and other factors that are generally beyond our control. Although access to credit markets has improved recently in the U.S., a long-term continuation of challenging economic conditions, or a worsening situation in Europe, is likely to negatively impact our business.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market data, indexes and market technology. Market volatility such as that seen with the “flash crash” on May 6, 2010 or during the macroeconomic uncertainty of August 2011 could drive investors away from cash equity markets. Trading volume is driven primarily by general market conditions and declines in trading volume may affect our market share and impact our pricing.</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Market data revenues also may be significantly affected by global economic conditions. Professional subscriptions to our market data are at risk if staff reductions occur in financial services companies, which could result in significant reductions in our market data professional user revenue. In addition, adverse market conditions may cause reductions in the number of non-professional investors with investments in the market.</w:t>
      </w:r>
    </w:p>
    <w:p>
      <w:pPr>
        <w:spacing w:after="0" w:line="9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reduction in trading volumes, market share of trading, the number of our listed companies and a decline in market data revenue due to economic conditions or other market factors could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trading and clearing volume will decrease our trading and clearing revenues.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Trading and clearing volumes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across our markets have fluctuated significantly depending on market conditions and other factors beyond our control. Current initiatives being considered by regulators and governments, such as restrictions on algorithmic (high-frequency) trading, could have a material adverse effect on overall trading and clearing volumes. Because a significant percentage of our revenues is tied directly to the volume of securities traded and cleared on our markets, it is likely that a general decline in trading and clearing volumes would lower revenues and may adversely affect our operating results if we are unable to offset falling volumes through our pricing. Declines in trading and clearing volumes may also impact our market share or pricing structures and adversely affect our business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of trading has declined and may continue to decline.</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matched market share in NASDAQ-listed securities executed on NASDAQ declined from 46.1% in 2007 to 27.7% in 2011 and our combined matched market share in all U.S.-listed securities executed on all of our platforms declined from 29.1% in 2007 to 21.2% in 2011. In addition, as a result of the adoption of MiFID, a number of MTFs have launched, thereby significantly increasing competition in Europe. As a result, our matched market share in securities listed on our exchanges comprising NASDAQ OMX Nordic and NASDAQ OMX Baltic has declined from 100% in 2007 to 71.9% in 2011.</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our total market share in these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NASDAQ’s share of tape pool revenues under the consolidated data plans, thereby reducing the revenues of our market data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could have an adverse effect on our revenues.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market for initial public offerings is dependent on the prosperity of companies and the availability of risk capital, both of which have been severely tested in recent years.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role in the global marketplace may place us at greater risk for a cyber attack or other security incidents.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 In February 2011, we announced that, through our normal security monitoring systems, we detected suspicious files on our U.S. servers. The files were immediately removed and at this point there is no evidence that any customer information was accessed or acquired by third parties.</w:t>
      </w:r>
    </w:p>
    <w:p>
      <w:pPr>
        <w:spacing w:after="0" w:line="10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 incur significant liabilities or otherwise have a negative impact on our business, financial condition and operating results. We also could incur significant expense in addressing any of these problems and in addressing related data security and privacy concerns.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could harm our business.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businesses depend on the integrity and performance of the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trade outages, lower trading volumes, financial losses, decreased customer service and satisfaction and regulatory sanctions. Our markets have experienced occasional systems failures and delays in the past and could experience future systems failures and delays.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3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Regulatory changes and changes in market structure, especially in response to adverse financial conditions, could have a material adverse effect on our business.</w:t>
      </w:r>
    </w:p>
    <w:p>
      <w:pPr>
        <w:spacing w:after="0" w:line="3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recent years, the securities trading industry and, in particular, the securities markets have been subject to significant regulatory changes. Moreover, the securities markets have been the subject of increasing governmental and public scrutiny in response to the global economic crisis and market volatility.</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July 21, 2010, the President signed into law the Dodd-Frank Wall Street Reform and Consumer Protection Act, a comprehensive banking and financial services reform package. Full implementation of this law will require extensive rulemaking by the SEC, the CFTC, SROs and other regulators. In light of the uncertainty of the final implementation of this law, there is a risk that the final regulations could include provisions that could impact our business. In addition, market participants may change their behavior in response to this law and the expected regulations.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2011, the SEC implemented a new short sale restriction that triggers when a security declines 10% from its previous close. In August 2011, the SEC expanded its existing single stock trading pause to include all Regulation NMS securities. These regulations stem from the 2010 SEC concept release on market structure issues, as well as the events of the May 6, 2010 “flash crash.” Any potential rules concerning trading halts during volatile markets, market access, algorithmic (high-frequency) trading, alternative trading systems (such as dark pools), and other market structure issues could change the competitive landscape and have a material impact on our business.</w:t>
      </w:r>
    </w:p>
    <w:p>
      <w:pPr>
        <w:spacing w:after="0" w:line="129"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During the coming year, it is likely that there will be additional changes in the regulatory environment in which we operate our businesses, although we cannot predict the nature of these changes or their impact on our business at this time. The European Parliament has begun a review of MiFID that could affect our operations in Europe. In addition, actions on any of the specific regulatory issues currently under review in the U.S. and Europe such as short selling, co-location, algorithmic (high-frequency) trading, market halts, the market data business, derivatives clearing, market transparency, taxes on stock transactions, restrictions on proprietary trading by certain of our customers and other related proposals could have a material impact on our business.</w:t>
      </w:r>
    </w:p>
    <w:p>
      <w:pPr>
        <w:spacing w:after="0" w:line="10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market participants also operate in a highly regulated industry. The SEC, the SFSA and other regulatory authorities could impose regulatory changes that could adversely impact the ability of our market participants to use our markets. Regulatory changes by the SEC, the SFSA or other regulatory authorities could result in the loss of a significant number of market participants or a reduction in trading activity on our markets.</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facilities,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9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Should we need to raise funds through issuing additional equity, our equity holders will suffer dilution. Should we need to raise funds through incurring additional debt, we may become subject to covenants even more restrictive than those contained in our existing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credit facilities and our 5.25% senior notes due 2018 fluctuates based on our credit ratings.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up with rapid technological and other competitive changes affecting our industry.</w:t>
      </w:r>
    </w:p>
    <w:p>
      <w:pPr>
        <w:spacing w:after="0" w:line="7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adoption of new services and products and changing customer demands. If our platforms fail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Further, our failure to anticipate or respond adequately to changes in technology and customer preferences, especially in our market technology business,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name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the security of our data and systems;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103"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extreme price volatility on our markets, such as that seen with the “flash crash” on May 6,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misconduct, fraudulent activity or theft by our employees or other persons formerly or currently associated with us.</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services industry is risky and unpredictable and is directly affected by many national and international factors beyond our control, including:</w:t>
      </w:r>
    </w:p>
    <w:p>
      <w:pPr>
        <w:spacing w:after="0" w:line="10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legislative and regulatory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perceived attractiveness of the U.S. or European capital markets;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clear or stand as riskless principal to a range of equity-related and fixed-income-related derivative products, energy-related commodity products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customers are financial institutions whose ability to satisfy their contractual obligations may be impacted by volatile securities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3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connection with recent acquisitions and share repurchases in 2010, we incurred a significant amount of indebtedness. Our indebtedness as of December 31, 2011 was approximately $2.1 billion. We also may borrow up to an additional $524 million under a revolver that is part of our credit facilities.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could:</w:t>
      </w:r>
    </w:p>
    <w:p>
      <w:pPr>
        <w:spacing w:after="0" w:line="77" w:lineRule="exact"/>
        <w:rPr>
          <w:sz w:val="20"/>
          <w:szCs w:val="20"/>
          <w:color w:val="auto"/>
        </w:rPr>
      </w:pPr>
    </w:p>
    <w:p>
      <w:pPr>
        <w:ind w:left="780" w:right="44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intangible asset or other long-lived asset impairment charges in the future.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business acquisitions typically result in the recording of goodwill and intangible assets, and the recorded values of those assets may become impaired in the future. As of December 31, 2011, goodwill totaled approximately $5.1 billion and intangible assets, net of accumulated amortization, totaled approximately $1.6 billion. The determination of the value of such goodwill and intangible assets requires management to make estimates and assumptions that affect our consolidated financial statements.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assess goodwill and intangible assets as well as other long-lived assets, including equity method investments, property and equipment and other assets for impairment by applying a fair value based test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analyzing historical performance, capital requirements and projected cash flows on an annual basis or more frequently if indicators of impairment arise. Considerable management judgment is necessary to evaluate the impact of operating and macroeconomic changes and to estimate cash flows. Although there are inherent uncertainties in this assessment process, the estimates and assumptions we use are consistent with our internal planning. There was no impairment of goodwill for the years ended December 31, 2011, 2010 and 2009. However, disruptions to our business, such as economic weakness and unexpected significant declines in operating results, may result in an impairment charge related to our goodwill, intangible assets or other long-lived assets in the future. A significant impairment charge in the future could have a material adverse effect on our operating results.</w:t>
      </w:r>
    </w:p>
    <w:p>
      <w:pPr>
        <w:spacing w:after="0" w:line="107"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is subject to extensive regulation. Under current U.S. federal securities laws, changes in the rules and operations of our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addition, our registered broker-dealer subsidiaries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13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non-U.S. business is subject to regulatory oversight in all the countries in which we operate regulated businesses, such as exchanges or central securities depositories. The countries in which we currently operate or share ownership in regulated businesses include Sweden, Finland, Denmark, Iceland, Estonia, Lithuania, Latvia, Norway, Armenia, Switzerland,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we hold interests in other regulated entities, and certain of our customers operate in a highly regulated industry. Regulatory authorities with jurisdiction over our non-U.S. entities could impose regulatory changes that could impact the ability of our customers to use our European exchanges. The loss of a significant number of customers or a reduction in trading activity on any of our European exchanges as a result of such changes could have a material adverse effect on our business, financial condition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potential securities law liability and other liability.</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Many aspects of our business potentially involve substantial liability risks. Although we are immune from private suits for self-regulatory organization activities, this immunity only covers certain of our activities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U.S., and we could be exposed to liability under national and local laws, court decisions and rules and regulations promulgated by regulatory agencies.</w:t>
      </w:r>
    </w:p>
    <w:p>
      <w:pPr>
        <w:spacing w:after="0" w:line="18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the U.S., we are subject to oversight by the SEC, and our subsidiaries NFX and IDCH are subject to oversight by the CFTC. Our subsidiary NOCC is regulated as a power marketer by the Federal Energy Regulatory Commission (for transactions in every state but Texas) and the Public Utility Commission of Texas (for transactions in Texas). In the case of non-compliance with our obligations under the securities, commodities or other laws, we could be subject to investigation and judicial or administrative proceedings that may result in substantial penalties.</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non-U.S. business is regulated both at the national level in several countries and at the European Union level. Implementation and application of these regulations may be undertaken by one or more regulatory authorities, which may challenge compliance with one or more aspects of such regulations. If a regulatory authority makes a finding of non-compliance, conditional fines can be imposed and our licenses can be revoked.</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losses that would affect our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77"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our U.S. cash equities and options exchanges outsource the majority of their market regulation functions to FINRA, we do perform regulatory functions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exchanges comprising NASDAQ OMX Nordic and NASDAQ OMX Baltic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highly dependent on the continued services of Robert Greifeld, our Chief Executive Officer and President, and other senior officers and key employees who possess extensive financial markets knowledge and technology skills. We do not have employment agreements with some of these key senior officers. We do not maintain “key person” life insurance policies on any of our senior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perform certain functions, and our business could be adversely affected if these third parties fail to perform as expected.</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rely on members of our trading community to maintain markets and add liquidity. To the extent that any of our largest members experiences difficulties, materially changes their business relationship with us or is unable for any reason to perform market making activities, our business or our reputation may be materially adversely affected.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holding company with no direct operating businesses other than the equity interests of our subsidiaries. We require dividends and other payments from our subsidiaries to meet cash requirements.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Future acquisitions, investments, partnerships and joint ventures may require significant resources and/or result in significant unanticipated losses, costs or liabilities.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future acquisitions of businesses or facilities could entail a number of additional risks, including:</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acquired businesses, which may result in an inability to realize the anticipated benefits of our acquisitions.</w:t>
      </w:r>
    </w:p>
    <w:p>
      <w:pPr>
        <w:spacing w:after="0" w:line="1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must rationalize, coordinate and integrate the operations of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46" w:lineRule="exact"/>
        <w:rPr>
          <w:sz w:val="20"/>
          <w:szCs w:val="20"/>
          <w:color w:val="auto"/>
        </w:rPr>
      </w:pPr>
    </w:p>
    <w:p>
      <w:pPr>
        <w:ind w:left="780" w:right="6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complying with government-imposed regulations in the U.S. and abroad, which may be conflicting;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operating acquired businesses in parallel with similar businesses that we operated previously;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operating businesses we have not operated before;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difficulty of integrating multiple acquired businesses simultaneously;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Any actual cost savings and synergies may be lower than we expect and may take a longer time to achieve than we anticipate, and we may fail to realize the anticipated benefits of acquisitions.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operations of our non-U.S. business are subject to the risk inherent in international operations, including but not limited to, risks with respect to operating in Iceland, the Baltics, Central and Eastern Europe, the Middle East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invested substantial capital in system platforms, and a failure to successfully implement such systems could adversely affect our business.</w:t>
      </w:r>
    </w:p>
    <w:p>
      <w:pPr>
        <w:spacing w:after="0" w:line="10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operations in several countries, we are exposed to currency risk.</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operations in the U.S., the Nordic and Baltic countries, Australia and many other foreign countries. We therefore have significant exposure to exchange rate movements between the Euro, Swedish Krona, Danish Krone, Norwegian Krone, British Pound Sterling, Australian Dollar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risk management methods are not effective, our business, reputation and financial results may be adversely affected.</w:t>
      </w:r>
    </w:p>
    <w:p>
      <w:pPr>
        <w:spacing w:after="0" w:line="77"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We have methods to identify, monitor and manage our risks, including oversight of risk management by NASDAQ OMX’s Risk Committee, which is comprised of employees of NASDAQ OMX. However, these methods may not be fully effective. Some of our risk management methods may 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1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intangibles, and based on their fair values as of the date of completion of the acquisitions, recording the excess of the purchase price over those fair values as goodwill. Our financial results, including earnings per share, or EPS, could be adversely affected by a number of financial adjustments required by U.S. GAAP including the following:</w:t>
      </w:r>
    </w:p>
    <w:p>
      <w:pPr>
        <w:spacing w:after="0" w:line="18" w:lineRule="exact"/>
        <w:rPr>
          <w:sz w:val="20"/>
          <w:szCs w:val="20"/>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incur additional amortization expense over the estimated useful lives of certain of the intangible assets acquired in connection with acquisitions during such estimated useful lives;</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incur certain adjustments to reflect the financial condition and operating results under U.S. GAAP and U.S. dollars.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4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in the credit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2011, there were 173,552,939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number of freely transferable shares of our common stock will increase upon any exercise of outstanding options pursuant to our stock compensation and stock award plan for our employees. There were 5.8 million options exercisable as of December 31, 2011 at a weighted average exercise price of $15.02.</w:t>
      </w:r>
    </w:p>
    <w:p>
      <w:pPr>
        <w:spacing w:after="0" w:line="4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our intent and policy to settle the principal amount of our 2.50% convertible senior notes due August 2013, or the 2013 Convertible Notes, in cash, which will not impact the number of shares of our common stock. However, we have the option to settle the conversion premium in shares of our common stock or cash. The conversion rate will initially be 18.1386 shares of common stock per $1,000 principal amount of notes, which is equivalent to a conversion price of $55.13 per share of common stock.</w:t>
      </w:r>
    </w:p>
    <w:p>
      <w:pPr>
        <w:spacing w:after="0" w:line="13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by-laws,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Size</w:t>
            </w:r>
          </w:p>
        </w:tc>
        <w:tc>
          <w:tcPr>
            <w:tcW w:w="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222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338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Use</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20" w:type="dxa"/>
            <w:vAlign w:val="bottom"/>
          </w:tcPr>
          <w:p>
            <w:pPr>
              <w:spacing w:after="0"/>
              <w:rPr>
                <w:sz w:val="12"/>
                <w:szCs w:val="12"/>
                <w:color w:val="auto"/>
              </w:rPr>
            </w:pPr>
          </w:p>
        </w:tc>
        <w:tc>
          <w:tcPr>
            <w:tcW w:w="29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11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3"/>
              </w:rPr>
              <w:t>in square feet)</w:t>
            </w:r>
          </w:p>
        </w:tc>
        <w:tc>
          <w:tcPr>
            <w:tcW w:w="32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York, New York</w:t>
            </w:r>
          </w:p>
        </w:tc>
        <w:tc>
          <w:tcPr>
            <w:tcW w:w="84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Location of MarketSite</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08"/>
        </w:trPr>
        <w:tc>
          <w:tcPr>
            <w:tcW w:w="276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220" w:type="dxa"/>
            <w:vAlign w:val="bottom"/>
            <w:gridSpan w:val="3"/>
          </w:tcPr>
          <w:p>
            <w:pPr>
              <w:ind w:left="840"/>
              <w:spacing w:after="0"/>
              <w:rPr>
                <w:sz w:val="20"/>
                <w:szCs w:val="20"/>
                <w:color w:val="auto"/>
              </w:rPr>
            </w:pPr>
            <w:r>
              <w:rPr>
                <w:rFonts w:ascii="Arial" w:cs="Arial" w:eastAsia="Arial" w:hAnsi="Arial"/>
                <w:sz w:val="18"/>
                <w:szCs w:val="18"/>
                <w:color w:val="auto"/>
              </w:rPr>
              <w:t>U.S. headquarters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115,000</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Subleased from FINRA with 17,931</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square feet leased back to FINRA</w:t>
            </w:r>
          </w:p>
        </w:tc>
        <w:tc>
          <w:tcPr>
            <w:tcW w:w="0" w:type="dxa"/>
            <w:vAlign w:val="bottom"/>
          </w:tcPr>
          <w:p>
            <w:pPr>
              <w:spacing w:after="0"/>
              <w:rPr>
                <w:sz w:val="1"/>
                <w:szCs w:val="1"/>
                <w:color w:val="auto"/>
              </w:rPr>
            </w:pPr>
          </w:p>
        </w:tc>
      </w:tr>
      <w:tr>
        <w:trPr>
          <w:trHeight w:val="218"/>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4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53,000</w:t>
            </w:r>
          </w:p>
        </w:tc>
        <w:tc>
          <w:tcPr>
            <w:tcW w:w="3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220" w:type="dxa"/>
            <w:vAlign w:val="bottom"/>
            <w:gridSpan w:val="3"/>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48,000</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Philadelphia, Pennsylvania</w:t>
            </w:r>
          </w:p>
        </w:tc>
        <w:tc>
          <w:tcPr>
            <w:tcW w:w="4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Location of NASDAQ OMX PHLX</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94,000</w:t>
            </w:r>
          </w:p>
        </w:tc>
        <w:tc>
          <w:tcPr>
            <w:tcW w:w="3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220" w:type="dxa"/>
            <w:vAlign w:val="bottom"/>
            <w:gridSpan w:val="3"/>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48,000</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Shelton, Connecticut</w:t>
            </w:r>
          </w:p>
        </w:tc>
        <w:tc>
          <w:tcPr>
            <w:tcW w:w="4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29,000</w:t>
            </w:r>
          </w:p>
        </w:tc>
        <w:tc>
          <w:tcPr>
            <w:tcW w:w="3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Stockholm, Sweden</w:t>
            </w:r>
          </w:p>
        </w:tc>
        <w:tc>
          <w:tcPr>
            <w:tcW w:w="4220" w:type="dxa"/>
            <w:vAlign w:val="bottom"/>
            <w:gridSpan w:val="3"/>
          </w:tcPr>
          <w:p>
            <w:pPr>
              <w:ind w:left="840"/>
              <w:spacing w:after="0"/>
              <w:rPr>
                <w:sz w:val="20"/>
                <w:szCs w:val="20"/>
                <w:color w:val="auto"/>
              </w:rPr>
            </w:pPr>
            <w:r>
              <w:rPr>
                <w:rFonts w:ascii="Arial" w:cs="Arial" w:eastAsia="Arial" w:hAnsi="Arial"/>
                <w:sz w:val="18"/>
                <w:szCs w:val="18"/>
                <w:color w:val="auto"/>
              </w:rPr>
              <w:t>European headquarters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296,000</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England</w:t>
            </w:r>
          </w:p>
        </w:tc>
        <w:tc>
          <w:tcPr>
            <w:tcW w:w="4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71,000</w:t>
            </w:r>
          </w:p>
        </w:tc>
        <w:tc>
          <w:tcPr>
            <w:tcW w:w="3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Helsinki, Finland</w:t>
            </w:r>
          </w:p>
        </w:tc>
        <w:tc>
          <w:tcPr>
            <w:tcW w:w="4220" w:type="dxa"/>
            <w:vAlign w:val="bottom"/>
            <w:gridSpan w:val="3"/>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19,800</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Copenhagen, Denmark</w:t>
            </w:r>
          </w:p>
        </w:tc>
        <w:tc>
          <w:tcPr>
            <w:tcW w:w="4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23,900</w:t>
            </w:r>
          </w:p>
        </w:tc>
        <w:tc>
          <w:tcPr>
            <w:tcW w:w="3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maintain local headquarters in each of the other European countries where we operate an exchange and office space in countries in which we conduct sales and operations, including Armenia, Australia, Canada, China, Estonia, Hong Kong, Iceland, Italy, Japan, Latvia, Lithuania, Norway, Singapore and United Arab Emirates.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California, Illinois, Massachusetts, Oregon and Washington, DC.</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2011, approximately 113,555 square feet of space was available for sublease.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not currently a party to any litigation that we believe could have a material adverse effect on our business, financial condition or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chart lists the quarterly high and low sales prices for shares of our common stock for fiscal years 2011 and 2010. These prices are between dealers and do not include retail markups, markdowns or other fees and commissions and may not represent actual transactions.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2011</w:t>
            </w:r>
          </w:p>
        </w:tc>
        <w:tc>
          <w:tcPr>
            <w:tcW w:w="3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Fiscal 2010</w:t>
            </w: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20.54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of February 10, 2012, we had approximately 780 holders of record of our common stock. As of February 10, 2012, the closing price of our common stock was $26.00. Our credit facilities limit our ability to pay dividends. Before our credit facilities were in place, it was not our policy to declare or pay cash dividends on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Share Repurchase from Borse Dubai</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October 2011, our board of directors approved a share repurchase program authorizing NASDAQ OMX to repurchase in the aggregate up to $300 million of our outstanding common stock. These purchases may be made from time to time at prevailing market prices in open market purchases, privately-negotiated transactions, block purchase techniques or otherwise, as determined by our management. The purchases will be funded from existing cash balances. The share repurchase program may be suspended, modified or discontinued at any time. During the fourth quarter of 2011, we repurchased 3,983,481 shares of our common stock at an average price of $25.10, for an aggregate purchase price of $100 million.</w:t>
      </w:r>
    </w:p>
    <w:p>
      <w:pPr>
        <w:spacing w:after="0" w:line="10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Under the share repurchase program authorized by our board of directors during 2010, we were authorized to repurchase up to $550 million of our outstanding common stock. During 2010, we repurchased 15,050,647 shares of our common stock at an average price of $19.95, for an aggregate purchase price of $300 million. In December 2010, our board of directors also approved the repurchase of 22,781,000 shares of our common stock from Borse Dubai for $21.82 per share for an aggregate purchase price of approximately $497 million. The share repurchase from Borse Dubai expanded, accelerated and completed this share repurchase program. The shares repurchased under the share repurchase program and from Borse Dubai are available for general corporate purposes.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Transactions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our share repurchase program, during the fiscal quarter ended December 31, 2011, we also purchased shares from employees in connection with the settlement of income tax and related benefit withholding obligations arising from vesting in restricted stock grants.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represents repurchases made by or on behalf of us or any “affiliated purchaser” of our common stock during the fiscal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(a) Total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(b) Average</w:t>
            </w:r>
          </w:p>
        </w:tc>
        <w:tc>
          <w:tcPr>
            <w:tcW w:w="8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4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9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Price Paid</w:t>
            </w:r>
          </w:p>
        </w:tc>
        <w:tc>
          <w:tcPr>
            <w:tcW w:w="820" w:type="dxa"/>
            <w:vAlign w:val="bottom"/>
          </w:tcPr>
          <w:p>
            <w:pPr>
              <w:spacing w:after="0"/>
              <w:rPr>
                <w:sz w:val="12"/>
                <w:szCs w:val="12"/>
                <w:color w:val="auto"/>
              </w:rPr>
            </w:pPr>
          </w:p>
        </w:tc>
        <w:tc>
          <w:tcPr>
            <w:tcW w:w="17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of Publicly Announced</w:t>
            </w:r>
          </w:p>
        </w:tc>
        <w:tc>
          <w:tcPr>
            <w:tcW w:w="40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or Programs</w:t>
            </w:r>
          </w:p>
        </w:tc>
        <w:tc>
          <w:tcPr>
            <w:tcW w:w="0" w:type="dxa"/>
            <w:vAlign w:val="bottom"/>
          </w:tcPr>
          <w:p>
            <w:pPr>
              <w:spacing w:after="0"/>
              <w:rPr>
                <w:sz w:val="1"/>
                <w:szCs w:val="1"/>
                <w:color w:val="auto"/>
              </w:rPr>
            </w:pPr>
          </w:p>
        </w:tc>
      </w:tr>
      <w:tr>
        <w:trPr>
          <w:trHeight w:val="148"/>
        </w:trPr>
        <w:tc>
          <w:tcPr>
            <w:tcW w:w="4960" w:type="dxa"/>
            <w:vAlign w:val="bottom"/>
            <w:gridSpan w:val="9"/>
            <w:vMerge w:val="continue"/>
          </w:tcPr>
          <w:p>
            <w:pPr>
              <w:spacing w:after="0"/>
              <w:rPr>
                <w:sz w:val="12"/>
                <w:szCs w:val="12"/>
                <w:color w:val="auto"/>
              </w:rPr>
            </w:pPr>
          </w:p>
        </w:tc>
        <w:tc>
          <w:tcPr>
            <w:tcW w:w="12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6"/>
              </w:rPr>
              <w:t>Purchased</w:t>
            </w:r>
          </w:p>
        </w:tc>
        <w:tc>
          <w:tcPr>
            <w:tcW w:w="340" w:type="dxa"/>
            <w:vAlign w:val="bottom"/>
          </w:tcPr>
          <w:p>
            <w:pPr>
              <w:spacing w:after="0"/>
              <w:rPr>
                <w:sz w:val="12"/>
                <w:szCs w:val="12"/>
                <w:color w:val="auto"/>
              </w:rPr>
            </w:pPr>
          </w:p>
        </w:tc>
        <w:tc>
          <w:tcPr>
            <w:tcW w:w="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Per Share</w:t>
            </w:r>
          </w:p>
        </w:tc>
        <w:tc>
          <w:tcPr>
            <w:tcW w:w="820" w:type="dxa"/>
            <w:vAlign w:val="bottom"/>
          </w:tcPr>
          <w:p>
            <w:pPr>
              <w:spacing w:after="0"/>
              <w:rPr>
                <w:sz w:val="12"/>
                <w:szCs w:val="12"/>
                <w:color w:val="auto"/>
              </w:rPr>
            </w:pPr>
          </w:p>
        </w:tc>
        <w:tc>
          <w:tcPr>
            <w:tcW w:w="17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Plans or Programs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gridSpan w:val="8"/>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October 2011</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8"/>
          </w:tcPr>
          <w:p>
            <w:pPr>
              <w:spacing w:after="0"/>
              <w:rPr>
                <w:sz w:val="20"/>
                <w:szCs w:val="20"/>
                <w:color w:val="auto"/>
              </w:rPr>
            </w:pPr>
            <w:r>
              <w:rPr>
                <w:rFonts w:ascii="Arial" w:cs="Arial" w:eastAsia="Arial" w:hAnsi="Arial"/>
                <w:sz w:val="18"/>
                <w:szCs w:val="18"/>
                <w:color w:val="auto"/>
              </w:rPr>
              <w:t>Share repurchase program</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4960" w:type="dxa"/>
            <w:vAlign w:val="bottom"/>
            <w:gridSpan w:val="9"/>
          </w:tcPr>
          <w:p>
            <w:pPr>
              <w:spacing w:after="0"/>
              <w:rPr>
                <w:sz w:val="20"/>
                <w:szCs w:val="20"/>
                <w:color w:val="auto"/>
              </w:rPr>
            </w:pPr>
            <w:r>
              <w:rPr>
                <w:rFonts w:ascii="Arial" w:cs="Arial" w:eastAsia="Arial" w:hAnsi="Arial"/>
                <w:sz w:val="18"/>
                <w:szCs w:val="18"/>
                <w:b w:val="1"/>
                <w:bCs w:val="1"/>
                <w:color w:val="auto"/>
              </w:rPr>
              <w:t>November 2011</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8"/>
          </w:tcPr>
          <w:p>
            <w:pPr>
              <w:spacing w:after="0"/>
              <w:rPr>
                <w:sz w:val="20"/>
                <w:szCs w:val="20"/>
                <w:color w:val="auto"/>
              </w:rPr>
            </w:pPr>
            <w:r>
              <w:rPr>
                <w:rFonts w:ascii="Arial" w:cs="Arial" w:eastAsia="Arial" w:hAnsi="Arial"/>
                <w:sz w:val="18"/>
                <w:szCs w:val="18"/>
                <w:color w:val="auto"/>
              </w:rPr>
              <w:t>Employee transactions</w:t>
            </w:r>
          </w:p>
        </w:tc>
        <w:tc>
          <w:tcPr>
            <w:tcW w:w="740" w:type="dxa"/>
            <w:vAlign w:val="bottom"/>
          </w:tcPr>
          <w:p>
            <w:pPr>
              <w:jc w:val="right"/>
              <w:spacing w:after="0"/>
              <w:rPr>
                <w:sz w:val="20"/>
                <w:szCs w:val="20"/>
                <w:color w:val="auto"/>
              </w:rPr>
            </w:pPr>
            <w:r>
              <w:rPr>
                <w:rFonts w:ascii="Arial" w:cs="Arial" w:eastAsia="Arial" w:hAnsi="Arial"/>
                <w:sz w:val="18"/>
                <w:szCs w:val="18"/>
                <w:color w:val="auto"/>
              </w:rPr>
              <w:t>3,762</w:t>
            </w:r>
          </w:p>
        </w:tc>
        <w:tc>
          <w:tcPr>
            <w:tcW w:w="46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26.17</w:t>
            </w:r>
          </w:p>
        </w:tc>
        <w:tc>
          <w:tcPr>
            <w:tcW w:w="82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December 2011</w:t>
            </w:r>
          </w:p>
        </w:tc>
        <w:tc>
          <w:tcPr>
            <w:tcW w:w="3800" w:type="dxa"/>
            <w:vAlign w:val="bottom"/>
            <w:tcBorders>
              <w:bottom w:val="single" w:sz="8" w:color="CCEEFF"/>
            </w:tcBorders>
            <w:gridSpan w:val="4"/>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8"/>
          </w:tcPr>
          <w:p>
            <w:pPr>
              <w:spacing w:after="0"/>
              <w:rPr>
                <w:sz w:val="20"/>
                <w:szCs w:val="20"/>
                <w:color w:val="auto"/>
              </w:rPr>
            </w:pPr>
            <w:r>
              <w:rPr>
                <w:rFonts w:ascii="Arial" w:cs="Arial" w:eastAsia="Arial" w:hAnsi="Arial"/>
                <w:sz w:val="18"/>
                <w:szCs w:val="18"/>
                <w:color w:val="auto"/>
              </w:rPr>
              <w:t>Share repurchase program</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3,983,481</w:t>
            </w:r>
          </w:p>
        </w:tc>
        <w:tc>
          <w:tcPr>
            <w:tcW w:w="46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25.10</w:t>
            </w:r>
          </w:p>
        </w:tc>
        <w:tc>
          <w:tcPr>
            <w:tcW w:w="2540" w:type="dxa"/>
            <w:vAlign w:val="bottom"/>
            <w:gridSpan w:val="3"/>
          </w:tcPr>
          <w:p>
            <w:pPr>
              <w:jc w:val="right"/>
              <w:ind w:right="420"/>
              <w:spacing w:after="0"/>
              <w:rPr>
                <w:sz w:val="20"/>
                <w:szCs w:val="20"/>
                <w:color w:val="auto"/>
              </w:rPr>
            </w:pPr>
            <w:r>
              <w:rPr>
                <w:rFonts w:ascii="Arial" w:cs="Arial" w:eastAsia="Arial" w:hAnsi="Arial"/>
                <w:sz w:val="18"/>
                <w:szCs w:val="18"/>
                <w:color w:val="auto"/>
              </w:rPr>
              <w:t>3,983,481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1"/>
        </w:trPr>
        <w:tc>
          <w:tcPr>
            <w:tcW w:w="4960" w:type="dxa"/>
            <w:vAlign w:val="bottom"/>
            <w:gridSpan w:val="9"/>
          </w:tcPr>
          <w:p>
            <w:pPr>
              <w:spacing w:after="0"/>
              <w:rPr>
                <w:sz w:val="20"/>
                <w:szCs w:val="20"/>
                <w:color w:val="auto"/>
              </w:rPr>
            </w:pPr>
            <w:r>
              <w:rPr>
                <w:rFonts w:ascii="Arial" w:cs="Arial" w:eastAsia="Arial" w:hAnsi="Arial"/>
                <w:sz w:val="18"/>
                <w:szCs w:val="18"/>
                <w:b w:val="1"/>
                <w:bCs w:val="1"/>
                <w:color w:val="auto"/>
              </w:rPr>
              <w:t>Total Fiscal Quarter Ended</w:t>
            </w: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b w:val="1"/>
                <w:bCs w:val="1"/>
                <w:color w:val="auto"/>
              </w:rPr>
              <w:t>December 31, 2011</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3,983,481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3,983,481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9"/>
            <w:vMerge w:val="restart"/>
          </w:tcPr>
          <w:p>
            <w:pPr>
              <w:spacing w:after="0"/>
              <w:rPr>
                <w:sz w:val="20"/>
                <w:szCs w:val="20"/>
                <w:color w:val="auto"/>
              </w:rPr>
            </w:pPr>
            <w:r>
              <w:rPr>
                <w:rFonts w:ascii="Arial" w:cs="Arial" w:eastAsia="Arial" w:hAnsi="Arial"/>
                <w:sz w:val="18"/>
                <w:szCs w:val="18"/>
                <w:color w:val="auto"/>
              </w:rPr>
              <w:t>Employee transactions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209"/>
        </w:trPr>
        <w:tc>
          <w:tcPr>
            <w:tcW w:w="4960" w:type="dxa"/>
            <w:vAlign w:val="bottom"/>
            <w:gridSpan w:val="9"/>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105,149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24.99</w:t>
            </w:r>
          </w:p>
        </w:tc>
        <w:tc>
          <w:tcPr>
            <w:tcW w:w="82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graph compares the total return of our common stock with certain indices and a peer group. These include the NASDAQ Composite Stock Index and the Standard &amp; Poor’s, or S&amp;P, 500 Stock Index as well as the peer group. The peer group includes the CME Group Inc., Deutsche Börse AG, IntercontinentalExchange Inc., LSE, and NYSE Euronext. Information for the indices and the peer group is provided from December 31, 2006 through December 31, 2011. The figures represented below assume an initial investment of $100 in the common stock or index at the closing price on December 31, 2006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147320</wp:posOffset>
            </wp:positionV>
            <wp:extent cx="4570730" cy="4450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07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12/06</w:t>
            </w:r>
          </w:p>
        </w:tc>
        <w:tc>
          <w:tcPr>
            <w:tcW w:w="3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12/07</w:t>
            </w:r>
          </w:p>
        </w:tc>
        <w:tc>
          <w:tcPr>
            <w:tcW w:w="3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12/08</w:t>
            </w:r>
          </w:p>
        </w:tc>
        <w:tc>
          <w:tcPr>
            <w:tcW w:w="8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12/09</w:t>
            </w:r>
          </w:p>
        </w:tc>
        <w:tc>
          <w:tcPr>
            <w:tcW w:w="3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12/10</w:t>
            </w:r>
          </w:p>
        </w:tc>
        <w:tc>
          <w:tcPr>
            <w:tcW w:w="14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12/11</w:t>
            </w:r>
          </w:p>
        </w:tc>
        <w:tc>
          <w:tcPr>
            <w:tcW w:w="10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 NASDAQ OMX Group, Inc.</w:t>
            </w:r>
          </w:p>
        </w:tc>
        <w:tc>
          <w:tcPr>
            <w:tcW w:w="2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$160.73</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$80.25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$64.37</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$ 77.07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$ 79.60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w:t>
            </w:r>
          </w:p>
        </w:tc>
        <w:tc>
          <w:tcPr>
            <w:tcW w:w="3340" w:type="dxa"/>
            <w:vAlign w:val="bottom"/>
            <w:gridSpan w:val="3"/>
          </w:tcPr>
          <w:p>
            <w:pPr>
              <w:jc w:val="right"/>
              <w:ind w:right="300"/>
              <w:spacing w:after="0"/>
              <w:rPr>
                <w:sz w:val="20"/>
                <w:szCs w:val="20"/>
                <w:color w:val="auto"/>
              </w:rPr>
            </w:pPr>
            <w:r>
              <w:rPr>
                <w:rFonts w:ascii="Arial" w:cs="Arial" w:eastAsia="Arial" w:hAnsi="Arial"/>
                <w:sz w:val="18"/>
                <w:szCs w:val="18"/>
                <w:color w:val="auto"/>
              </w:rPr>
              <w:t>100.00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110.26</w:t>
            </w:r>
          </w:p>
        </w:tc>
        <w:tc>
          <w:tcPr>
            <w:tcW w:w="500" w:type="dxa"/>
            <w:vAlign w:val="bottom"/>
          </w:tcPr>
          <w:p>
            <w:pPr>
              <w:jc w:val="right"/>
              <w:spacing w:after="0"/>
              <w:rPr>
                <w:sz w:val="20"/>
                <w:szCs w:val="20"/>
                <w:color w:val="auto"/>
              </w:rPr>
            </w:pPr>
            <w:r>
              <w:rPr>
                <w:rFonts w:ascii="Arial" w:cs="Arial" w:eastAsia="Arial" w:hAnsi="Arial"/>
                <w:sz w:val="18"/>
                <w:szCs w:val="18"/>
                <w:color w:val="auto"/>
              </w:rPr>
              <w:t>65.65</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95.19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112.10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Peer Group</w:t>
            </w:r>
          </w:p>
        </w:tc>
        <w:tc>
          <w:tcPr>
            <w:tcW w:w="3340" w:type="dxa"/>
            <w:vAlign w:val="bottom"/>
            <w:gridSpan w:val="3"/>
          </w:tcPr>
          <w:p>
            <w:pPr>
              <w:jc w:val="right"/>
              <w:ind w:right="300"/>
              <w:spacing w:after="0"/>
              <w:rPr>
                <w:sz w:val="20"/>
                <w:szCs w:val="20"/>
                <w:color w:val="auto"/>
              </w:rPr>
            </w:pPr>
            <w:r>
              <w:rPr>
                <w:rFonts w:ascii="Arial" w:cs="Arial" w:eastAsia="Arial" w:hAnsi="Arial"/>
                <w:sz w:val="18"/>
                <w:szCs w:val="18"/>
                <w:color w:val="auto"/>
              </w:rPr>
              <w:t>100.00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155.42</w:t>
            </w:r>
          </w:p>
        </w:tc>
        <w:tc>
          <w:tcPr>
            <w:tcW w:w="500" w:type="dxa"/>
            <w:vAlign w:val="bottom"/>
          </w:tcPr>
          <w:p>
            <w:pPr>
              <w:jc w:val="right"/>
              <w:spacing w:after="0"/>
              <w:rPr>
                <w:sz w:val="20"/>
                <w:szCs w:val="20"/>
                <w:color w:val="auto"/>
              </w:rPr>
            </w:pPr>
            <w:r>
              <w:rPr>
                <w:rFonts w:ascii="Arial" w:cs="Arial" w:eastAsia="Arial" w:hAnsi="Arial"/>
                <w:sz w:val="18"/>
                <w:szCs w:val="18"/>
                <w:color w:val="auto"/>
              </w:rPr>
              <w:t>51.67</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69.93</w:t>
            </w:r>
          </w:p>
        </w:tc>
        <w:tc>
          <w:tcPr>
            <w:tcW w:w="580" w:type="dxa"/>
            <w:vAlign w:val="bottom"/>
          </w:tcPr>
          <w:p>
            <w:pPr>
              <w:jc w:val="right"/>
              <w:spacing w:after="0"/>
              <w:rPr>
                <w:sz w:val="20"/>
                <w:szCs w:val="20"/>
                <w:color w:val="auto"/>
              </w:rPr>
            </w:pPr>
            <w:r>
              <w:rPr>
                <w:rFonts w:ascii="Arial" w:cs="Arial" w:eastAsia="Arial" w:hAnsi="Arial"/>
                <w:sz w:val="18"/>
                <w:szCs w:val="18"/>
                <w:color w:val="auto"/>
              </w:rPr>
              <w:t>69.86</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2460" w:type="dxa"/>
            <w:vAlign w:val="bottom"/>
          </w:tcPr>
          <w:p>
            <w:pPr>
              <w:jc w:val="right"/>
              <w:ind w:right="576"/>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completed the following acquisitions during 2008, 2010 and 2011:</w:t>
      </w:r>
    </w:p>
    <w:p>
      <w:pPr>
        <w:spacing w:after="0" w:line="7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PHLX, July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BSX, August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subsidiaries of Nord Pool, October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assets of North American Energy Credit and Clearing Corp., March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derivatives trading market through the purchase of the remaining business of Nord Pool, May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SMARTS, August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FTEN,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ZVM,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Glide Technologies, October 2011;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of RapiData, December 2011.</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acquisitions also have been treated as purchases for accounting purposes, with NASDAQ OMX treated as the acquirer. Additionally, we purchased a majority stake in IDCG in December 2008 and a 22% equity interest in EMCF in January 2009. The financial results of these transactions are included in the consolidated financial results beginning on the date of each acquisition or strategic initiative.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40" w:type="dxa"/>
            <w:vAlign w:val="bottom"/>
            <w:gridSpan w:val="9"/>
          </w:tcPr>
          <w:p>
            <w:pPr>
              <w:jc w:val="center"/>
              <w:ind w:right="760"/>
              <w:spacing w:after="0" w:line="142" w:lineRule="exact"/>
              <w:rPr>
                <w:sz w:val="20"/>
                <w:szCs w:val="20"/>
                <w:color w:val="auto"/>
              </w:rPr>
            </w:pPr>
            <w:r>
              <w:rPr>
                <w:rFonts w:ascii="Arial" w:cs="Arial" w:eastAsia="Arial" w:hAnsi="Arial"/>
                <w:sz w:val="14"/>
                <w:szCs w:val="14"/>
                <w:b w:val="1"/>
                <w:bCs w:val="1"/>
                <w:color w:val="auto"/>
                <w:w w:val="86"/>
              </w:rPr>
              <w:t>(in millions, except share and per share amounts)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revenues</w:t>
            </w:r>
            <w:r>
              <w:rPr>
                <w:rFonts w:ascii="Arial" w:cs="Arial" w:eastAsia="Arial" w:hAnsi="Arial"/>
                <w:sz w:val="11"/>
                <w:szCs w:val="11"/>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3,438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3,411</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Revenues less transaction rebates, brokerage,</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clearance and exchange fees</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NASDAQ OMX</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08"/>
        </w:trPr>
        <w:tc>
          <w:tcPr>
            <w:tcW w:w="3780" w:type="dxa"/>
            <w:vAlign w:val="bottom"/>
          </w:tcPr>
          <w:p>
            <w:pPr>
              <w:spacing w:after="0"/>
              <w:rPr>
                <w:sz w:val="20"/>
                <w:szCs w:val="20"/>
                <w:color w:val="auto"/>
              </w:rPr>
            </w:pPr>
            <w:r>
              <w:rPr>
                <w:rFonts w:ascii="Arial" w:cs="Arial" w:eastAsia="Arial" w:hAnsi="Arial"/>
                <w:sz w:val="18"/>
                <w:szCs w:val="18"/>
                <w:color w:val="auto"/>
              </w:rPr>
              <w:t>Net income applicable to common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2.20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7"/>
        </w:trPr>
        <w:tc>
          <w:tcPr>
            <w:tcW w:w="3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outstanding for earnings per share: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176,331,819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202,975,623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204,698,277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190,362,605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116,064,240</w:t>
            </w: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180,011,247</w:t>
            </w:r>
          </w:p>
        </w:tc>
        <w:tc>
          <w:tcPr>
            <w:tcW w:w="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206,514,655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214,537,907</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204,514,862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152,528,691</w:t>
            </w:r>
          </w:p>
        </w:tc>
      </w:tr>
      <w:tr>
        <w:trPr>
          <w:trHeight w:val="358"/>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8"/>
                <w:szCs w:val="18"/>
                <w:color w:val="auto"/>
              </w:rPr>
              <w:t>Cash and cash equivalents and financial</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14,091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3,075</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4,986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We record execution revenues from transactions on a gross basis in revenues and record related expenses as cost of revenues.</w:t>
      </w:r>
    </w:p>
    <w:p>
      <w:pPr>
        <w:spacing w:after="0" w:line="7" w:lineRule="exact"/>
        <w:rPr>
          <w:rFonts w:ascii="Arial" w:cs="Arial" w:eastAsia="Arial" w:hAnsi="Arial"/>
          <w:sz w:val="22"/>
          <w:szCs w:val="22"/>
          <w:color w:val="auto"/>
          <w:vertAlign w:val="superscript"/>
        </w:rPr>
      </w:pPr>
    </w:p>
    <w:p>
      <w:pPr>
        <w:ind w:left="460" w:right="120" w:hanging="452"/>
        <w:spacing w:after="0" w:line="244" w:lineRule="auto"/>
        <w:tabs>
          <w:tab w:leader="none" w:pos="46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Total assets included resale agreements, at contract value of $3.7 billion at December 31, 2011 and $3.4 billion at December 31, 2010. In September 2010, we launched a clearing service for the resale and repurchase agreement market. See “Resale and Repurchase Agreements, at Contract Value,” of Note 2, “Summary of Significant Accounting Policies,” to the consolidated financial statements for further discussion.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OMX should be read in conjunction with our consolidated financial statements and related notes included in this Form 10-K, as well as the discussion under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the following acquisitions during 2008, 2010 and 2011:</w:t>
      </w:r>
    </w:p>
    <w:p>
      <w:pPr>
        <w:spacing w:after="0" w:line="4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PHLX, July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BSX, August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subsidiaries of Nord Pool, October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assets of North American Energy Credit and Clearing Corp., March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derivatives trading market through the purchase of the remaining business of Nord Pool, May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SMARTS, August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FTEN,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ZVM,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Glide Technologies, October 2011;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of RapiData, December 2011.</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These acquisitions also have been treated as purchases for accounting purposes, with NASDAQ OMX treated as the acquirer. Additionally, we purchased a majority stake in IDCG in December 2008 and a 22% equity interest in EMCF in January 2009. The financial results of these transactions are included in the consolidated financial results beginning on the date of each acquisition or strategic initiative.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serve listed companies, market participants and investors by providing high quality cash equity, derivative and commodities markets, thereby facilitating economic growth and corporate entrepreneurship. We also provide market technology to exchanges and markets around the world.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in the financial services industry. Our future revenues and net income will continue to be influenced by a number of domestic and international economic trends including:</w:t>
      </w:r>
    </w:p>
    <w:p>
      <w:pPr>
        <w:spacing w:after="0" w:line="21" w:lineRule="exact"/>
        <w:rPr>
          <w:sz w:val="20"/>
          <w:szCs w:val="20"/>
          <w:color w:val="auto"/>
        </w:rPr>
      </w:pPr>
    </w:p>
    <w:p>
      <w:pPr>
        <w:ind w:left="780" w:right="6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volumes, particularly in U.S. and Nordic cash equity and derivative securities, which are driven primarily by overall macroeconomic conditions;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global economy, availability of diverse sources of financing as well as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optimism of our technology customers about the outlook for capital markets and economic stability;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for listings and trading related to pricing, product features and service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changes imposed upon certain types of instruments, transactions, or capital market participants;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Technological advancements and members’ demand for speed, efficiency, and reliability.</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Currently our business drivers are defined by investors’ cautious outlook about the pace of global economic recovery and governments’ ability to fund their sovereign debt. The lack of confidence in the prospects for growth results in sporadic increases in the level of market volatility and oscillating trading volumes in cash equities. In the U.S., the IPO market and the cash equities trading business were both negatively impacted by investors’ diminished confidence in the second half of 2011. However, equity derivative trading volumes remain strong in the U.S. Additional impacts on our business drivers include the international enactment and implementation of new legislative and regulatory initiatives, and the continued rapid evolution and deployment of new technology in the financial services industry. The business environment that influenced our financial performance for the full year 2011 may be characterized as follows:</w:t>
      </w:r>
    </w:p>
    <w:p>
      <w:pPr>
        <w:spacing w:after="0" w:line="26" w:lineRule="exact"/>
        <w:rPr>
          <w:sz w:val="20"/>
          <w:szCs w:val="20"/>
          <w:color w:val="auto"/>
        </w:rPr>
      </w:pPr>
    </w:p>
    <w:p>
      <w:pPr>
        <w:ind w:left="780" w:right="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weaker pace of new equity issuance in the U.S. with 78 IPOs on The NASDAQ Stock Market, down from 89 in 2010. IPO activity remained slow in the Nordics with 9 IPOs in 2011 on the exchanges that comprise NASDAQ OMX Nordic and NASDAQ OMX Baltic;</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Matched share volume for all of our U.S. cash equity markets fell by 11.7% relative to 2010, driven by a decline in consolidated U.S. volume and a 1.0% point drop in our matched market share;</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30.0% increase relative to 2010 in the number of cash equity transactions on our Nordic and Baltic exchanges as the average trade size continues to decrease;</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0.9% decrease relative to 2010 in the SEK value of cash equity transactions on our Nordic and Baltic exchanges resulting from decreased share volume levels;</w:t>
      </w:r>
    </w:p>
    <w:p>
      <w:pPr>
        <w:spacing w:after="0" w:line="37"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of 7.0% relative to 2010 experienced by our Nordic and Baltic exchanges in the number of traded and cleared equity and fixed-income contracts (excluding EUREX);</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Intense competition among U.S. exchanges and dealer-owned systems for cash equity trading volume and strong competition between multilateral trading facilities and exchanges in Europe for equity trading volume;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 and</w:t>
      </w:r>
    </w:p>
    <w:p>
      <w:pPr>
        <w:spacing w:after="0" w:line="103"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trends requiring continued investment in technology to meet customers’ demands for speed, capacity, and reliability as markets adapt to a global financial industry, as increasing numbers of new companies are created, and as emerging countries show ongoing interest in developing their financial markets.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summarizes significant changes in our financial performance for the year ended December 31, 2011 when compared with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860" w:type="dxa"/>
            <w:vAlign w:val="bottom"/>
            <w:gridSpan w:val="2"/>
          </w:tcPr>
          <w:p>
            <w:pPr>
              <w:spacing w:after="0"/>
              <w:rPr>
                <w:sz w:val="14"/>
                <w:szCs w:val="14"/>
                <w:color w:val="auto"/>
              </w:rPr>
            </w:pPr>
          </w:p>
        </w:tc>
        <w:tc>
          <w:tcPr>
            <w:tcW w:w="18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w w:val="96"/>
              </w:rPr>
              <w:t>2011</w:t>
            </w:r>
          </w:p>
        </w:tc>
        <w:tc>
          <w:tcPr>
            <w:tcW w:w="960" w:type="dxa"/>
            <w:vAlign w:val="bottom"/>
          </w:tcPr>
          <w:p>
            <w:pPr>
              <w:spacing w:after="0"/>
              <w:rPr>
                <w:sz w:val="12"/>
                <w:szCs w:val="12"/>
                <w:color w:val="auto"/>
              </w:rPr>
            </w:pPr>
          </w:p>
        </w:tc>
        <w:tc>
          <w:tcPr>
            <w:tcW w:w="5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exchange fees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4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994</w:t>
            </w:r>
          </w:p>
        </w:tc>
        <w:tc>
          <w:tcPr>
            <w:tcW w:w="9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480" w:type="dxa"/>
            <w:vAlign w:val="bottom"/>
          </w:tcPr>
          <w:p>
            <w:pPr>
              <w:spacing w:after="0"/>
              <w:rPr>
                <w:sz w:val="18"/>
                <w:szCs w:val="18"/>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96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(102)</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 charge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573</w:t>
            </w:r>
          </w:p>
        </w:tc>
        <w:tc>
          <w:tcPr>
            <w:tcW w:w="9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526</w:t>
            </w:r>
          </w:p>
        </w:tc>
        <w:tc>
          <w:tcPr>
            <w:tcW w:w="480" w:type="dxa"/>
            <w:vAlign w:val="bottom"/>
          </w:tcPr>
          <w:p>
            <w:pPr>
              <w:spacing w:after="0"/>
              <w:rPr>
                <w:sz w:val="18"/>
                <w:szCs w:val="18"/>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Net income attributable to NASDAQ OMX</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387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480" w:type="dxa"/>
            <w:vAlign w:val="bottom"/>
          </w:tcPr>
          <w:p>
            <w:pPr>
              <w:spacing w:after="0"/>
              <w:rPr>
                <w:sz w:val="18"/>
                <w:szCs w:val="18"/>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0" w:type="dxa"/>
            <w:vAlign w:val="bottom"/>
            <w:gridSpan w:val="2"/>
          </w:tcPr>
          <w:p>
            <w:pPr>
              <w:ind w:left="440"/>
              <w:spacing w:after="0"/>
              <w:rPr>
                <w:sz w:val="20"/>
                <w:szCs w:val="20"/>
                <w:color w:val="auto"/>
              </w:rPr>
            </w:pPr>
            <w:r>
              <w:rPr>
                <w:rFonts w:ascii="Arial" w:cs="Arial" w:eastAsia="Arial" w:hAnsi="Arial"/>
                <w:sz w:val="18"/>
                <w:szCs w:val="18"/>
                <w:color w:val="auto"/>
              </w:rPr>
              <w:t>Denotes a variance equal to 100.0%.</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80" w:right="260" w:hanging="326"/>
        <w:spacing w:after="0" w:line="325"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Growth in revenues less transaction rebates, brokerage, clearance and exchange fees was primarily due to increases in access services revenues and total derivative trading and clearing revenues less transaction rebates, brokerage, clearance and exchange fees.</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operating expenses was primarily due to an increase in merger and strategic initiatives expense and higher compensation and benefits expense.</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expense increased primarily due to additional interest expense related to the issuance of our $370 million 5.25% senior unsecured notes due January 16, 2018.</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impairment charge in 2011 of $18 million was due to an other-than-temporary impairment charge related to our available-for-sale investment security in Dubai Financial Market PJSC, or DFM.</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the income tax provision reflects an increase in the overall effective tax rate from 26.0% in 2010 to 33.2% in 2011.</w:t>
      </w:r>
    </w:p>
    <w:p>
      <w:pPr>
        <w:spacing w:after="0" w:line="185"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Excluding our merger and strategic initiatives expense, asset impairment charge and other items that are not reflective of our core business performance, net of taxes, consolidated net income attributable to NASDAQ OMX for the year ended December 31, 2011 was $455 million, or $2.53 per diluted share, compared with $411 million, or $1.99 per diluted share, for the year ended December 31, 2010. See “Non-GAAP Financial Measures” for further discussion.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of our financial performance, see below.</w:t>
      </w:r>
    </w:p>
    <w:p>
      <w:pPr>
        <w:spacing w:after="0" w:line="15" w:lineRule="exact"/>
        <w:rPr>
          <w:sz w:val="20"/>
          <w:szCs w:val="20"/>
          <w:color w:val="auto"/>
        </w:rPr>
      </w:pPr>
    </w:p>
    <w:p>
      <w:pPr>
        <w:ind w:right="360" w:firstLine="456"/>
        <w:spacing w:after="0" w:line="254"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13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Impacts associated with fluctuations in foreign currency are discussed in more detail under “Item 7A. Quantitative and Qualitative Disclosures about Market Risk.” For the year ended December 31, 2011, approximately 35.6% of our revenues less transaction rebates, brokerage, clearance and exchange fees and 31.4% of our operating income were derived in currencies other than the U.S. dollar, primarily the Swedish Krona, Euro, Norwegian Krone and Danish Krone.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significant changes in our financial performance for the year ended December 31, 2011 when compared with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70" w:lineRule="exact"/>
        <w:rPr>
          <w:sz w:val="20"/>
          <w:szCs w:val="20"/>
          <w:color w:val="auto"/>
        </w:rPr>
      </w:pPr>
    </w:p>
    <w:p>
      <w:pPr>
        <w:ind w:left="780" w:right="4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less transaction rebates, brokerage, clearance and exchange fees increased $168 million, or 11.0%, to $1,690 million in 2011, compared with $1,522 million in 2010, reflecting an operational increase in revenues of $117 million and a favorable impact from foreign exchange of $51 million. The increase in operational revenues was primarily due to:</w:t>
      </w:r>
    </w:p>
    <w:p>
      <w:pPr>
        <w:spacing w:after="0" w:line="45" w:lineRule="exact"/>
        <w:rPr>
          <w:rFonts w:ascii="Arial" w:cs="Arial" w:eastAsia="Arial" w:hAnsi="Arial"/>
          <w:sz w:val="18"/>
          <w:szCs w:val="18"/>
          <w:color w:val="auto"/>
        </w:rPr>
      </w:pPr>
    </w:p>
    <w:p>
      <w:pPr>
        <w:ind w:left="1260" w:right="74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access services revenues of $49 million, primarily reflecting increased revenues related to FTEN which was acquired in December 2010 and increased demand for services;</w:t>
      </w:r>
    </w:p>
    <w:p>
      <w:pPr>
        <w:spacing w:after="0" w:line="37" w:lineRule="exact"/>
        <w:rPr>
          <w:rFonts w:ascii="Arial" w:cs="Arial" w:eastAsia="Arial" w:hAnsi="Arial"/>
          <w:sz w:val="18"/>
          <w:szCs w:val="18"/>
          <w:color w:val="auto"/>
        </w:rPr>
      </w:pPr>
    </w:p>
    <w:p>
      <w:pPr>
        <w:ind w:left="1260" w:right="36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total derivative trading and clearing revenues less transaction rebates, brokerage, clearance and exchange fees of $37 million, primarily related to U.S. operations;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market data revenues of $14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Issuer Services revenues of $19 million, primarily from Corporate Solutions revenues; and</w:t>
      </w:r>
    </w:p>
    <w:p>
      <w:pPr>
        <w:spacing w:after="0" w:line="103" w:lineRule="exact"/>
        <w:rPr>
          <w:rFonts w:ascii="Arial" w:cs="Arial" w:eastAsia="Arial" w:hAnsi="Arial"/>
          <w:sz w:val="18"/>
          <w:szCs w:val="18"/>
          <w:color w:val="auto"/>
        </w:rPr>
      </w:pPr>
    </w:p>
    <w:p>
      <w:pPr>
        <w:ind w:left="1260" w:right="22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Market Technology revenues of $13 million, primarily due to broker surveillance and delivery project revenues, partially offset by;</w:t>
      </w:r>
    </w:p>
    <w:p>
      <w:pPr>
        <w:spacing w:after="0" w:line="37" w:lineRule="exact"/>
        <w:rPr>
          <w:rFonts w:ascii="Arial" w:cs="Arial" w:eastAsia="Arial" w:hAnsi="Arial"/>
          <w:sz w:val="18"/>
          <w:szCs w:val="18"/>
          <w:color w:val="auto"/>
        </w:rPr>
      </w:pPr>
    </w:p>
    <w:p>
      <w:pPr>
        <w:ind w:left="1260" w:right="2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decrease in total cash equity trading revenues less transaction rebates, brokerage, clearance and exchange fees of $14 million, primarily related to U.S. operations.</w:t>
      </w:r>
    </w:p>
    <w:p>
      <w:pPr>
        <w:spacing w:after="0" w:line="37" w:lineRule="exact"/>
        <w:rPr>
          <w:rFonts w:ascii="Arial" w:cs="Arial" w:eastAsia="Arial" w:hAnsi="Arial"/>
          <w:sz w:val="18"/>
          <w:szCs w:val="18"/>
          <w:color w:val="auto"/>
        </w:rPr>
      </w:pPr>
    </w:p>
    <w:p>
      <w:pPr>
        <w:jc w:val="both"/>
        <w:ind w:left="780" w:right="60" w:hanging="326"/>
        <w:spacing w:after="0" w:line="325"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Operating expenses increased $103 million, or 11.6%, to $994 million in 2011, compared with $891 million in 2010, reflecting an operational increase of $69 million and an unfavorable impact from foreign exchange of $34 million. The operational increase in operating expenses was primarily due to:</w:t>
      </w:r>
    </w:p>
    <w:p>
      <w:pPr>
        <w:spacing w:after="0" w:line="1" w:lineRule="exact"/>
        <w:rPr>
          <w:rFonts w:ascii="Arial" w:cs="Arial" w:eastAsia="Arial" w:hAnsi="Arial"/>
          <w:sz w:val="16"/>
          <w:szCs w:val="16"/>
          <w:color w:val="auto"/>
        </w:rPr>
      </w:pPr>
    </w:p>
    <w:p>
      <w:pPr>
        <w:ind w:left="1260" w:right="4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merger and strategic initiatives expense of $34 million, primarily reflecting costs incurred in connection with our joint proposal to acquire NYSE Euronext;</w:t>
      </w:r>
    </w:p>
    <w:p>
      <w:pPr>
        <w:spacing w:after="0" w:line="37" w:lineRule="exact"/>
        <w:rPr>
          <w:rFonts w:ascii="Arial" w:cs="Arial" w:eastAsia="Arial" w:hAnsi="Arial"/>
          <w:sz w:val="18"/>
          <w:szCs w:val="18"/>
          <w:color w:val="auto"/>
        </w:rPr>
      </w:pPr>
    </w:p>
    <w:p>
      <w:pPr>
        <w:ind w:left="126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compensation and benefits expense of $29 million, primarily reflecting additional headcount from acquisitions, as well as stronger financial performance;</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professional and contract services expense of $9 million, primarily reflecting increased consulting costs;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 increase in marketing and advertising expense of $4 million, primarily due to increased advertising on behalf of new issuers; and</w:t>
      </w:r>
    </w:p>
    <w:p>
      <w:pPr>
        <w:spacing w:after="0" w:line="126" w:lineRule="exact"/>
        <w:rPr>
          <w:rFonts w:ascii="Arial" w:cs="Arial" w:eastAsia="Arial" w:hAnsi="Arial"/>
          <w:sz w:val="16"/>
          <w:szCs w:val="16"/>
          <w:color w:val="auto"/>
        </w:rPr>
      </w:pPr>
    </w:p>
    <w:p>
      <w:pPr>
        <w:ind w:left="1260" w:right="62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in computer operations and data communications expense of $4 million, primarily due to higher expenses from acquisitions, partially offset by;</w:t>
      </w:r>
    </w:p>
    <w:p>
      <w:pPr>
        <w:spacing w:after="0" w:line="37" w:lineRule="exact"/>
        <w:rPr>
          <w:rFonts w:ascii="Arial" w:cs="Arial" w:eastAsia="Arial" w:hAnsi="Arial"/>
          <w:sz w:val="18"/>
          <w:szCs w:val="18"/>
          <w:color w:val="auto"/>
        </w:rPr>
      </w:pPr>
    </w:p>
    <w:p>
      <w:pPr>
        <w:ind w:left="1260" w:right="400" w:hanging="455"/>
        <w:spacing w:after="0" w:line="268"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decrease in general, administrative and other expense of $13 million, primarily due to lower debt extinguishment and refinancing charges incurred in 2011 as compared to 2010.</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 charge of $18 million in 2011 was related to a non-cash, other-than-temporary impairment on our available-for-sale investment security in DFM.</w:t>
      </w:r>
    </w:p>
    <w:p>
      <w:pPr>
        <w:spacing w:after="0" w:line="37"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on divestiture of businesses of $11 million in 2010 was related to our decision to close the businesses of both NASDAQ OMX Europe, or NEURO, and Agora-X, LLC, or Agora-X, during the second quarter of 2010.</w:t>
      </w:r>
    </w:p>
    <w:p>
      <w:pPr>
        <w:spacing w:after="0" w:line="37" w:lineRule="exact"/>
        <w:rPr>
          <w:rFonts w:ascii="Arial" w:cs="Arial" w:eastAsia="Arial" w:hAnsi="Arial"/>
          <w:sz w:val="18"/>
          <w:szCs w:val="18"/>
          <w:color w:val="auto"/>
        </w:rPr>
      </w:pPr>
    </w:p>
    <w:p>
      <w:pPr>
        <w:ind w:left="780" w:right="30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expense increased $17 million, or 16.7%, to $119 million in 2011, compared with $102 million in 2010. This increase was primarily due to additional interest expense related to the issuance of our $370 million 5.25% senior unsecured notes due January 16, 2018, or the 2018 Notes, in December 2010.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Outlook</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the fourth year in a row, more share value traded on The NASDAQ Stock Market than on any other single cash equities exchange in the world. Our platform continues to stand out as a reliable, flexible, and high capacity system delivering high levels of execution quality and speed under even extremely demanding market conditions. We launched several important initiatives during 2011 that should benefit us during the challenging economic environment anticipated for 2012, which included the migration of The NASDAQ Options Market to the NASDAQ OMX PHLX technology architecture, creating one of the fastest options match engines in the industry. The standout performance and flexibility of our technology has enabled us to enter new markets with a low cost and highly regarded platform offering strong performance to both existing and new clients and creating additional sales opportunities for both our Transactions Services and Market Data businesses.</w:t>
      </w:r>
    </w:p>
    <w:p>
      <w:pPr>
        <w:spacing w:after="0" w:line="13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2010 experiences with launching INET technology on our U.S., Nordic, and Baltic exchanges continued in 2011 when the Singapore Stock Exchange and the Australian Stock Exchange each went live with Genium INET technology. By using NASDAQ OMX high performance systems in all of our exchanges, the flexibility of INET and Genium INET technology has been demonstrated around the world. BM&amp;FBOVESPA, the largest stock exchange in Latin America, and Bovespa Market Supervision, the Brazilian self-regulatory organization, announced that they will use NASDAQ OMX’s SMARTS Integrity market surveillance platform to monitor trading across their equities and commodities platforms.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2011, the SEC implemented a short sale restriction that triggers when a security declines 10% from its previous close. In August 2011, the SEC expanded its existing single stock trading pause to include all Regulation NMS securities. These regulations stem from the events of the May 6, 2010 “flash crash” and the SEC’s effort to promote market stability and investor confidence. European regulators are currently considering a number of new policies affecting the operation and infrastructure of the financial markets. We expect global markets to continue to be marked by significant change in 2012, driven primarily by regulatory initiatives in the U.S. and Europe. We expect that cash equities markets will continue to fragment into additional venues, and trading will continue to migrate from exchanges to OTC systems. Conversely, trading in OTC derivatives will begin to move onto exchanges and other public execution facilities.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2011, the overall IPO market continued its recovery from the impact of the 2008 financial crisis, though many companies decided to delay their offerings amidst the volatile market conditions that began in August 2011 following the U.S. credit rating downgrade and European debt problems. We expect the demand for public equity capital from companies experiencing the gradual return of global economic growth to support increases in the number of IPOs. Furthermore, an improved outlook for equity investments and the number of private companies seeking capital is expected to add to the IPO pipeline in 2012. We continue to leverage the opportunities in market data brought about by the breadth of NASDAQ OMX’s data distribution capabilities by offering new data products to our customer base and by strengthening our direct relationships with those customers.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year ahead will be positive for our business drivers and our operations as the global economy slowly recovers. We believe that our aggressive steps in meeting our cost, revenue, and technology objectives over the last three years will enable us to benefit from improving economic conditions in 2012. We will continue to look for opportunities to further diversify our business with enhanced product offerings and/or acquisitions that are complementary to our existing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7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commodities, structured products and ETFs. In addition, in some of the countries where we operate exchanges, we also provide clearing, settlement and depository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group—approximately 3,500 companies representing approximately $5.3 trillion in total market value as of December 31, 2011.</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 In addition, through our Corporate Solutions business, we offer companies access to innovative products and services that ease transparency, maximize board efficiency and facilitate corporate governance.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Our Market Technology segment is the world’s leading technology solutions provider and partner to exchanges, clearing organizations and central securities depositories. Our technology business also is the sales channel for our complete global offering to other marketplaces.</w:t>
      </w:r>
    </w:p>
    <w:p>
      <w:pPr>
        <w:spacing w:after="0" w:line="7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for markets with 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management allocates resources, assesses performance and manages these businesses as three separate segments. See Note 18, “Business Segments,” to the consolidated financial statements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The NASDAQ Stock Market, NASDAQ OMX BX and NASDAQ OMX PSX as well as on orders that are routed to other market venues for execution.</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cost of revenues when incurred. Section 31 fees received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These transaction fees are charged per executed order and as per value traded.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transaction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U.S. derivative trading and clearing revenues are variable, based on traded and cleared volumes, and recognized when executed or when contacts are cleared. The principal types of derivative contracts traded on NASDAQ OMX PHLX and The NASDAQ Options Market are equity options, ETF options, index options and currency options. We also operate NFX, which offers trading for foreign currency futures.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 to U.S. cash equity trading, we credit a portion of the per share execution charge to the market participant that provides the liquidity and record the transaction rebate as a cost of revenues in the Consolidated Statements of Income. Also, we pay Section 31 fees to the SEC for supervision and regulation of securities markets. See “U.S. Cash Equity Trading” above for further discussion.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engage in riskless principal trading of OTC power and gas contracts through our subsidiary NOCC. Revenues are based on notional amounts or volume of power and gas transacted and/or delivered and are recognized upon settlement of the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European derivative trading and clearing revenues conducted on NASDAQ OMX Stockholm and NASDAQ OMX Copenhagen are variable, based on the volume and value of traded and cleared contracts, and recognized when executed or when contracts are cleared.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8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18"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NASDAQ OMX Commodities offers trading and clearing of international power derivatives and carbon products. Our trading and clearing revenues are variable, based on volume, and recognized when contracts are traded or cleared. We also generate clearing revenues for contracts traded on the OTC derivative market which are also recognized when contracts are cleared. In addition, NASDAQ OMX Commodities members are billed an annual fee in January which is recognized ratably over the following 12-month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generate revenues by providing market participants with several alternatives for accessing our markets for a fee. The type of connectivity is determined by the level of functionality a customer needs. As a result,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 and are recognized when an arrangement exists, services are delivered to the customer, the selling price of the services to be provided under the arrangement is fixed or determinable, and collectability is reasonably assured. Most contracts include professional services, implementation fees, monthly subscription fees from customers accessing on-demand services, and customer support. Implementation fees are recorded to deferred revenue when billed and are recognized ratably over the remaining expected customer life. Monthly professional services, subscription, and usage fees are recognized in the month the service is provided.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Revenues from U.S. tape plans include eligible UTP Plan revenues that are shared among UTP Plan participants and are presented on a net basis.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 Revenues from net U.S. tape plans are recognized on a monthly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own data, as well as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European Market Data revenues are based on the trading information from the exchanges that comprise NASDAQ OMX Nordic and NASDAQ OMX Baltic, as well as NASDAQ OMX Commodities, for four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November 2009, we sold our Broker Services operations in the United Kingdom to TD Waterhouse.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companies listed on our Nordic and Baltic exchanges and NASDAQ OMX First North, are directly related to the listed companies’ market capitalization on a trailing 12-month basis. These revenues are recognized ratably over the following 12-month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Solutions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Global Listing Services revenues also include fees from Corporate Solutions. Our Corporate Solutions business provides customer support services, products and programs to companies, including companies listed on our exchanges. Revenues primarily include subscription income from Shareholder.com, Directors Desk and Glide Technologies, and fees from GlobeNewswire. Prior to October 2009, Corporate Solutions revenues also included commission income from our Carpenter Moore insurance agency business. In October 2009, we sold substantially all of our Carpenter Moore insurance agency business.</w:t>
      </w:r>
    </w:p>
    <w:p>
      <w:pPr>
        <w:spacing w:after="0" w:line="9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Fee income for services other than placement of insurance coverage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Glide Technologies revenues are primarily based on subscription agreements with customers and are recognized ratably over the contract period, generally one year in length.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 Broker commission adjustments and commissions on premiums billed directly by underwriters were recognized when such amounts could be reasonably estimated.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develop and license NASDAQ OMX branded indexes, associated derivatives and financial products as part of our Global Index Group business. Revenues primarily include license fees from these branded indexes,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Market Technology provides technology solutions for trading, clearing, settlement, and information dissemination, and also offers facility management integration, surveillance solutions and advisory services. Revenues are primarily derived from license, support and facility management revenues, delivery project revenues, as well as change request, advisory and broker surveillance revenues.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key drivers for our Market Services, Issuer Services, and Market Technology segments. In evaluating the performance of our business, our senior management closely watches these key drivers.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Market Services</w:t>
            </w:r>
          </w:p>
        </w:tc>
        <w:tc>
          <w:tcPr>
            <w:tcW w:w="4140" w:type="dxa"/>
            <w:vAlign w:val="bottom"/>
            <w:tcBorders>
              <w:bottom w:val="single" w:sz="8" w:color="CCEEFF"/>
            </w:tcBorders>
            <w:gridSpan w:val="8"/>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b w:val="1"/>
                <w:bCs w:val="1"/>
                <w:color w:val="auto"/>
              </w:rPr>
              <w:t>Cash Equity Trading</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6"/>
              </w:rPr>
              <w:t>NASDAQ securities</w:t>
            </w:r>
          </w:p>
        </w:tc>
        <w:tc>
          <w:tcPr>
            <w:tcW w:w="3980" w:type="dxa"/>
            <w:vAlign w:val="bottom"/>
            <w:tcBorders>
              <w:bottom w:val="single" w:sz="8" w:color="CCEEFF"/>
            </w:tcBorders>
            <w:gridSpan w:val="7"/>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Average daily share volume (in billions)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NYSE securities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Average daily share volume (in billions)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BX</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PSX</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NYSE Amex and regional securities</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Average daily share volume (in billions)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Total U.S.-listed securities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Average daily share volume (in billions)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share volume (in billions)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419.6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NASDAQ OMX Nordic and NASDAQ OMX Baltic securities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Average daily number of equity trades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370,295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Average daily value of shares traded (in billions)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U.S. Equity Options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industry average daily volume (in millions)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NASDAQ OMX PHLX matched market share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The NASDAQ Options Market matched market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NASDAQ OMX Nordic and NASDAQ OMX Baltic</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Average Daily Volume: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Options, futures and fixed-income contracts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458,547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428,523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Nordic equity option contracts traded on EDX</w:t>
            </w:r>
            <w:r>
              <w:rPr>
                <w:rFonts w:ascii="Arial" w:cs="Arial" w:eastAsia="Arial" w:hAnsi="Arial"/>
                <w:sz w:val="11"/>
                <w:szCs w:val="11"/>
                <w:color w:val="auto"/>
              </w:rPr>
              <w:t>(2)</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Finnish option contracts traded on EUREX</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99,394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w w:val="86"/>
              </w:rPr>
              <w:t>117,450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77,312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7"/>
              </w:rPr>
              <w:t>NASDAQ OMX Commodities</w:t>
            </w:r>
          </w:p>
        </w:tc>
        <w:tc>
          <w:tcPr>
            <w:tcW w:w="3300" w:type="dxa"/>
            <w:vAlign w:val="bottom"/>
            <w:tcBorders>
              <w:bottom w:val="single" w:sz="8" w:color="CCEEFF"/>
            </w:tcBorders>
            <w:gridSpan w:val="4"/>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Clearing Turnover:</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Power contracts (TWh)</w:t>
            </w:r>
            <w:r>
              <w:rPr>
                <w:rFonts w:ascii="Arial" w:cs="Arial" w:eastAsia="Arial" w:hAnsi="Arial"/>
                <w:sz w:val="11"/>
                <w:szCs w:val="11"/>
                <w:color w:val="auto"/>
              </w:rPr>
              <w:t>(3)</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10"/>
          </w:tcPr>
          <w:p>
            <w:pPr>
              <w:ind w:left="420"/>
              <w:spacing w:after="0"/>
              <w:rPr>
                <w:sz w:val="20"/>
                <w:szCs w:val="20"/>
                <w:color w:val="auto"/>
              </w:rPr>
            </w:pPr>
            <w:r>
              <w:rPr>
                <w:rFonts w:ascii="Arial" w:cs="Arial" w:eastAsia="Arial" w:hAnsi="Arial"/>
                <w:sz w:val="18"/>
                <w:szCs w:val="18"/>
                <w:color w:val="auto"/>
              </w:rPr>
              <w:t>Carbon contracts (1000 tCO2)</w:t>
            </w:r>
            <w:r>
              <w:rPr>
                <w:rFonts w:ascii="Arial" w:cs="Arial" w:eastAsia="Arial" w:hAnsi="Arial"/>
                <w:sz w:val="11"/>
                <w:szCs w:val="11"/>
                <w:color w:val="auto"/>
              </w:rPr>
              <w:t>(3)</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61,569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31,500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45,765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jc w:val="right"/>
              <w:ind w:right="16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Issuer Services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Initial public offerings: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listings: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Number of listed companies: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2,778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Market Technology</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Order intake (in millions)</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order value (in millions)</w:t>
            </w:r>
            <w:r>
              <w:rPr>
                <w:rFonts w:ascii="Arial" w:cs="Arial" w:eastAsia="Arial" w:hAnsi="Arial"/>
                <w:sz w:val="11"/>
                <w:szCs w:val="11"/>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140" w:hanging="452"/>
        <w:spacing w:after="0" w:line="228"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transactions executed on NASDAQ’s, NASDAQ OMX BX’s and NASDAQ OMX PSX’s systems plus trades reported through the FINRA/NASDAQ Trade Reporting Facility.</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 December 2009, derivative volume was transferred to NASDAQ OMX from EDX.</w:t>
      </w:r>
    </w:p>
    <w:p>
      <w:pPr>
        <w:spacing w:after="0" w:line="7" w:lineRule="exact"/>
        <w:rPr>
          <w:rFonts w:ascii="Arial" w:cs="Arial" w:eastAsia="Arial" w:hAnsi="Arial"/>
          <w:sz w:val="22"/>
          <w:szCs w:val="22"/>
          <w:color w:val="auto"/>
          <w:vertAlign w:val="superscript"/>
        </w:rPr>
      </w:pPr>
    </w:p>
    <w:p>
      <w:pPr>
        <w:ind w:left="460" w:right="440" w:hanging="452"/>
        <w:spacing w:after="0" w:line="221"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Primarily transactions executed on Nord Pool and reported for clearing to NASDAQ OMX Commodities measured by Terawatt hours (TWh) and one thousand metric tons of carbon dioxide (1000 tCO2).</w:t>
      </w:r>
    </w:p>
    <w:p>
      <w:pPr>
        <w:ind w:left="460" w:right="700" w:hanging="452"/>
        <w:spacing w:after="0" w:line="22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ETFs.</w:t>
      </w:r>
    </w:p>
    <w:p>
      <w:pPr>
        <w:ind w:left="460" w:right="620" w:hanging="452"/>
        <w:spacing w:after="0" w:line="22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and represent companies listed on the exchanges that comprise NASDAQ OMX Nordic and NASDAQ OMX Baltic and companies on the alternative markets of NASDAQ OMX First North.</w:t>
      </w:r>
    </w:p>
    <w:p>
      <w:pPr>
        <w:ind w:left="460" w:hanging="452"/>
        <w:spacing w:after="0" w:line="20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for NASDAQ at period end, including separately listed ETFs.</w:t>
      </w:r>
    </w:p>
    <w:p>
      <w:pPr>
        <w:spacing w:after="0" w:line="7" w:lineRule="exact"/>
        <w:rPr>
          <w:rFonts w:ascii="Arial" w:cs="Arial" w:eastAsia="Arial" w:hAnsi="Arial"/>
          <w:sz w:val="22"/>
          <w:szCs w:val="22"/>
          <w:color w:val="auto"/>
          <w:vertAlign w:val="superscript"/>
        </w:rPr>
      </w:pPr>
    </w:p>
    <w:p>
      <w:pPr>
        <w:ind w:left="460" w:right="20" w:hanging="452"/>
        <w:spacing w:after="0" w:line="221"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Represents companies listed on the exchanges that comprise NASDAQ OMX Nordic and NASDAQ OMX Baltic and companies on the alternative markets of NASDAQ OMX First North at period end.</w:t>
      </w:r>
    </w:p>
    <w:p>
      <w:pPr>
        <w:ind w:left="460" w:hanging="452"/>
        <w:spacing w:after="0" w:line="20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Total contract value of orders signed during the period.</w:t>
      </w:r>
    </w:p>
    <w:p>
      <w:pPr>
        <w:spacing w:after="0" w:line="7" w:lineRule="exact"/>
        <w:rPr>
          <w:rFonts w:ascii="Arial" w:cs="Arial" w:eastAsia="Arial" w:hAnsi="Arial"/>
          <w:sz w:val="22"/>
          <w:szCs w:val="22"/>
          <w:color w:val="auto"/>
          <w:vertAlign w:val="superscript"/>
        </w:rPr>
      </w:pPr>
    </w:p>
    <w:p>
      <w:pPr>
        <w:ind w:left="460" w:right="240" w:hanging="452"/>
        <w:spacing w:after="0" w:line="230"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 value of orders signed that are yet to be recognized as revenue. Market Technology deferred revenue, as discussed in Note 7, “Deferred Revenue” to the consolidated financial statements, represents cash payments received that are yet to be recognized as revenue for these signed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-2218055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Of our total 2011 revenues less transaction rebates, brokerage, clearance and exchange fees of $1,690 million, 67.4% was from our Market Services segment, 21.8% was from our Issuer Services segment and 10.8% was from our Market Technology segment. Of our total 2010 revenues less transaction rebates, brokerage, clearance and exchange fees of $1,522 million, 67.3% was from our Market Services segment, 22.6% was from our Issuer Services segment, 10.0% was from our Market Technology segment and 0.1% related to other revenues. Of our total 2009 revenues less transaction rebates, brokerage, clearance and exchange fees of $1,453 million, 67.2% was from our Market Services segment, 22.7% was from our Issuer Services segment, 10.0% was from our Market Technology segment and 0.1% related to other revenues.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shows our revenues by segment, cost of revenues for our Market Services segment and total revenues less transaction rebates, brokerage, clearance and exchange fees: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left="438"/>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$ 2,886</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$ 2,700</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$ 2,934</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(1,748)</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(1,675)</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(1,958)</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08"/>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Services revenues less transaction rebates, brokerage,</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1,025</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976</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Issuer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344</w:t>
            </w: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330</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152</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145</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r>
      <w:tr>
        <w:trPr>
          <w:trHeight w:val="223"/>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08"/>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 less transaction rebates, brokerage, clearance and</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$ 1,690</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$ 1,522</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$ 1,453</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r>
      <w:tr>
        <w:trPr>
          <w:trHeight w:val="20"/>
        </w:trPr>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220" w:type="dxa"/>
            <w:vAlign w:val="bottom"/>
            <w:gridSpan w:val="2"/>
          </w:tcPr>
          <w:p>
            <w:pPr>
              <w:ind w:left="300"/>
              <w:spacing w:after="0"/>
              <w:rPr>
                <w:sz w:val="20"/>
                <w:szCs w:val="20"/>
                <w:color w:val="auto"/>
              </w:rPr>
            </w:pPr>
            <w:r>
              <w:rPr>
                <w:rFonts w:ascii="Arial" w:cs="Arial" w:eastAsia="Arial" w:hAnsi="Arial"/>
                <w:sz w:val="18"/>
                <w:szCs w:val="18"/>
                <w:color w:val="auto"/>
              </w:rPr>
              <w:t>Denotes a variance equal to 100.0%.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total revenues less transaction rebates, brokerage, clearance and exchange fees from our Market Services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7"/>
          </w:tcPr>
          <w:p>
            <w:pPr>
              <w:jc w:val="center"/>
              <w:ind w:left="395"/>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35"/>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 Services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Cash Equity Trading Revenues: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cash equity trading</w:t>
            </w:r>
            <w:r>
              <w:rPr>
                <w:rFonts w:ascii="Arial" w:cs="Arial" w:eastAsia="Arial" w:hAnsi="Arial"/>
                <w:sz w:val="11"/>
                <w:szCs w:val="11"/>
                <w:color w:val="auto"/>
              </w:rPr>
              <w:t>(1)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$ 1,617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2,010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Transaction rebates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(1,394)</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(467)</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U.S. cash equity cost of revenues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(1,861)</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w w:val="96"/>
              </w:rPr>
              <w:t>U.S. cash equity trading revenues less transaction rebates, brokerage,</w:t>
            </w: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clearance and exchange fees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155</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149</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cash equity trading</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b w:val="1"/>
                <w:bCs w:val="1"/>
                <w:color w:val="auto"/>
                <w:w w:val="88"/>
              </w:rPr>
              <w:t>Total cash equity trading revenues less transaction rebates, brokerage,</w:t>
            </w: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b w:val="1"/>
                <w:bCs w:val="1"/>
                <w:color w:val="auto"/>
              </w:rPr>
              <w:t>clearance and exchange fees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248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244</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 Revenues:</w:t>
            </w: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U.S. derivative trading and clearing</w:t>
            </w:r>
            <w:r>
              <w:rPr>
                <w:rFonts w:ascii="Arial" w:cs="Arial" w:eastAsia="Arial" w:hAnsi="Arial"/>
                <w:sz w:val="11"/>
                <w:szCs w:val="11"/>
                <w:color w:val="auto"/>
              </w:rPr>
              <w:t>(2)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471</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Transaction rebates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U.S. derivative trading and clearing cost of revenues</w:t>
            </w: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19.2%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U.S. derivative trading and clearing revenues less transaction rebates,</w:t>
            </w: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brokerage, clearance and exchange fees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European derivative trading and clearing</w:t>
            </w: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Total derivative trading and clearing revenues less transaction</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rebates, brokerage, clearance and exchange fees</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Access Services Revenues</w:t>
            </w: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Total Transaction Services revenues less transaction rebates, brokerage,</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Market Data Revenues:</w:t>
            </w: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U.S. tape plans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U.S. market data products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119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market data products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Market Data revenues</w:t>
            </w: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Broker Services Revenues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Market Services Revenues</w:t>
            </w: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Market Services revenues less transaction rebates, brokerage,</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$ 1,138</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976</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Denotes a variance greater than 100.0%.</w:t>
      </w:r>
    </w:p>
    <w:p>
      <w:pPr>
        <w:spacing w:after="0" w:line="11" w:lineRule="exact"/>
        <w:rPr>
          <w:sz w:val="20"/>
          <w:szCs w:val="20"/>
          <w:color w:val="auto"/>
        </w:rPr>
      </w:pPr>
    </w:p>
    <w:p>
      <w:pPr>
        <w:ind w:left="460" w:right="16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$304 million in 2011, $252 million in 2010 and $314 million in 2009. Section 31 fees are recorded as U.S. cash equity trading revenues with a corresponding amount recorded in cost of revenues.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$26 million in 2011, $19 million in 2010 and $14 million in 2009. Section 31 fees are recorded as U.S. derivative trading and clearing revenues with a corresponding amount recorded in cost of revenues.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Transaction Services revenues less transaction rebates, brokerage, clearance and exchange fees increased in both 2011 compared with 2010 and 2010 compared with 2009. The increases were primarily due to increases in derivative trading and clearing revenues less transaction rebates, brokerage, clearance and exchange fees and access services revenues. The increase in 2011 was partially offset by lower cash equity trading revenues less transaction rebates, brokerage, clearance and exchange fees. An increase in cash equity trading revenues less transaction rebates, brokerage, clearance and exchange fees also contributed to the increase in 2010.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Cash Equity Trading Revenues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U.S. cash equity trading revenues less transaction rebates, brokerage, clearance and exchange fees decreased in 2011 compared with 2010 and increased in 2010 compared with 2009. The decrease in 2011 was primarily due to a decline in industry trading volumes, as well as a decline in our matched market share, partially offset by modified rates. The increase in 2010 was primarily due to modified rates and lower tiered rebate payouts, partially offset by a significant decline in industry trading volumes and a decline in our matched market share.</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U.S. cash equity trading revenues increased in 2011 compared with 2010 and decreased in 2010 compared with 2009. The increase in 2011 was primarily due to an increase in Section 31 pass-through fee revenues and modified rates, partially offset by a decline in industry trading volumes and a decline in our matched market share. The decrease in 2010 was primarily due to a significant decline in industry trading volumes, a decrease in Section 31 pass-through fee revenues charged by us to our customers and a decline in our matched market share.</w:t>
      </w:r>
    </w:p>
    <w:p>
      <w:pPr>
        <w:spacing w:after="0" w:line="99"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record Section 31 fees as U.S. cash equity trading revenues with a corresponding amount recorded as cost of revenues.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in cost of revenues, there is no impact on our revenues less transaction rebates, brokerage, clearance and exchange fees. Section 31 fees were $304 million in 2011, $252 million in 2010 and $314 million in 2009. The increase in 2011 compared with 2010 was primarily due to an increase in Section 31 fee rates in 2011, partially offset by lower dollar value traded on the NASDAQ and NASDAQ OMX BX trading systems. The decrease in 2010 compared with 2009 was primarily due to lower Section 31 fee rates and lower dollar value traded on NASDAQ and NASDAQ OMX BX’s trading systems.</w:t>
      </w:r>
    </w:p>
    <w:p>
      <w:pPr>
        <w:spacing w:after="0" w:line="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NASDAQ and NASDAQ OMX PSX, we credit a portion of the per share execution charge to the market participant that provides the liquidity and for NASDAQ OMX BX, we credit a portion of the per share execution charge to the market participant that takes the liquidity. These transaction rebates decreased in both 2011 compared with 2010 and 2010 compared with 2009. The decrease in 2011 was primarily due to a decline in industry trading volumes, as well as a decline in our matched market share, partially offset by higher average rebate rates due to changes in our pricing program on the NASDAQ, NASDAQ OMX BX and NASDAQ OMX PSX trading systems. The decrease in 2010 was primarily due to declines in matched share volume on NASDAQ’s trading system due to a significant decline in industry volumes, lower tiered rebate payouts and a decline in our matched market share.</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Brokerage, clearance and exchange fees increased in 2011 compared with 2010 and decreased in 2010 compared with 2009. The increase in 2011 was primarily due to an increase in Section 31 pass-through fees, partially offset by a decrease in the amount of volume routed by NASDAQ due to declines in industry trading volumes and in our matched market share. The decrease in 2010 was primarily due to a decrease in Section 31 pass-through fees, lower routing costs, and a decrease in the amount of volume routed by NASDAQ due to declines in industry trading volumes.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Cash Equity Trading Revenues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European cash equity trading revenues include trading revenues from equity products traded on the NASDAQ OMX Nordic and NASDAQ OMX Baltic exchanges and NEURO (for periods prior to closing our NEURO business). European cash equity trading revenues increased in 2011 compared with 2010 and decreased in 2010 compared with 2009. The increase in 2011 was primarily due to a favorable impact from foreign exchange of $7 million, partially offset by a decrease in trading activity. The decrease in 2010 was primarily due to revised trading fees introduced in the first quarter of 2010, partially offset by an increase in trading activity and a favorable impact from foreign exchange of $2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Derivative Trading and Clearing Revenues</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U.S. derivative trading and clearing revenues and revenues less transaction rebates, brokerage, clearance and exchange fees increased in both 2011 compared with 2010 and 2010 compared with 2009. The increases were primarily due to increases in industry trading volumes and our matched market share. The increase in 2010 was partially offset by lower average net fees for traded contracts.</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increase in U.S. derivative trading and clearing revenues in both 2011 compared with 2010 and 2010 compared with 2009 was also due to higher Section 31 pass-through fee revenues as discussed below.</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Similar to U.S. cash equity trading, Section 31 fees are recorded as derivative trading and clearing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transaction rebates, brokerage, clearance and exchange fees. Section 31 fees were $26 million in 2011, $19 million in 2010 and $14 million 2009. The increase in both 2011 and 2010 compared with the prior year periods is primarily due to an increase in dollar value traded and higher Section 31 fee rates.</w:t>
      </w:r>
    </w:p>
    <w:p>
      <w:pPr>
        <w:spacing w:after="0" w:line="10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Transaction rebates, in which we credit a portion of the per share execution charge to the market participant, increased in both 2011 compared with 2010 and 2010 compared with 2009. The increase in 2011 was primarily due to increases in industry trading volumes and market share. The increase in 2010 was primarily due to a revised fee structure implemented in the first quarter of 2010 along with higher volumes traded and an increase in our matched market share.</w:t>
      </w:r>
    </w:p>
    <w:p>
      <w:pPr>
        <w:spacing w:after="0" w:line="7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Brokerage, clearance and exchange fees increased in both 2011 compared with 2010 and 2010 compared with 2009. The increases were primarily due to an increase in Section 31 pass-through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Derivative Trading and Clearing Revenues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European derivative trading and clearing revenues include trading and clearing revenues from derivative products traded on NASDAQ OMX Stockholm and NASDAQ OMX Copenhagen, clearing revenues from resale and repurchase agreements on NASDAQ OMX Stockholm and revenues from NASDAQ OMX Commodities. Beginning in May 2010, trading and clearing revenues for energy and carbon products include revenues from Nord Pool. European derivative trading and clearing revenues increased in both 2011 compared with 2010 and 2010 compared with 2009. The increase in 2011 was primarily due to a favorable impact from foreign exchange of $11 million, partially offset by lower trading activity in energy products. The increase in 2010 was primarily due to higher trading and clearing revenues due to the transfer of derivative volume from EDX to NASDAQ OMX in the fourth quarter of 2009. Also contributing to the increase in 2010 was transaction activity associated with clearing resale and repurchase agreements, which was launched in the fourth quarter of 2010, and a favorable impact from foreign exchange of $5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European derivative trading and clearing: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top w:val="single" w:sz="8" w:color="auto"/>
            </w:tcBorders>
            <w:gridSpan w:val="3"/>
          </w:tcPr>
          <w:p>
            <w:pPr>
              <w:jc w:val="center"/>
              <w:ind w:left="527"/>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2010 vs.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European Derivative Trading and Clearing Revenues: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Options and futures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33</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Energy and carbon products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Fixed-income products</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revenues and fees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European Derivative Trading and Clearing revenues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115</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87</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11.3%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 Revenues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Access Services revenues increased in both 2011 compared with 2010 and 2010 compared with 2009. The increase in 2011 was primarily due to an increase in revenues from FTEN, which was acquired in December 2010, and increased demand for services. The increase in 2010 was primarily due to increased demand for co-location and network connectivity services and a revised fee structure for access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Market Data revenues increased in 2011 compared with 2010 and decreased in 2010 compared with 2009. The increase in 2011 was primarily due to increases in U.S. and European market data products revenues and a favorable impact from foreign exchange, partially offset by a decrease in net U.S. tape plans revenues. The decrease in 2010 was primarily due to decreases in net U.S. tape plans revenues and European market data products revenues, partially offset by an increase in U.S. market data products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U.S. Tape Plans Revenues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decline in net U.S. tape plans revenues in 2011 compared with 2010 was primarily due to lower plan shareable revenues and declines in NASDAQ’s trading and quoting market share of U.S. cash equities, as calculated under the SEC-mandated market data revenue quoting and trading formula. The decline in net U.S. tape plans revenues in 2010 compared with 2009 was primarily due to declines in NASDAQ’s trading and quoting market share of U.S. cash equities, as calculated under the SEC-mandated market data revenue quoting and trading formula, and reductions in the size of the tape plan revenue pools mainly driven by declines in subscriber populations.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Data Products Revenues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increase in U.S. market data products revenues in 2011 compared with 2010 was primarily due to higher customer demand for proprietary data products, mainly index data, and higher audit fees. The increase in U.S. market data products revenues in 2010 compared with 2009 was primarily due to growth of new products such as BX TotalView, options data feeds and mutual fund products, partially offset by discontinued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Market Data Products Revenues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increase in European market data products revenues in 2011 compared with 2010 was primarily due to modified fees for market data products and a favorable impact from foreign exchange of $6 million. The decrease in European market data products revenues in 2010 compared with 2009 was primarily due to declines in subscriber populations and discontinued products, partially offset by modified fees for market data products and a favorable impact from foreign exchange of $1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Services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Broker Services revenues increased in 2011 compared with 2010 and decreased in 2010 compared with 2009. The increase in 2011 is primarily due to new customers and a favorable impact from foreign exchange of $2 million. The decrease in 2010 was primarily due to the sale of our Broker Services operations in the United Kingdom to TD Waterhouse in November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Issuer Services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Listing Services Revenues: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Annual renewal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117</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Listing of additional shares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Initial listing</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U.S. listing services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European listing services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Solutions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Global Listing Services revenues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291</w:t>
            </w:r>
          </w:p>
        </w:tc>
        <w:tc>
          <w:tcPr>
            <w:tcW w:w="56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Index Group Revenues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Issuer Services revenues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330</w:t>
            </w:r>
          </w:p>
        </w:tc>
        <w:tc>
          <w:tcPr>
            <w:tcW w:w="56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Listing Services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Global Listing Services revenues increased in both 2011 compared with 2010 and 2010 compared with 2009. The increases in both 2011 and 2010 were primarily due to increases in Corporate Solutions and European listing services revenues.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European listing services revenues increased in both 2011 compared with 2010 and 2010 compared with 2009. The increase in 2011 was primarily due to a favorable impact from foreign exchange of $5 million. The increase in 2010 was primarily due to an increase in the market capitalization of Nordic issuers, partially offset by a decrease in the number of listed companies from 797 as of December 31, 2009 to 780 as of December 31, 2010. European listing services revenues are recognized ratably over a 12-month period.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Corporate Solutions revenues increased in both 2011 compared with 2010 and 2010 compared with 2009 primarily due to expanding customer utilization of Shareholder.com, Directors Desk and GlobeNewswire, as well as revenues from ZVM, which was acquired in December 2010, and Glide Technologies, which was acquired in October 2011. Partially offsetting the increase in 2010 was a decrease in Carpenter Moore revenues primarily due to the sale of substantially all of our Carpenter Moore insurance agency business in October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Index Group Revenues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Global Index Group revenues increased in both 2011 compared with 2010 and 2010 compared with 2009 primarily due to an increase in underlying assets associated with NASDAQ OMX-licensed ETFs, as well as additional demand for new licensed ETFs and other financial products, partially offset by lower futures and options volumes.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Market Technology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6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2011</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2009</w:t>
            </w:r>
          </w:p>
        </w:tc>
        <w:tc>
          <w:tcPr>
            <w:tcW w:w="54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Technology:</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License, support and facility management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Delivery project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Change request, advisory and broker surveillance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37.5%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r>
      <w:tr>
        <w:trPr>
          <w:trHeight w:val="27"/>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Market Technology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Market Technology revenues increased in both 2011 compared with 2010 and 2010 compared with 2009. The increase in 2011 was primarily due to a favorable impact from foreign exchange of $18 million, as well as operational increases in change request, advisory and broker surveillance revenues and delivery project revenues. The increase in 2010 was primarily due to an increase in change request, advisory and broker surveillance revenues, partially offset by decreases in delivery project revenues and license, support and facility management revenues.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Support and Facility Management Revenues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License, support and facility management revenues increased in 2011 compared with 2010 and decreased in 2010 compared with 2009. The increase in 2011 was primarily due to a favorable impact from foreign exchange of $12 million. The decrease in 2010 was primarily due to a decrease in facility management revenues due to the loss of facility management customers. Partially offsetting this decrease was an increase in support revenues resulting from our acquisition of SMARTS in August 2010, clients entering the support stage of their contracts and a favorable impact from foreign exchange of $6 million in 2010.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Project Revenues</w:t>
      </w:r>
    </w:p>
    <w:p>
      <w:pPr>
        <w:spacing w:after="0" w:line="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Delivery project revenues increased in 2011 compared with 2010 and decreased in 2010 compared with 2009. The increase in 2011 was primarily due to the recognition of previously deferred revenues in the current periods, as well as a favorable impact from foreign exchange of $2 million. The decrease in 2010 was primarily due to higher deliveries of market technology contracts during 2009, partially offset by a favorable impact from foreign exchange of $1 million in 2010. Delivery project revenues are derived from the system solutions developed and sold by NASDAQ OMX. Total revenues, as well as costs incurred, are typically deferred until the customization and any significant modifications are completed and are then recognized over the post contract support period.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Request, Advisory and Broker Surveillance Revenues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Change request, advisory and broker surveillance revenues increased in both 2011 compared with 2010 and 2010 compared with 2009. The increases were primarily due to an increase in broker surveillance revenues resulting from our acquisition of SMARTS in August 2010. The increase in 2010 was also due to higher change request activity. In addition, there was a favorable impact from foreign exchange of $4 million in 2011.</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Total Order Value</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of December 31, 2011, total order value, which represents the total contract value of orders signed that are yet to be recognized as revenues, was $458 million. Market Technology deferred revenue of $128 million, which is included in this amount, represents cash payments received that are yet to be recognized as revenue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signed orders. See Note 7,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Total Order Value</w:t>
            </w:r>
          </w:p>
        </w:tc>
      </w:tr>
      <w:tr>
        <w:trPr>
          <w:trHeight w:val="142"/>
        </w:trPr>
        <w:tc>
          <w:tcPr>
            <w:tcW w:w="6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operating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Marketing and advertising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Professional and contract services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15.4%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Occupancy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Merger and strategic initiatives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38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891</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850</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Denotes a variance greater than 100.0%.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Total operating expenses increased $103 million in 2011 compared with 2010 and $41 million in 2010 compared with 2009. The increase in 2011 reflects an operational increase of $69 million and an unfavorable impact from foreign exchange of $34 million. The operational increase of $69 million in 2011 was primarily due to an increase in merger and strategic initiatives expenses, compensation and benefits expense, professional and contract services expense, marketing and advertising expense, and computer operations and data communications expense, partially offset by a decrease in general, administrative and other expense. The increase in 2010 reflects an operational increase of $27 million and an unfavorable impact from foreign exchange of $14 million. The operational increase of $27 million in 2010 was primarily due to an increase in general, administrative and other expense for charges incurred in connection with the January 2010 repayment of our senior secured credit facilities in place as of December 31, 2009, partially offset by asset retirements in the third quarter of 2009 related to obsolete technology assets.</w:t>
      </w:r>
    </w:p>
    <w:p>
      <w:pPr>
        <w:spacing w:after="0" w:line="1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Compensation and benefits expense increased in both 2011 compared with 2010 and 2010 compared with 2009. The increase in 2011 was primarily due to an increase in salary expense from SMARTS, FTEN and ZVM, which were acquired in the second half of 2010, and Glide Technologies, which was acquired in October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and higher compensation expenses reflecting stronger financial performance, as well as an unfavorable impact from foreign exchange of $17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expense in 2010 compared with 2009 reflects an unfavorable impact from foreign exchange of $7 million and higher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reflecting stronger financial performance, partially offset by a decrease in salary expense primarily due to the sale of substantially all of our Carpenter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Moore insurance agency business and our Broker Services operations in the United Kingdom in the fourth quarter of 2009. Headcount, including staff employed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consolidated entities where we have a controlling financial interest, increased to 2,433 employees at December 31, 2011 from 2,395 employees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and 2,235 employees at December 31, 2009. The increase in headcount in 2011 compared with 2010 was primarily due to our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Glide Technologies. The increase in headcount in 2010 compared with 2009 was primarily due to our acquisitions of SMARTS, FTEN and ZVM.</w:t>
      </w:r>
    </w:p>
    <w:p>
      <w:pPr>
        <w:spacing w:after="0" w:line="17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Marketing and advertising expense increased in both 2011 compared with 2010 and 2010 compared with 2009. The increase in 2011 was primarily due to increased advertising on behalf of new issuers. The increase in 2010 was primarily due to production and media costs of a television advertisement campaign, as well as increased advertising on behalf of new issuers.</w:t>
      </w:r>
    </w:p>
    <w:p>
      <w:pPr>
        <w:spacing w:after="0" w:line="127"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Depreciation and amortization expense increased in 2011 compared with 2010 and decreased slightly in 2010 compared with 2009. The increase in 2011 was primarily due to an unfavorable impact from foreign exchange of $4 million, as well as additional depreciation and amortization expense as a result of our acquisitions of SMARTS, FTEN and ZVM, which were acquired in the second half of 2010, and Glide Technologies, which was acquired in October 2011.</w:t>
      </w:r>
    </w:p>
    <w:p>
      <w:pPr>
        <w:spacing w:after="0" w:line="7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Professional and contract services expense increased in both 2011 compared with 2010 and 2010 compared with 2009. The increase in 2011 was primarily due to costs incurred for information technology security consultants and an unfavorable impact from foreign exchange of $3 million. The increase in 2010 was primarily due to an unfavorable impact from foreign currency of $1 million.</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Computer operations and data communications expense increased in 2011 compared with 2010 and remained flat in 2010 compared with 2009. The increase in 2011 was primarily due to our acquisitions of SMARTS, FTEN and ZVM, which were acquired in the second half of 2010, and an unfavorable impact from foreign exchange of $3 million.</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Occupancy expense increased in both 2011 compared with 2010 and 2010 compared with 2009. The increase in 2011 was primarily due to an unfavorable impact from foreign exchange of $3 million. The increase in 2010 was primarily due to an increase in co-location rent related to the build-out of our data centers, a $5 million sublease loss reserve recorded in 2010 due to our decision to vacate space we currently lease in Philadelphia, San Francisco and London, and an unfavorable impact from foreign exchange of $1 million. Partially offsetting these increases in 2010 was an $8 million sublease loss reserve recorded in 2009 on the space we occupy in Stockholm, Sweden.</w:t>
      </w:r>
    </w:p>
    <w:p>
      <w:pPr>
        <w:spacing w:after="0" w:line="12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Regulatory expense remained flat in 2011 compared with 2010 and increased in 2010 compared with 2009. The increase in 2010 was primarily due to outsourcing the regulation of NASDAQ OMX PHLX to FINRA in 2010. FINRA provides regulatory services to The NASDAQ Stock Market, The NASDAQ Options Market, NASDAQ OMX PHLX, NASDAQ OMX PSX and the markets operated and regulated by NASDAQ OMX BX, including the regulation of trading activity and surveillance and investigative functions.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Merger and strategic initiatives expense was $38 million in 2011 compared with $4 million in 2010 and $17 million in 2009. Merger and strategic initiatives expense for 2011 primarily related to costs incurred for advisors, bank commitment fees, legal and other professional services related to our joint proposal to acquire NYSE Euronext, as well as costs related to our acquisition of Glide Technologies in October 2011. Merger and strategic initiatives expense for 2010 included legal and consulting costs related to our acquisitions of SMARTS and FTEN and costs related to strategic initiatives. Merger and strategic initiatives expense for 2009 was directly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attributable to the business combination with OMX AB and the acquisition of PHLX, but did not qualify as purchase accounting adjustments. The costs primarily included consulting and legal costs related to our integration of OMX AB and PHLX. Merger expenses in 2009 also included costs related to sales and use tax exposures that existed on previous acquisitions.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 administrative and other expense was $84 million in 2011 compared with $93 million in 2010 and $59 million in 2009. General, administrative and other expense for 2011 included a pre-tax charge of $25 million related to the write-off of a portion of the unamortized balance of debt issuance costs and debt discount related to the repayment of $335 million of the aggregate principal amount outstanding of the 2013 Convertible Notes, that was completed in October 2011, a pre-tax charge of $6 million related to the write-off of the remaining unamortized balance of debt issuance costs related to the $700 million senior unsecured term loan facility that was repaid in September 2011, as well as an unfavorable impact from foreign exchange of $4 million. General, administrative and other expense for 2010 included a pre-tax charge of $40 million, which included the write-off of the remaining unamortized balance of debt issuance costs of $28 million incurred in conjunction with our senior secured credit facilities in place as of December 31, 2009, costs to terminate our float-to-fixed interest rate swaps previously designated as a cash flow hedge of $9 million and other costs of $3 million. General, administrative and other expense for 2009 included asset retirements of $10 million related to obsolete technology assets, partially offset by the recognition of pre-tax gains of $4 million on the early extinguishment of debt, net of debt issuance and other costs.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non-operating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5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16.7%</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Dividend and investment income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impairment charge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Loss on divesture of businesses</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unconsolidated investees,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Debt conversion expense</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sale of investment security</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Gain on sales of businesses</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non-operating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gridSpan w:val="2"/>
          </w:tcPr>
          <w:p>
            <w:pPr>
              <w:ind w:left="200"/>
              <w:spacing w:after="0"/>
              <w:rPr>
                <w:sz w:val="20"/>
                <w:szCs w:val="20"/>
                <w:color w:val="auto"/>
              </w:rPr>
            </w:pPr>
            <w:r>
              <w:rPr>
                <w:rFonts w:ascii="Arial" w:cs="Arial" w:eastAsia="Arial" w:hAnsi="Arial"/>
                <w:sz w:val="18"/>
                <w:szCs w:val="18"/>
                <w:color w:val="auto"/>
              </w:rPr>
              <w:t>Denotes a variance equal to or greater than 100.0%.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4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Total non-operating expenses were $123 million in 2011 compared with $105 million in 2010 and $212 million in 2009. Total non-operating expenses for 2011 primarily include net interest expense of $108 million and a pre-tax impairment charge of $18 million on our investment security in DFM. Total non-operating expenses for 2010 primarily include net interest expense and a pre-tax loss on divesture of businesses. Total non-operating expenses for 2009 primarily include net interest expense, as well as pre-tax impairment charges on unconsolidated investees, debt conversion expense, and a loss on the sale of an investment security, partially offset by a gain on sale of businesses.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Income</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income increased in 2011 compared with 2010 and decreased in 2010 compared with 2009. The increase in 2011 was primarily due to an increase in cash and cash equivalents in 2011 and a favorable impact from foreign exchange of $1 million. The decrease in 2010 was primarily due to lower average interest rates earned on our short term investments included in cash and cash equivalents, as well as on financial investments, at fair value in our Consolidated Balance Sheets.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for 2011 was $119 million, and was comprised of $97 million of interest expense, $13 million of non-cash expense associated with accretion of debt discounts, $6 million of non-cash debt issuance amortization expense, and $3 million of other bank and investment-related fees. Interest expense increased in 2011 compared with 2010 primarily due to higher average outstanding debt obligations in 2011 resulting from the issuance of our 2018 Notes in December 2010 to partially finance the repurchase of shares. See Note 8, “Debt Obligations,” to the consolidated financial statements for further discussion of our debt obligations.</w:t>
      </w:r>
    </w:p>
    <w:p>
      <w:pPr>
        <w:spacing w:after="0" w:line="12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Interest expense for 2010 was $102 million, and was comprised of $81 million in interest expense, $14 million of non-cash expense associated with accretion of debt discounts and $7 million in non-cash debt issuance amortization expense. Interest expense remained flat in 2010 compared with 2009 as decreases in interest expense due to lower average outstanding debt obligations in 2010 resulting from principal amortization payments made in 2009 and 2010 and repurchases of our debt during 2009 were offset by increases in interest expense due to higher average interest rates on our debt obligations.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and Investment Income</w:t>
      </w:r>
    </w:p>
    <w:p>
      <w:pPr>
        <w:spacing w:after="0" w:line="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Dividend and investment income increased in 2011 compared with 2010 and decreased in 2010 compared with 2009. The increase in 2011 was primarily due to an increase in the fair value of our government debt securities portfolio as a result of decreased interest rates. The decrease in 2010 was primarily due to a decrease in the fair value of our government debt securities portfolio as a result of increased interest rates.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Asset Impairment Charge</w:t>
      </w:r>
    </w:p>
    <w:p>
      <w:pPr>
        <w:spacing w:after="0" w:line="77"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In the fourth quarter of 2011, we recorded a non-cash, other-than-temporary impairment charge of $18 million related to our available-for-sale investment security in DFM. See “Investment in DFM,” of Note 5, “Investments,” to the consolidated financial statements for further discussion.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Loss on Divestiture of Businesses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loss on divestiture of businesses of $11 million in 2010 was due to our decision to close the businesses of both NEURO ($6 million) and Agora-X ($5 million) in the second quarter of 2010.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(Loss) from Unconsolidated Investees, net</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Net income from unconsolidated investees of $2 million in both 2011 and 2010 was related to our share in the earnings and losses of our equity method investments. The net loss in 2009 of $107 million was primarily due to impairment charges related to our investments in NASDAQ Dubai and Agora-X and the sale of our shares in Orc Software AB, or Orc. See below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NASDAQ Dubai</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December 2009, we agreed to participate in the realignment of the ownership structure of NASDAQ Dubai. The realignment was completed in May 2010 and at that time, NASDAQ Dubai became a wholly-owned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subsidiary of DFM, a publicly traded company controlled by Borse Dubai. We received a 1% equity interest in DFM in exchange for our equity interest in NASDAQ Dubai. Our existing technology and trademark licensing arrangements with Borse Dubai and NASDAQ Dubai remained unchanged.</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realignment of the ownership structure discussed above, a third-party specialist determined the fair value of NASDAQ Dubai. Based on this valuation, we determined our carrying value of NASDAQ Dubai was no longer recoverable and was in fact impaired, and we wrote down our investment to fair value which resulted in an $82 million pre-tax, non-cash impairment charge for the year ended December 31, 2009.</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the time of the realignment in May 2010, we recorded a pre-tax, non-cash loss of $1 million in income (loss) from unconsolidated investees, net in the Consolidated Statements of Income, which was based on the difference between the price of DFM common stock multiplied by the number of shares of DFM acquired and the carrying value of our investment in NASDAQ Dubai at the time of the exchange.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NASDAQ OMX originally contributed intangible assets and $50 million in cash to NASDAQ Dubai in exchange for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stake in NASDAQ Dubai in February 2008. At that time, NASDAQ OMX valued its total NASDAQ Dubai investment at $128 million. Prior to the impairment, the investment had a carrying value of $120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Agora-X</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2009, we entered into an agreement to increase our investment in Agora-X from 20% to 85%. In evaluating the fair value of the total investment, it was determined that our carrying value of Agora-X was no longer recoverable and was in fact impaired, and we wrote down our investment to fair value which resulted in a pre-tax, non-cash impairment charge of $5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Orc Shares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second quarter of 2009, we sold our shares in Orc, representing 25.25% of the share capital of Orc, to a group of Swedish and other international investors for $54 million in cash. As a result of the sale, we recognized a $19 million loss, which is net of costs directly related to the sale, primarily broker fees.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Conversion Expense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third quarter of 2009, we recorded debt conversion expense of $25 million related to an inducement for conversion of most of the 3.75% convertible notes into common stock. The $25 million expense included a cash inducement of $9 million, the present value of the series A convertible preferred stock issued of $15 million, and debt issuance and other costs of $1 million. See “Preferred Stock,” of Note 12, “NASDAQ OMX Stockholders’ Equity,” to the consolidated financial statements for further discussion.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Loss on Sale of Investment Security</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our business combination with OMX AB, we acquired a long-term available-for-sale investment in Oslo Børs Exchange, or Oslo. During the second quarter of 2009, we made a strategic decision to sell this investment, demonstrating our intent to no longer hold this investment, and recorded a $5 million loss, which is net of costs directly related to the sale, primarily broker fees.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Gain on Sales of Businesses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October 2009, we sold substantially all of our Carpenter Moore insurance agency business. Certain assets of the western region direct practice insurance brokerage business were sold to Woodruff-Sawyer &amp; Co. and the eastern region insurance brokerage business was sold to Aon Risk Services Companies, Inc. In connection with these sales, we recorded a gain of $7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300" w:firstLine="456"/>
        <w:spacing w:after="0" w:line="375" w:lineRule="auto"/>
        <w:rPr>
          <w:sz w:val="20"/>
          <w:szCs w:val="20"/>
          <w:color w:val="auto"/>
        </w:rPr>
      </w:pPr>
      <w:r>
        <w:rPr>
          <w:rFonts w:ascii="Arial" w:cs="Arial" w:eastAsia="Arial" w:hAnsi="Arial"/>
          <w:sz w:val="18"/>
          <w:szCs w:val="18"/>
          <w:color w:val="auto"/>
        </w:rPr>
        <w:t xml:space="preserve">In November 2009, we sold our Broker Services operations in the United Kingdom to TD Waterhouse and recorded a gain of $5 million.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OMX’s income tax provision was $190 million in 2011 compared with $137 million in 2010 and $128 million in 2009. The overall effective tax rate was 33.2% in 2011, 26.0% in 2010 and 32.7% in 2009. The increase in the effective tax rate in 2011 when compared with 2010 was due to the impact of changes in tax laws in certain jurisdictions where NASDAQ OMX operates. Furthermore, in the third quarter of 2011, we recorded significant adjustments due to provision-to-tax return adjustments related to our 2010 tax return liabilities and a corresponding effect on deferred tax liabilities. The lower effective tax rate in 2010 when compared with 2009 was primarily due to the restructuring of certain NASDAQ OMX subsidiaries. Also, 2010 results included reductions in deferred tax liabilities due to a revised effective tax rate.</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9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the years 2008 and 2009 are currently under audit by the Internal Revenue Service. The review of federal income tax returns for the years 2007 and 2010 is expected to commence in 2012. Several state tax returns are currently under examination by the respective tax authorities for the years 2000 through 2009 and we are subject to examination for 2010. Non-U.S. tax returns are subject to review by the respective tax authorities for the years 2003 through 2010. In 2011, we settled audits with various taxing jurisdictions and paid a total of $1 million with respect to the years 2006 through 2009. Since this amount was included in our unrecognized tax benefits as of December 31, 2010, such payments did not affect our 2011 effective tax rate. The outcome of these audits did not have a material impact on our financial position or results of operations. We anticipate that the amount of unrecognized tax benefits at December 31, 2011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fourth quarter of 2010, we received an appeal from the Finnish Tax Authority in which such authority challenges certain interest expense deductions claimed by NASDAQ OMX in Finland for the year 2008. NASDAQ OMX’s tax return position with respect to this deduction was previously reviewed and approved by the Finnish Tax Authority. The appeal also demands certain penalties be paid with regard to the company’s tax return filing position. If the Finnish Tax Authority prevails in its challenge, additional tax and penalties for the years 2008-2011 would total approximately $23 million. We expect the Finnish Tax Authority to agree with our position once its review is completed and, as such, believe it is unlikely NASDAQ OMX will be assessed any additional tax and penalties. Through December 31, 2011, we have recorded the tax benefits associated with the filing position.</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June 2009, NASDAQ OMX filed an application for an advance tax ruling with the Swedish Tax Council for Advance Tax Rulings. The application was filed to confirm whether certain interest expense is deductible for Swedish tax purposes under legislation that became effective on January 1, 2009. In June 2010, we received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favorable response from the Swedish Tax Council for Advance Tax Rulings in which all members of the Council agreed that the interest expense is deductible for Swedish tax purposes. The Swedish Tax Agency appealed the Council’s ruling to the Swedish Supreme Administrative Court. In November 2011, the Swedish Supreme Administrative Court rendered a ruling consistent with the favorable ruling from the Swedish Tax Council for Advance Tax Rulings. Since we have recorded all tax benefits associated with this matter, the ruling did not affect our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loss attributable to noncontrolling interests was $4 million in 2011 compared with $6 million in 2010 and $3 million in 2009. The losses are primarily attributable to noncontrolling interests in IDCG.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disclosing results determined in accordance with U.S. GAAP, we have also provided non-GAAP net income attributable to NASDAQ OMX and non-GAAP diluted earnings per share. Management uses this non-GAAP information internally, along with U.S. GAAP information, in evaluating our performance and in making financial and operational decisions.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operating performance. 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 Our management uses these measures to evaluate operating performance, and management decisions made during the reporting period are made by excluding certain items that we believe have less significance on, or do not impact, the day-to-day performance of our business. We understand that analysts and investors regularly rely on non-GAAP financial measures, such as non-GAAP net income and non-GAAP diluted earnings per share, to assess operating performance. We use non-GAAP net income attributable to NASDAQ OMX and non-GAAP diluted earnings per share because they more clearly highlight trends in our business that may not otherwise be apparent when relying solely on U.S. GAAP financial measures, since these measures eliminate from our results specific financial items that have less bearing on our operating performance. Non-GAAP net income attributable to NASDAQ OMX for the periods presented below is calculated by adjusting net income attributable to NASDAQ OMX for charges or gains related to acquisition and divestiture transactions, integration activities related to acquisitions and other significant infrequent charges or gains and their related income tax effects that are not related to our core business. We do not believe these items are representative of our future operating performance since these charges were not consistent with our normal operating performance.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2011 primarily related to the following:</w:t>
      </w:r>
    </w:p>
    <w:p>
      <w:pPr>
        <w:spacing w:after="0" w:line="158" w:lineRule="exact"/>
        <w:rPr>
          <w:sz w:val="20"/>
          <w:szCs w:val="20"/>
          <w:color w:val="auto"/>
        </w:rPr>
      </w:pPr>
    </w:p>
    <w:p>
      <w:pPr>
        <w:ind w:firstLine="464"/>
        <w:spacing w:after="0" w:line="283" w:lineRule="auto"/>
        <w:tabs>
          <w:tab w:leader="none" w:pos="666" w:val="left"/>
        </w:tabs>
        <w:numPr>
          <w:ilvl w:val="1"/>
          <w:numId w:val="36"/>
        </w:numPr>
        <w:rPr>
          <w:rFonts w:ascii="Arial" w:cs="Arial" w:eastAsia="Arial" w:hAnsi="Arial"/>
          <w:sz w:val="16"/>
          <w:szCs w:val="16"/>
          <w:color w:val="auto"/>
        </w:rPr>
      </w:pPr>
      <w:r>
        <w:rPr>
          <w:rFonts w:ascii="Arial" w:cs="Arial" w:eastAsia="Arial" w:hAnsi="Arial"/>
          <w:sz w:val="16"/>
          <w:szCs w:val="16"/>
          <w:color w:val="auto"/>
        </w:rPr>
        <w:t>merger and strategic initiatives costs, primarily costs for advisors, bank commitment fees, legal and other professional services, related to our joint proposal to acquire NYSE Euronext, as well as costs related to recent acquisitions and other strategic initiatives, (ii) debt extinguishment and refinancing charges related to the repayment of the 2013 Convertible Notes and the repayment of our $700 million senior unsecured term loan facility, (iii) an asset impairment charge related to our available-for-sale investment security in DFM, (iv) an adjustment to the income tax provision to reflect these non-GAAP adjustments,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tax adjustments, net due to the impact of changes in tax laws in certain jurisdictions where NASDAQ OMX operates.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2010 primarily related to the following:</w:t>
      </w:r>
    </w:p>
    <w:p>
      <w:pPr>
        <w:spacing w:after="0" w:line="158" w:lineRule="exact"/>
        <w:rPr>
          <w:sz w:val="20"/>
          <w:szCs w:val="20"/>
          <w:color w:val="auto"/>
        </w:rPr>
      </w:pPr>
    </w:p>
    <w:p>
      <w:pPr>
        <w:ind w:right="180" w:firstLine="464"/>
        <w:spacing w:after="0" w:line="291" w:lineRule="auto"/>
        <w:tabs>
          <w:tab w:leader="none" w:pos="6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merger and strategic initiatives costs, consisting primarily of costs for legal and consulting related to our acquisitions of SMARTS and FTEN, (ii) debt extinguishment and refinancing charges related to the repayment of our senior secured credit facilities in place as of December 31, 2009, (iii) a sublease loss reserve charge recorded on space we occupy in Philadelphia, San Francisco and London due to our decision to vacate this space, (iv) a loss on divestiture of businesses due to our decision to close the businesses of both NEURO ($6 million) and Agora-X ($5 million), (v) asset retirement charges primarily related to obsolete technology, (vi) workforce reduction costs related to acquisitions, (vii) an adjustment to the income tax provision to reflect these non-GAAP adjustments, and (viii) significant tax adjustments, net due to provision-to-tax return adjustments related to our 2009 tax return liabilities.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2009 primarily related to the following:</w:t>
      </w:r>
    </w:p>
    <w:p>
      <w:pPr>
        <w:spacing w:after="0" w:line="158" w:lineRule="exact"/>
        <w:rPr>
          <w:sz w:val="20"/>
          <w:szCs w:val="20"/>
          <w:color w:val="auto"/>
        </w:rPr>
      </w:pPr>
    </w:p>
    <w:p>
      <w:pPr>
        <w:ind w:firstLine="464"/>
        <w:spacing w:after="0" w:line="283" w:lineRule="auto"/>
        <w:tabs>
          <w:tab w:leader="none" w:pos="666" w:val="left"/>
        </w:tabs>
        <w:numPr>
          <w:ilvl w:val="1"/>
          <w:numId w:val="39"/>
        </w:numPr>
        <w:rPr>
          <w:rFonts w:ascii="Arial" w:cs="Arial" w:eastAsia="Arial" w:hAnsi="Arial"/>
          <w:sz w:val="16"/>
          <w:szCs w:val="16"/>
          <w:color w:val="auto"/>
        </w:rPr>
      </w:pPr>
      <w:r>
        <w:rPr>
          <w:rFonts w:ascii="Arial" w:cs="Arial" w:eastAsia="Arial" w:hAnsi="Arial"/>
          <w:sz w:val="16"/>
          <w:szCs w:val="16"/>
          <w:color w:val="auto"/>
        </w:rPr>
        <w:t>merger and strategic initiatives costs directly attributable to the business combination with OMX AB and the acquisition of PHLX, which did not qualify as purchase accounting adjustments, (ii) a gain on early extinguishment of a portion of the 2013 Convertible Notes, net of costs, (iii) a sublease loss reserve charge recorded on the space we occupy in Stockholm, (iv) asset retirement charges primarily related to obsolete technology, (v) workforce reduction costs related to acquisitions, (vi) a debt conversion expense related to an inducement for conversion of most of our 3.75% convertible notes into common stock,</w:t>
      </w:r>
    </w:p>
    <w:p>
      <w:pPr>
        <w:spacing w:after="0" w:line="2" w:lineRule="exact"/>
        <w:rPr>
          <w:rFonts w:ascii="Arial" w:cs="Arial" w:eastAsia="Arial" w:hAnsi="Arial"/>
          <w:sz w:val="16"/>
          <w:szCs w:val="16"/>
          <w:color w:val="auto"/>
        </w:rPr>
      </w:pPr>
    </w:p>
    <w:p>
      <w:pPr>
        <w:ind w:right="100" w:firstLine="8"/>
        <w:spacing w:after="0" w:line="281" w:lineRule="auto"/>
        <w:tabs>
          <w:tab w:leader="none" w:pos="3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impairment charges related to our investments in NASDAQ Dubai and Agora-X, as well as the sale of our Orc shares, (viii) a loss on the sale of our available-for-sale investment security in Oslo, (ix) a gain on the sale of substantially all of our Carpenter Moore insurance agency business and a gain on the sale of our Broker Services operations in the United Kingdom, (x) an adjustment to the income tax provision to reflect these non-GAAP adjustments, and</w:t>
      </w:r>
    </w:p>
    <w:p>
      <w:pPr>
        <w:spacing w:after="0" w:line="2" w:lineRule="exact"/>
        <w:rPr>
          <w:rFonts w:ascii="Arial" w:cs="Arial" w:eastAsia="Arial" w:hAnsi="Arial"/>
          <w:sz w:val="16"/>
          <w:szCs w:val="16"/>
          <w:color w:val="auto"/>
        </w:rPr>
      </w:pPr>
    </w:p>
    <w:p>
      <w:pPr>
        <w:ind w:right="180" w:firstLine="8"/>
        <w:spacing w:after="0" w:line="261" w:lineRule="auto"/>
        <w:tabs>
          <w:tab w:leader="none" w:pos="2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tax adjustments, net primarily due to reductions in 2008 U.S. tax liabilities based on recent tax return filings and reductions in U.S. tax liabilities for years which are no longer subject to examination.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represents reconciliations between U.S. GAAP net income and diluted earnings per share and non-GAAP net income and diluted earnings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 2011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December 31, 2010</w:t>
            </w:r>
          </w:p>
        </w:tc>
        <w:tc>
          <w:tcPr>
            <w:tcW w:w="140" w:type="dxa"/>
            <w:vAlign w:val="bottom"/>
          </w:tcPr>
          <w:p>
            <w:pPr>
              <w:spacing w:after="0"/>
              <w:rPr>
                <w:sz w:val="14"/>
                <w:szCs w:val="1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December 31, 2009</w:t>
            </w:r>
          </w:p>
        </w:tc>
      </w:tr>
      <w:tr>
        <w:trPr>
          <w:trHeight w:val="129"/>
        </w:trPr>
        <w:tc>
          <w:tcPr>
            <w:tcW w:w="4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10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Net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1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Earnings Per</w:t>
            </w:r>
          </w:p>
        </w:tc>
      </w:t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Income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Share</w:t>
            </w:r>
          </w:p>
        </w:tc>
        <w:tc>
          <w:tcPr>
            <w:tcW w:w="28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Income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r>
      <w:tr>
        <w:trPr>
          <w:trHeight w:val="142"/>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8"/>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 except per share amounts)</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U.S. GAAP net income attributable to NASDAQ OMX</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and diluted earnings per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46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and strategic initiatives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Extinguishment of debt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Sublease reserves</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Loss on divestiture of businesses</w:t>
            </w: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retirements</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Workforce reductions</w:t>
            </w: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conversion expense</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Asset impairment charge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NASDAQ Dubai</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Impairment of Agora-X</w:t>
            </w: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Orc shares</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Loss on sale of investment security</w:t>
            </w: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businesses</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8"/>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Adjustment to the income tax provision to reflect non-</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GAAP adjustments</w:t>
            </w:r>
            <w:r>
              <w:rPr>
                <w:rFonts w:ascii="Arial" w:cs="Arial" w:eastAsia="Arial" w:hAnsi="Arial"/>
                <w:sz w:val="11"/>
                <w:szCs w:val="11"/>
                <w:color w:val="auto"/>
              </w:rPr>
              <w:t>(1)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Significant tax adjustments, net</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r>
      <w:tr>
        <w:trPr>
          <w:trHeight w:val="216"/>
        </w:trPr>
        <w:tc>
          <w:tcPr>
            <w:tcW w:w="446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8"/>
              </w:rPr>
              <w:t>Total non-GAAP adjustments, net of tax</w:t>
            </w: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b w:val="1"/>
                <w:bCs w:val="1"/>
                <w:color w:val="auto"/>
                <w:w w:val="99"/>
              </w:rPr>
              <w:t>Non-GAAP net income attributable to NASDAQ OMX</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and diluted earnings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$ 455</w:t>
            </w:r>
          </w:p>
        </w:tc>
        <w:tc>
          <w:tcPr>
            <w:tcW w:w="100" w:type="dxa"/>
            <w:vAlign w:val="bottom"/>
          </w:tcPr>
          <w:p>
            <w:pPr>
              <w:spacing w:after="0"/>
              <w:rPr>
                <w:sz w:val="19"/>
                <w:szCs w:val="19"/>
                <w:color w:val="auto"/>
              </w:rPr>
            </w:pPr>
          </w:p>
        </w:tc>
        <w:tc>
          <w:tcPr>
            <w:tcW w:w="440" w:type="dxa"/>
            <w:vAlign w:val="bottom"/>
            <w:gridSpan w:val="2"/>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460" w:type="dxa"/>
            <w:vAlign w:val="bottom"/>
            <w:gridSpan w:val="2"/>
          </w:tcPr>
          <w:p>
            <w:pPr>
              <w:jc w:val="center"/>
              <w:ind w:left="27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$ 389</w:t>
            </w:r>
          </w:p>
        </w:tc>
        <w:tc>
          <w:tcPr>
            <w:tcW w:w="120" w:type="dxa"/>
            <w:vAlign w:val="bottom"/>
          </w:tcPr>
          <w:p>
            <w:pPr>
              <w:spacing w:after="0"/>
              <w:rPr>
                <w:sz w:val="19"/>
                <w:szCs w:val="19"/>
                <w:color w:val="auto"/>
              </w:rPr>
            </w:pPr>
          </w:p>
        </w:tc>
        <w:tc>
          <w:tcPr>
            <w:tcW w:w="460" w:type="dxa"/>
            <w:vAlign w:val="bottom"/>
            <w:gridSpan w:val="2"/>
          </w:tcPr>
          <w:p>
            <w:pPr>
              <w:jc w:val="center"/>
              <w:ind w:left="259"/>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Weighted-average common shares outstanding for diluted</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180,011,247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206,514,655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214,537,907</w:t>
            </w: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We determine the tax effect of each item based on the tax rules in the respective jurisdiction where the transaction occurred.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global markets and economic conditions continue to improve from adverse levels experienced during the past several years, investors and lenders remain cautious about the pace of the global economic recovery. This lack of confidence in the prospects for growth could result in sporadic increases in market volatility and lackluster trading volumes, which could in turn affect our ability to obtain additional funding from lenders. Currently, our cost and availability of funding remain healthy, as evidenced by our ability to refinance our credit facilities.</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Historically, we have funded our operating activities and met our commitments through cash generated by operations, augmented by the periodic issuance of our common stock in the capital markets and by issuing debt obligations. In addition to these cash sources, we have a $750 million revolving credit commitment (including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swingline facility and letter of credit facility) under our senior unsecured five-year credit facility. As of December 31, 2011, $524 million is available. See “2011 Credit Facility,” of Note 8, “Debt Obligations,” to the consolidated financial statements for further discussion.</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near term, we expect that our operations will provide sufficient cash to fund our operating expenses, capital expenditures, interest payments on our debt obligations, and our share repurchase program. Working capital (calculated as current assets less current liabilities) was $543 million at December 31, 2011, compared with $279 million at December 31, 2010, an increase of $264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covenants contained in our credit facility that limit our total borrowing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loans under our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volatility in the public debt and equity markets.</w:t>
      </w:r>
    </w:p>
    <w:p>
      <w:pPr>
        <w:spacing w:after="0" w:line="18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following sections discuss the effects of changes in our financial assets, debt obligations, derivative clearing and broker-dealer net capital requirements, and cash flows on our 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assets: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80" w:type="dxa"/>
            <w:vAlign w:val="bottom"/>
            <w:gridSpan w:val="3"/>
          </w:tcPr>
          <w:p>
            <w:pPr>
              <w:ind w:left="2000"/>
              <w:spacing w:after="0"/>
              <w:rPr>
                <w:sz w:val="20"/>
                <w:szCs w:val="20"/>
                <w:color w:val="auto"/>
              </w:rPr>
            </w:pPr>
            <w:r>
              <w:rPr>
                <w:rFonts w:ascii="Arial" w:cs="Arial" w:eastAsia="Arial" w:hAnsi="Arial"/>
                <w:sz w:val="14"/>
                <w:szCs w:val="14"/>
                <w:b w:val="1"/>
                <w:bCs w:val="1"/>
                <w:color w:val="auto"/>
                <w:w w:val="83"/>
              </w:rPr>
              <w:t>December 31,</w:t>
            </w:r>
          </w:p>
        </w:tc>
        <w:tc>
          <w:tcPr>
            <w:tcW w:w="1920" w:type="dxa"/>
            <w:vAlign w:val="bottom"/>
            <w:gridSpan w:val="4"/>
          </w:tcPr>
          <w:p>
            <w:pPr>
              <w:ind w:left="10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Restricted cash</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Financial investments, at fair value</w:t>
            </w:r>
          </w:p>
        </w:tc>
        <w:tc>
          <w:tcPr>
            <w:tcW w:w="2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and Cash Equivalents and Restricted Cash</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The balance retained in cash and cash equivalents is a function of anticipated or possible short-term cash needs, prevailing interest rates, our investment policy, and alternative investment choices. As of December 31, 2011, our cash and cash equivalents of $506 million were primarily invested in money market funds. In the long-term, we may use both internally generated funds and external sources to satisfy our debt obligations and other long-term liabilities. Cash and cash equivalents as of December 31, 2011 increased $191 million from December 31, 2010 primarily due to net cash provided by operating activities, partially offset by net cash used in financing activities and investing activities. See “Cash Flow Analysis” below for further discussion.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Current restricted cash, which was $43 million as of December 31, 2011 and $60 million as of December 31, 2010, is not available for general use by us due to regulatory and other requirements and is classified as restricted cash in the Consolidated Balance Sheets. As of December 31, 2011 and December 31, 2010, current restricted cash primarily includes cash held for regulatory purposes at NASDAQ OMX Stockholm and cash held in customer margin accounts at IDCG and NOCC. Non-current restricted cash was $105 million at December 31, 2011 and December 31, 2010 and includes a deposit in the guaranty fund of IDCG of $80 million, as well as $25 million segregated for NOCC to improve its liquidity position, which are not available for general use.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Repatriation of Cash</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cash and cash equivalents held outside of the U.S. in various foreign subsidiaries totaled $158 million as of December 31, 2011 and $61 million as of December 31, 2010. The remaining balance held in the U.S. totaled $348 million as of December 31, 2011 and $254 million as of December 31, 2010.</w:t>
      </w:r>
    </w:p>
    <w:p>
      <w:pPr>
        <w:spacing w:after="0" w:line="7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October 2011, our board of directors approved a share repurchase program authorizing NASDAQ OMX to repurchase in the aggregate up to $300 million of our outstanding common stock. These purchases may be made from time to time at prevailing market prices in open market purchases, privately-negotiated transactions, block purchase techniques or otherwise, as determined by our management. The purchases will be funded from existing cash balances. The share repurchase program may be suspended, modified or discontinued at any time. During the fourth quarter of 2011, we repurchased 3,983,481 shares of our common stock at an average price of $25.10, for an aggregate purchase price of $100 million.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Investments, at Fair Value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financial investments, at fair value totaled $279 million as of December 31, 2011 and $253 million as of December 31, 2010 and are primarily comprised of trading securities, mainly Swedish government debt securities. Of these securities, $212 million as of December 31, 2011 and $190 million as of December 31, 2010 are restricted assets to meet regulatory capital requirements primarily for NASDAQ OMX Stockholm’s clearing operations. This balance also includes our available-for-sale investment security in DFM valued at $18 million as of December 31, 2011 and $33 million as of December 31, 2010. See Note 5, “Investments,” to the consolidated financial statements for further discussion of our trading securities and available-for-sale investment security.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debt obligations by contractual maturity: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820" w:type="dxa"/>
            <w:vAlign w:val="bottom"/>
          </w:tcPr>
          <w:p>
            <w:pPr>
              <w:spacing w:after="0"/>
              <w:rPr>
                <w:sz w:val="14"/>
                <w:szCs w:val="14"/>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Maturity Date</w:t>
            </w:r>
          </w:p>
        </w:tc>
        <w:tc>
          <w:tcPr>
            <w:tcW w:w="18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(net of discount)</w:t>
            </w:r>
            <w:r>
              <w:rPr>
                <w:rFonts w:ascii="Arial" w:cs="Arial" w:eastAsia="Arial" w:hAnsi="Arial"/>
                <w:sz w:val="11"/>
                <w:szCs w:val="11"/>
                <w:color w:val="auto"/>
              </w:rPr>
              <w:t>(1)</w:t>
            </w:r>
          </w:p>
        </w:tc>
        <w:tc>
          <w:tcPr>
            <w:tcW w:w="2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October 2012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2.50% convertible senior notes</w:t>
            </w:r>
          </w:p>
        </w:tc>
        <w:tc>
          <w:tcPr>
            <w:tcW w:w="224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August 2013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4.00% senior unsecured notes (net of discount)</w:t>
            </w:r>
          </w:p>
        </w:tc>
        <w:tc>
          <w:tcPr>
            <w:tcW w:w="22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January 2015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$1.2 billion senior unsecured five-year credit facility:</w:t>
            </w: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$450 million senior unsecured term loan facility</w:t>
            </w:r>
          </w:p>
        </w:tc>
        <w:tc>
          <w:tcPr>
            <w:tcW w:w="2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September 2016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$750 million revolving credit commitment</w:t>
            </w:r>
          </w:p>
        </w:tc>
        <w:tc>
          <w:tcPr>
            <w:tcW w:w="224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September 2016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5.25% senior unsecured notes (net of discount)</w:t>
            </w:r>
          </w:p>
        </w:tc>
        <w:tc>
          <w:tcPr>
            <w:tcW w:w="22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January 2018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5.55% senior unsecured notes (net of discount)</w:t>
            </w:r>
          </w:p>
        </w:tc>
        <w:tc>
          <w:tcPr>
            <w:tcW w:w="22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January 2020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$700 million senior unsecured term loan facility</w:t>
            </w:r>
          </w:p>
        </w:tc>
        <w:tc>
          <w:tcPr>
            <w:tcW w:w="2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Repaid September 2011</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2,117</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 long-term debt obligations</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80" w:hanging="452"/>
        <w:spacing w:after="0" w:line="228"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As of December 31, 2011 and December 31, 2010, approximately $0.5 million aggregate principal amount of the 3.75% convertible notes remained outstanding.</w:t>
      </w:r>
    </w:p>
    <w:p>
      <w:pPr>
        <w:spacing w:after="0" w:line="143"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See Note 8, “Debt Obligations,” to the consolidated financial statements for further discussion of our debt obligations.</w:t>
      </w:r>
    </w:p>
    <w:p>
      <w:pPr>
        <w:spacing w:after="0" w:line="158"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addition to the revolving credit commitment, we also have other credit facilities related to our clearinghouses in order to meet liquidity and regulatory requirements. These credit facilities, which are available in multiple currencies, primarily Swedish Krona and U.S. dollar, totaled $447 million ($206 million in available liquidity and $241 million to satisfy regulatory requirements), none of which was utilized at December 31, 2011. At December 31, 2010, these credit facilities totaled $440 million ($196 million in available liquidity and $244 million to satisfy regulatory requirements), none of which was utilized.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we were in compliance with the covenants of all of our debt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“Debt Obligations,” to the consolidated financial statements for further discussion of our debt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Clearing and Broker-Dealer Net Capital Requirements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Derivative Clearing Operations Regulatory Capital Requirements</w:t>
      </w:r>
    </w:p>
    <w:p>
      <w:pPr>
        <w:spacing w:after="0" w:line="77" w:lineRule="exact"/>
        <w:rPr>
          <w:sz w:val="20"/>
          <w:szCs w:val="20"/>
          <w:color w:val="auto"/>
        </w:rPr>
      </w:pPr>
    </w:p>
    <w:p>
      <w:pPr>
        <w:ind w:right="880" w:firstLine="456"/>
        <w:spacing w:after="0" w:line="306" w:lineRule="auto"/>
        <w:rPr>
          <w:sz w:val="20"/>
          <w:szCs w:val="20"/>
          <w:color w:val="auto"/>
        </w:rPr>
      </w:pPr>
      <w:r>
        <w:rPr>
          <w:rFonts w:ascii="Arial" w:cs="Arial" w:eastAsia="Arial" w:hAnsi="Arial"/>
          <w:sz w:val="16"/>
          <w:szCs w:val="16"/>
          <w:color w:val="auto"/>
        </w:rPr>
        <w:t>We are required to maintain minimum levels of regulatory capital for our clearing operations for NASDAQ OMX Stockholm, NASDAQ OMX Commodities and IDCG. The level of regulatory capital required to be maintained is dependent upon many factors, including market conditions and creditworthiness of the counterparty. At December 31, 2011, we were required to maintain regulatory capital of $296 million which is comprised of:</w:t>
      </w:r>
    </w:p>
    <w:p>
      <w:pPr>
        <w:spacing w:after="0" w:line="12"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 million of restricted cash;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$80 million of non-current restricted cash; and</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$212 million primarily in Swedish government debt securities. These securities are included in financial investments, at fair value in the Consolidated Balance Sheets as of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have available credit facilities of $241 million which can be utilized to satisfy our regulatory capital requirements. See “Debt Obligations” above for further discussion.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Broker-Dealer Net Capital Requirements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broker-dealer subsidiaries, Nasdaq Execution Services and NASDAQ Options Services, are subject to regulatory requirements intended to ensure their general financial soundness and liquidity. These requirements obligate these subsidiaries to comply with minimum net capital requirements. At December 31, 2011, Nasdaq Execution Services was required to maintain minimum net capital of $0.3 million and had total net capital of $11.9 million, or $11.6 million in excess of the minimum amount required. At December 31, 2011, NASDAQ Options Services also was required to maintain minimum net capital of $0.3 million and had total net capital of $3.3 million, or $3.0 million in excess of the minimum amount required.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Capital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 Options Services also is required to maintain a $2 million minimum level of net capital under our clearing arrangement with OCC.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changes in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9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4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80"/>
              <w:spacing w:after="0"/>
              <w:rPr>
                <w:sz w:val="20"/>
                <w:szCs w:val="20"/>
                <w:color w:val="auto"/>
              </w:rPr>
            </w:pPr>
            <w:r>
              <w:rPr>
                <w:rFonts w:ascii="Arial" w:cs="Arial" w:eastAsia="Arial" w:hAnsi="Arial"/>
                <w:sz w:val="18"/>
                <w:szCs w:val="18"/>
                <w:color w:val="auto"/>
              </w:rPr>
              <w:t>440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(595)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7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(279)</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594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Cash and cash equivalents at the end of period</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line="20" w:lineRule="exact"/>
              <w:rPr>
                <w:sz w:val="1"/>
                <w:szCs w:val="1"/>
                <w:color w:val="auto"/>
              </w:rPr>
            </w:pPr>
          </w:p>
        </w:tc>
      </w:tr>
      <w:tr>
        <w:trPr>
          <w:trHeight w:val="222"/>
        </w:trPr>
        <w:tc>
          <w:tcPr>
            <w:tcW w:w="672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80"/>
              <w:spacing w:after="0"/>
              <w:rPr>
                <w:sz w:val="20"/>
                <w:szCs w:val="20"/>
                <w:color w:val="auto"/>
              </w:rPr>
            </w:pPr>
            <w:r>
              <w:rPr>
                <w:rFonts w:ascii="Arial" w:cs="Arial" w:eastAsia="Arial" w:hAnsi="Arial"/>
                <w:sz w:val="18"/>
                <w:szCs w:val="18"/>
                <w:color w:val="auto"/>
              </w:rPr>
              <w:t>315</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6460" w:type="dxa"/>
            <w:vAlign w:val="bottom"/>
            <w:gridSpan w:val="2"/>
          </w:tcPr>
          <w:p>
            <w:pPr>
              <w:ind w:left="200"/>
              <w:spacing w:after="0"/>
              <w:rPr>
                <w:sz w:val="20"/>
                <w:szCs w:val="20"/>
                <w:color w:val="auto"/>
              </w:rPr>
            </w:pPr>
            <w:r>
              <w:rPr>
                <w:rFonts w:ascii="Arial" w:cs="Arial" w:eastAsia="Arial" w:hAnsi="Arial"/>
                <w:sz w:val="18"/>
                <w:szCs w:val="18"/>
                <w:color w:val="auto"/>
              </w:rPr>
              <w:t>Denotes a variance greater than 100.0%.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Cash Provided by Operating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net cash provided by operating activities for the year ended December 31, 2011:</w:t>
      </w:r>
    </w:p>
    <w:p>
      <w:pPr>
        <w:spacing w:after="0" w:line="77"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income of $383 million, plus:</w:t>
      </w:r>
    </w:p>
    <w:p>
      <w:pPr>
        <w:spacing w:after="0" w:line="103" w:lineRule="exact"/>
        <w:rPr>
          <w:rFonts w:ascii="Arial" w:cs="Arial" w:eastAsia="Arial" w:hAnsi="Arial"/>
          <w:sz w:val="18"/>
          <w:szCs w:val="18"/>
          <w:color w:val="auto"/>
        </w:rPr>
      </w:pPr>
    </w:p>
    <w:p>
      <w:pPr>
        <w:ind w:left="1260" w:right="40" w:hanging="455"/>
        <w:spacing w:after="0" w:line="256" w:lineRule="auto"/>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Non-cash items of $206 million comprised primarily of $109 million of depreciation and amortization expense, $36 million of share-based compensation expense, $31 million for debt extinguishment and refinancing charges, $25 million related to loss on asset retirements and impairment charges, and $13 million related to accretion of debt discounts, partially offset by $10 million of excess tax benefits related to share-based compensation.</w:t>
      </w:r>
    </w:p>
    <w:p>
      <w:pPr>
        <w:spacing w:after="0" w:line="48"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 in other assets of $69 million primarily due to a decrease in non-current deferred tax assets related to the utilization of a capital-loss carry-back.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in accounts payable and accrued expenses of $24 million primarily due to the timing of payments and an increase in accrued interest payable.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Section 31 fees payable to SEC of $24 million primarily due to higher fee rates in 2011.</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 a:</w:t>
      </w:r>
    </w:p>
    <w:p>
      <w:pPr>
        <w:spacing w:after="0" w:line="77"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 in other liabilities of $22 million primarily reflecting the utilization of sublease reserves and decreased accrued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 in deferred revenue of $14 million mainly due to the timing and delivery of Market Technology projects.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net cash provided by operating activities for the year ended December 31, 2010:</w:t>
      </w:r>
    </w:p>
    <w:p>
      <w:pPr>
        <w:spacing w:after="0" w:line="7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income of $389 million, plus:</w:t>
      </w:r>
    </w:p>
    <w:p>
      <w:pPr>
        <w:spacing w:after="0" w:line="103" w:lineRule="exact"/>
        <w:rPr>
          <w:rFonts w:ascii="Arial" w:cs="Arial" w:eastAsia="Arial" w:hAnsi="Arial"/>
          <w:sz w:val="18"/>
          <w:szCs w:val="18"/>
          <w:color w:val="auto"/>
        </w:rPr>
      </w:pPr>
    </w:p>
    <w:p>
      <w:pPr>
        <w:ind w:left="1260" w:right="120" w:hanging="455"/>
        <w:spacing w:after="0" w:line="291" w:lineRule="auto"/>
        <w:tabs>
          <w:tab w:leader="none" w:pos="12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Non-cash items of $178 million comprised primarily of $103 million of depreciation and amortization expense, $37 million for debt extinguishment and refinancing charges (including $28 million for the write-off of the remaining unamortized balance of debt issuance costs incurred in conjunction with our senior secured credit facilities in place as of December 31, 2009 and $9 million in costs to terminate our float-to-fixed interest rate swaps previously designated as a cash flow hedge), $33 million of share-based compensation expense, $14 million related to accretion of debt discounts, $11 million for loss on divestiture of businesses, $6 million related to loss on asset retirements and impairment charges, and $6 million related to amortization of debt issuance costs, partially offset by deferred income taxes of $35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 a:</w:t>
      </w:r>
    </w:p>
    <w:p>
      <w:pPr>
        <w:spacing w:after="0" w:line="77" w:lineRule="exact"/>
        <w:rPr>
          <w:sz w:val="20"/>
          <w:szCs w:val="20"/>
          <w:color w:val="auto"/>
        </w:rPr>
      </w:pPr>
    </w:p>
    <w:p>
      <w:pPr>
        <w:jc w:val="both"/>
        <w:ind w:left="780" w:hanging="326"/>
        <w:spacing w:after="0" w:line="331"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Increase in other assets of $85 million primarily related to a prepaid expense for a data center lease of $32 million, an increase in non-current restricted cash related to $25 million segregated for NOCC to improve its liquidity position and an increase of $30 million in current restricted cash which relates to cash held on customer margin accounts at IDCG and NOCC, as well as increases related to regulatory requirements within NASDAQ OMX Nordic.</w:t>
      </w:r>
    </w:p>
    <w:p>
      <w:pPr>
        <w:spacing w:after="0" w:line="2" w:lineRule="exact"/>
        <w:rPr>
          <w:rFonts w:ascii="Arial" w:cs="Arial" w:eastAsia="Arial" w:hAnsi="Arial"/>
          <w:sz w:val="15"/>
          <w:szCs w:val="15"/>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 in Section 31 fees payable to SEC of $55 million primarily due to lower fee rates in 2010.</w:t>
      </w:r>
    </w:p>
    <w:p>
      <w:pPr>
        <w:spacing w:after="0" w:line="1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expect that net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Cash Used in Investing Activities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cash used in investing activities for the year ended December 31, 2011 primarily consisted of purchases of trading securities, purchases of property and equipment and cash used for acquisitions, partially offset by proceeds from sales and redemptions of trading securities. In 2010, cash used in investing activities primarily related to purchases of trading securities, cash used for acquisitions, and purchases of property and equipment, partially offset by proceeds from sales and redemptions of trading securities.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Cash Used in Financing Activities</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used in financing activities for the year ended December 31, 2011 primarily consisted of the repayment of debt obligations of $948 million consisting of the repayment of our term loans in place as of December 31, 2010, or the Term Loans, of $570 million, repayment of $335 million of the aggregate principal amount outstanding of the 2013 Convertible Notes for $343 million, a required quarterly principal payment of $11 million on our $450 million funded term loan, or 2016 Term Loan, and an optional principal payment of $24 million on our revolving credit commitment. We also utilized $100 million of cash in connection with our share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repurchase program. These decreases were partially offset by proceeds from debt obligations of $700 million consisting of $450 million in proceeds received from the issuance of the 2016 Term Loan and $250 million in proceeds received from borrowings under our revolving credit commitment. For further discussion of the 2016 Term Loan, as well as the repayment of our debt obligations, see “Credit Facilities,” of Note 8, “Debt Obligations,” to the consolidated financial statements.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cash used in financing activities for the year ended December 31, 2010 primarily consisted of the repayment of debt obligations of $2.2 billion consisting of the repayment of our senior secured credit facilities in place as of December 31, 2009 of $1.7 billion, repayment of our $370 million senior unsecured bridge facility, repayment of $130 million on the Term Loans, including optional payments of $60 million, and a $16 million payment related to the payoff of our subordinated debt obligation assumed in the acquisition of certain subsidiaries of Nord Pool. We also utilized $797 million of cash in connection with our share repurchase program, which includes our stock repurchase from Borse Dubai. These decreases were partially offset by net proceeds received of $2.4 billion, which is comprised of the following:</w:t>
      </w:r>
    </w:p>
    <w:p>
      <w:pPr>
        <w:spacing w:after="0" w:line="50"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billion from the issuance of senior unsecured notes;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$700 million from the issuance of Term Loans;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$370 million from the issuance of the 2018 Notes;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$370 million from our senior unsecured bridge facility.</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further discussion of our debt obligations, see Note 8, “Debt Obligations,” to the consolidated financial statements. For further discussion of our share repurchase programs, see “Share Repurchase Programs and Share Repurchase from Borse Dubai,” of Note 12, “NASDAQ OMX Stockholders’ Equity,”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OMX has contractual obligations to make future payments under debt obligations by contract maturity, minimum rental commitments under non-cancelable operating leases, net and other obligations. The following table shows these contractual obligations as of December 31,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88"/>
              </w:rPr>
              <w:t>Payments Due by Period</w:t>
            </w: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80" w:type="dxa"/>
            <w:vAlign w:val="bottom"/>
            <w:gridSpan w:val="2"/>
            <w:vMerge w:val="continue"/>
          </w:tcPr>
          <w:p>
            <w:pPr>
              <w:spacing w:after="0"/>
              <w:rPr>
                <w:sz w:val="11"/>
                <w:szCs w:val="11"/>
                <w:color w:val="auto"/>
              </w:rPr>
            </w:pPr>
          </w:p>
        </w:tc>
        <w:tc>
          <w:tcPr>
            <w:tcW w:w="5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Less than 1 year</w:t>
            </w:r>
          </w:p>
        </w:tc>
        <w:tc>
          <w:tcPr>
            <w:tcW w:w="6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More than 5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600"/>
              <w:spacing w:after="0" w:line="149" w:lineRule="exact"/>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$2,641</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$ 1,057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rPr>
              <w:t>Minimum rental commitments under non-cancelable operating</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leases, net</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3,169</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470</w:t>
            </w:r>
          </w:p>
        </w:tc>
        <w:tc>
          <w:tcPr>
            <w:tcW w:w="58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$ 1,172</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83" w:lineRule="auto"/>
        <w:tabs>
          <w:tab w:leader="none" w:pos="46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Our debt obligations include both principal and interest obligations. At December 31, 2011, an interest rate of 1.67% was used to compute the amount of the contractual obligations for interest on our 2016 Term Loan and an interest rate of 1.46% was used to compute the amount of the contractual obligations for interest on our revolving credit commitment. All other debt obligations were calculated on a 360-day basis at the contractual fixed rate multiplied by the aggregate principal amount at December 31, 2011. See Note 8, “Debt Obligations,” to the consolidated financial statements for further discussion.</w:t>
      </w:r>
    </w:p>
    <w:p>
      <w:pPr>
        <w:spacing w:after="0" w:line="2" w:lineRule="exact"/>
        <w:rPr>
          <w:rFonts w:ascii="Arial" w:cs="Arial" w:eastAsia="Arial" w:hAnsi="Arial"/>
          <w:sz w:val="19"/>
          <w:szCs w:val="19"/>
          <w:color w:val="auto"/>
          <w:vertAlign w:val="superscript"/>
        </w:rPr>
      </w:pPr>
    </w:p>
    <w:p>
      <w:pPr>
        <w:ind w:left="460" w:right="160" w:hanging="452"/>
        <w:spacing w:after="0" w:line="237" w:lineRule="auto"/>
        <w:tabs>
          <w:tab w:leader="none" w:pos="46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ind w:left="460" w:right="100" w:hanging="452"/>
        <w:spacing w:after="0" w:line="233"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In connection with our acquisitions of FTEN, SMARTS and Glide Technologies, we entered into escrow agreements to secure the payment of post-closing adjustments and other closing conditions. At December 31, 2011, these agreements provide for future payments of $29 million and are included in other current liabilities and other non-current liabilities in the Consolidated Balance Sheets.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Received for Clearing Operations, Guarantees Issued and Credit Facilities Available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Collateral Received for Clearing Operations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Through our clearing operations in the derivatives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We also act as the counterparty for certain trades on OTC derivative contracts. The derivatives are not used by us for the purpose of trading on our own behalf and the resale and repurchase agreements are not used by us for financing purposes. The structure and operations of NASDAQ OMX Commodities and NASDAQ OMX Stockholm differ from other clearinghouses. See “Derivative Positions, at Fair Value,” of Note 14, “Fair Value of Financial Instruments,” to the consolidated financial statements for further discussion. As a legal counterparty of each transaction, we bear the counterparty risk between the purchaser and seller in the contract. The counterparty risks are measured using models that are agreed to with the Financial Supervisory Authority of the application country, which requires us to provide minimum guarantees and maintain certain levels of regulatory capital.</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Proposed regulations, including the European Market Infrastructure Regulation, are expected to require CCPs to maintain a default fund to which clearing members of the CCP will have to contribute. In anticipation of these regulations, NASDAQ OMX Stockholm is currently preparing for the implementation of a member sponsored default fund with an expected launch date in March 2012. The level of regulatory capital will be determined in accordance with our regulatory capital policy, as approved by the SFSA. Clearing member contributions will be proportional to the exposures of each clearing member.</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require our customers and clearing members to pledge collateral and meet certain minimum financial standards to mitigate the risk if they become unable to satisfy their obligations. Total customer pledged collateral with NASDAQ OMX Commodities and NASDAQ OMX Stockholm was $5.0 billion at December 31, 2011 and $8.7 billion at December 31, 2010. This pledged collateral is held by a third-party custodian bank for the benefit of the clearing members and is accessible by NASDAQ OMX in the event of default. Since these funds are not held by NASDAQ OMX Commodities or NASDAQ OMX Stockholm and they are not available for our use, we do not receive any interest income on these funds.</w:t>
      </w:r>
    </w:p>
    <w:p>
      <w:pPr>
        <w:spacing w:after="0" w:line="10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also require market participants at IDCG and NOCC to meet certain minimum financial standards to mitigate the risk if they become unable to satisfy their obligations and to provide collateral to cover the daily margin call. Customer pledged cash collateral held by IDCG and NOCC, which was $9 million at December 31, 2011 and $15 million at December 31, 2010, is included in restricted cash with an offsetting liability included in other current liabilities in the Consolidated Balance Sheets, as the risks and rewards of collateral ownership, including interest income, belong to IDCG and NOCC. Clearing member pledged cash collateral, included in IDCG’s guaranty fund, was $8 million at both December 31, 2011 and December 31, 2010. This cash is included in non-current restricted cash with an offsetting liability included in other non-current liabilities in the Consolidated Balance Sheets, as the risks and rewards of collateral ownership, including interest income, belong to IDCG.</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our clearing operations in the resale and repurchase markets with NASDAQ OMX Stockholm, pledged collateral which is transferred through NASDAQ OMX Stockholm at initiation of the bilateral contract between the two clearing member counterparties, primarily consists of Swedish government debt securities. In addition, market participants must meet certain minimum financial standards to mitigate the risk if they become unable to satisfy their obligations. In the event that one of the members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members to provide additional margin as needed, which is valued on a daily basis and is maintained at a third-party custodian bank for the benefit of the clearing members and is accessible by NASDAQ OMX Stockholm in the event of default.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Guarantees Issued and Credit Facilities Available</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addition to the collateral pledged by market participants discussed above, we have obtained financial guarantees and credit facilities which are guaranteed by us through counter indemnities, to provide further liquidity and default protection. Financial guarantees issued to us totaled $4 million at December 31, 2011 and $5 million at December 31, 2010. Credit facilities, which are available in multiple currencies, primarily Swedish Krona and U.S. dollar, totaled $447 million ($206 million in available liquidity and $241 million to satisfy regulatory requirements), none of which was utilized at December 31, 2011. At December 31, 2010, these facilities totaled $440 million ($196 million in available liquidity and $244 million to satisfy regulatory requirements), none of which was utilized.</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provided other guarantees of $17 million as of December 31, 2011 and $18 million as of December 31, 2010. These guarantees primarily related to obligations for our rental and leasing contracts. In addition, for certain Market Technology contracts, we have provided performance guarantees of $6 million as of December 31, 2011 and December 31, 2010 related to the delivery of software technology and support services. We have received financial guarantees from various financial institutions to support these guarantees.</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also provided a $25 million guarantee to our wholly-owned subsidiary, NOCC, to cover potential losses in the event of customer defaults, net of any collateral posted against such losses.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Activities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assets and liabilities that are subject to interest rate risk as of December 31,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2"/>
              </w:rPr>
              <w:t>Negative impact of a</w:t>
            </w:r>
          </w:p>
        </w:tc>
      </w:tr>
      <w:tr>
        <w:trPr>
          <w:trHeight w:val="134"/>
        </w:trPr>
        <w:tc>
          <w:tcPr>
            <w:tcW w:w="758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8"/>
              </w:rPr>
              <w:t>Financial</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Financial</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2"/>
              </w:rPr>
              <w:t>100 bp adverse shift</w:t>
            </w:r>
          </w:p>
        </w:tc>
      </w:tr>
      <w:tr>
        <w:trPr>
          <w:trHeight w:val="176"/>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w w:val="73"/>
              </w:rPr>
              <w:t>Assets</w:t>
            </w:r>
          </w:p>
        </w:tc>
        <w:tc>
          <w:tcPr>
            <w:tcW w:w="620" w:type="dxa"/>
            <w:vAlign w:val="bottom"/>
          </w:tcPr>
          <w:p>
            <w:pPr>
              <w:spacing w:after="0"/>
              <w:rPr>
                <w:sz w:val="15"/>
                <w:szCs w:val="15"/>
                <w:color w:val="auto"/>
              </w:rPr>
            </w:pPr>
          </w:p>
        </w:tc>
        <w:tc>
          <w:tcPr>
            <w:tcW w:w="13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Liabilities</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w w:val="90"/>
              </w:rPr>
              <w:t>in interest rate</w:t>
            </w:r>
            <w:r>
              <w:rPr>
                <w:rFonts w:ascii="Arial" w:cs="Arial" w:eastAsia="Arial" w:hAnsi="Arial"/>
                <w:sz w:val="20"/>
                <w:szCs w:val="20"/>
                <w:b w:val="1"/>
                <w:bCs w:val="1"/>
                <w:color w:val="auto"/>
                <w:w w:val="90"/>
                <w:vertAlign w:val="superscript"/>
              </w:rPr>
              <w:t>(2)</w:t>
            </w:r>
          </w:p>
        </w:tc>
      </w:tr>
      <w:tr>
        <w:trPr>
          <w:trHeight w:val="142"/>
        </w:trPr>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Floating rate positions</w:t>
            </w:r>
            <w:r>
              <w:rPr>
                <w:rFonts w:ascii="Arial" w:cs="Arial" w:eastAsia="Arial" w:hAnsi="Arial"/>
                <w:sz w:val="11"/>
                <w:szCs w:val="1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Fixed rate positions</w:t>
            </w:r>
            <w:r>
              <w:rPr>
                <w:rFonts w:ascii="Arial" w:cs="Arial" w:eastAsia="Arial" w:hAnsi="Arial"/>
                <w:sz w:val="11"/>
                <w:szCs w:val="11"/>
                <w:color w:val="auto"/>
              </w:rPr>
              <w:t>(4)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contractual debt obligations.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Annualized impact of a 100 basis point parallel adverse shift in the yield curve.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floating rate and fixed interest rates with a maturity or reset date due within 12 months.</w:t>
      </w:r>
    </w:p>
    <w:p>
      <w:pPr>
        <w:spacing w:after="0" w:line="8" w:lineRule="exact"/>
        <w:rPr>
          <w:rFonts w:ascii="Arial" w:cs="Arial" w:eastAsia="Arial" w:hAnsi="Arial"/>
          <w:sz w:val="22"/>
          <w:szCs w:val="22"/>
          <w:color w:val="auto"/>
          <w:vertAlign w:val="superscript"/>
        </w:rPr>
      </w:pPr>
    </w:p>
    <w:p>
      <w:pPr>
        <w:ind w:left="460" w:right="120" w:hanging="452"/>
        <w:spacing w:after="0" w:line="221"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Financial assets primarily consist of Swedish government debt securities, which are classified as trading investment securities, with an average duration of 1.6 years.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exposed to cash flow risk on floating rate financial assets and financial liabilities at December 31, 2011. When interest rates on financial assets of floating rate positions decrease, net interest income decreases. When interest rates on financial liabilities of floating rate positions increase, net interest expense increases. Based on December 31, 2011 positions, each 1.0% change in interest rate on our net floating rate positions would impact annual pre-tax income negatively by an immaterial amount as reflected in the table above.</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exposed to price risk on our fixed rate financial assets, which totaled $260 million at December 31, 2011 and have an average duration of 1.6 years. The net effect of a parallel shift on 1.0% of the interest rate curve, taking into account the change in fair value and increase in interest income, would impact annual pre-tax income negatively by $1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a leading global exchange group, we are subject to foreign currency translation risk. For the year ended December 31, 2011, approximately 35.6% of our revenues less transaction rebates, brokerage, clearance and exchange fees and 31.4% of our operating income were derived in currencies other than the U.S. dollar, primarily the Swedish Krona, Euro, Norwegian Krone and Danish Krone. For the year ended December 31, 2010, approximately 33.9% of our revenues less transaction rebates, brokerage, clearance and exchange fees and 26.4% of our operating income were derived in currencies other than the U.S. dollar, primarily the Swedish Krona, Euro, Norwegian Krone, and Danish Krone.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primary exposure to foreign currency denominated revenues less transaction rebates, brokerage, clearance and exchange fees and operating income for the year ended December 31, 2011 is presented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w w:val="87"/>
              </w:rPr>
              <w:t>Swedish</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Norwegian</w:t>
            </w:r>
          </w:p>
        </w:tc>
        <w:tc>
          <w:tcPr>
            <w:tcW w:w="400" w:type="dxa"/>
            <w:vAlign w:val="bottom"/>
          </w:tcPr>
          <w:p>
            <w:pPr>
              <w:spacing w:after="0"/>
              <w:rPr>
                <w:sz w:val="14"/>
                <w:szCs w:val="14"/>
                <w:color w:val="auto"/>
              </w:rPr>
            </w:pPr>
          </w:p>
        </w:tc>
        <w:tc>
          <w:tcPr>
            <w:tcW w:w="920" w:type="dxa"/>
            <w:vAlign w:val="bottom"/>
          </w:tcPr>
          <w:p>
            <w:pPr>
              <w:jc w:val="right"/>
              <w:ind w:right="438"/>
              <w:spacing w:after="0"/>
              <w:rPr>
                <w:sz w:val="20"/>
                <w:szCs w:val="20"/>
                <w:color w:val="auto"/>
              </w:rPr>
            </w:pPr>
            <w:r>
              <w:rPr>
                <w:rFonts w:ascii="Arial" w:cs="Arial" w:eastAsia="Arial" w:hAnsi="Arial"/>
                <w:sz w:val="14"/>
                <w:szCs w:val="14"/>
                <w:b w:val="1"/>
                <w:bCs w:val="1"/>
                <w:color w:val="auto"/>
                <w:w w:val="81"/>
              </w:rPr>
              <w:t>Danish</w:t>
            </w: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56"/>
              <w:spacing w:after="0"/>
              <w:rPr>
                <w:sz w:val="20"/>
                <w:szCs w:val="20"/>
                <w:color w:val="auto"/>
              </w:rPr>
            </w:pPr>
            <w:r>
              <w:rPr>
                <w:rFonts w:ascii="Arial" w:cs="Arial" w:eastAsia="Arial" w:hAnsi="Arial"/>
                <w:sz w:val="14"/>
                <w:szCs w:val="14"/>
                <w:b w:val="1"/>
                <w:bCs w:val="1"/>
                <w:color w:val="auto"/>
                <w:w w:val="88"/>
              </w:rPr>
              <w:t>Krona</w:t>
            </w:r>
          </w:p>
        </w:tc>
        <w:tc>
          <w:tcPr>
            <w:tcW w:w="400" w:type="dxa"/>
            <w:vAlign w:val="bottom"/>
          </w:tcPr>
          <w:p>
            <w:pPr>
              <w:spacing w:after="0"/>
              <w:rPr>
                <w:sz w:val="14"/>
                <w:szCs w:val="14"/>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Euro</w:t>
            </w:r>
          </w:p>
        </w:tc>
        <w:tc>
          <w:tcPr>
            <w:tcW w:w="680" w:type="dxa"/>
            <w:vAlign w:val="bottom"/>
          </w:tcPr>
          <w:p>
            <w:pPr>
              <w:spacing w:after="0"/>
              <w:rPr>
                <w:sz w:val="14"/>
                <w:szCs w:val="14"/>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w w:val="88"/>
              </w:rPr>
              <w:t>Krone</w:t>
            </w:r>
          </w:p>
        </w:tc>
        <w:tc>
          <w:tcPr>
            <w:tcW w:w="400" w:type="dxa"/>
            <w:vAlign w:val="bottom"/>
          </w:tcPr>
          <w:p>
            <w:pPr>
              <w:spacing w:after="0"/>
              <w:rPr>
                <w:sz w:val="14"/>
                <w:szCs w:val="14"/>
                <w:color w:val="auto"/>
              </w:rPr>
            </w:pPr>
          </w:p>
        </w:tc>
        <w:tc>
          <w:tcPr>
            <w:tcW w:w="920" w:type="dxa"/>
            <w:vAlign w:val="bottom"/>
          </w:tcPr>
          <w:p>
            <w:pPr>
              <w:jc w:val="right"/>
              <w:ind w:right="458"/>
              <w:spacing w:after="0"/>
              <w:rPr>
                <w:sz w:val="20"/>
                <w:szCs w:val="20"/>
                <w:color w:val="auto"/>
              </w:rPr>
            </w:pPr>
            <w:r>
              <w:rPr>
                <w:rFonts w:ascii="Arial" w:cs="Arial" w:eastAsia="Arial" w:hAnsi="Arial"/>
                <w:sz w:val="14"/>
                <w:szCs w:val="14"/>
                <w:b w:val="1"/>
                <w:bCs w:val="1"/>
                <w:color w:val="auto"/>
                <w:w w:val="88"/>
              </w:rPr>
              <w:t>Krone</w:t>
            </w:r>
          </w:p>
        </w:tc>
        <w:tc>
          <w:tcPr>
            <w:tcW w:w="4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Currencies</w:t>
            </w:r>
          </w:p>
        </w:tc>
      </w:tr>
      <w:tr>
        <w:trPr>
          <w:trHeight w:val="142"/>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88"/>
              </w:rPr>
              <w:t>(in millions, except currency rate)</w:t>
            </w: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2011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83"/>
              </w:rPr>
              <w:t>0.1542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3"/>
              </w:rPr>
              <w:t>1.3922</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0"/>
              </w:rPr>
              <w:t>0.1785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83"/>
              </w:rPr>
              <w:t>0.1868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8"/>
        </w:trPr>
        <w:tc>
          <w:tcPr>
            <w:tcW w:w="4980" w:type="dxa"/>
            <w:vAlign w:val="bottom"/>
            <w:gridSpan w:val="3"/>
          </w:tcPr>
          <w:p>
            <w:pPr>
              <w:spacing w:after="0"/>
              <w:rPr>
                <w:sz w:val="20"/>
                <w:szCs w:val="20"/>
                <w:color w:val="auto"/>
              </w:rPr>
            </w:pPr>
            <w:r>
              <w:rPr>
                <w:rFonts w:ascii="Arial" w:cs="Arial" w:eastAsia="Arial" w:hAnsi="Arial"/>
                <w:sz w:val="18"/>
                <w:szCs w:val="18"/>
                <w:color w:val="auto"/>
              </w:rPr>
              <w:t>Percentage of revenues less transaction rebates, brokerage,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4820" w:type="dxa"/>
            <w:vAlign w:val="bottom"/>
            <w:gridSpan w:val="2"/>
          </w:tcPr>
          <w:p>
            <w:pPr>
              <w:ind w:left="60"/>
              <w:spacing w:after="0"/>
              <w:rPr>
                <w:sz w:val="20"/>
                <w:szCs w:val="20"/>
                <w:color w:val="auto"/>
              </w:rPr>
            </w:pPr>
            <w:r>
              <w:rPr>
                <w:rFonts w:ascii="Arial" w:cs="Arial" w:eastAsia="Arial" w:hAnsi="Arial"/>
                <w:sz w:val="18"/>
                <w:szCs w:val="18"/>
                <w:color w:val="auto"/>
              </w:rPr>
              <w:t>clearance and exchange fees</w:t>
            </w:r>
          </w:p>
        </w:tc>
        <w:tc>
          <w:tcPr>
            <w:tcW w:w="1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9"/>
                <w:szCs w:val="19"/>
                <w:color w:val="auto"/>
              </w:rPr>
            </w:pP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8"/>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08"/>
        </w:trPr>
        <w:tc>
          <w:tcPr>
            <w:tcW w:w="4980" w:type="dxa"/>
            <w:vAlign w:val="bottom"/>
            <w:gridSpan w:val="3"/>
          </w:tcPr>
          <w:p>
            <w:pPr>
              <w:spacing w:after="0"/>
              <w:rPr>
                <w:sz w:val="20"/>
                <w:szCs w:val="20"/>
                <w:color w:val="auto"/>
              </w:rPr>
            </w:pPr>
            <w:r>
              <w:rPr>
                <w:rFonts w:ascii="Arial" w:cs="Arial" w:eastAsia="Arial" w:hAnsi="Arial"/>
                <w:sz w:val="18"/>
                <w:szCs w:val="18"/>
                <w:color w:val="auto"/>
                <w:w w:val="98"/>
              </w:rPr>
              <w:t>Impact of a 10% adverse currency fluctuation on revenues less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4820" w:type="dxa"/>
            <w:vAlign w:val="bottom"/>
            <w:gridSpan w:val="2"/>
          </w:tcPr>
          <w:p>
            <w:pPr>
              <w:ind w:left="60"/>
              <w:spacing w:after="0"/>
              <w:rPr>
                <w:sz w:val="20"/>
                <w:szCs w:val="20"/>
                <w:color w:val="auto"/>
              </w:rPr>
            </w:pPr>
            <w:r>
              <w:rPr>
                <w:rFonts w:ascii="Arial" w:cs="Arial" w:eastAsia="Arial" w:hAnsi="Arial"/>
                <w:sz w:val="18"/>
                <w:szCs w:val="18"/>
                <w:color w:val="auto"/>
                <w:w w:val="96"/>
              </w:rPr>
              <w:t>transaction rebates, brokerage, clearance and exchange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96"/>
              <w:spacing w:after="0"/>
              <w:rPr>
                <w:sz w:val="20"/>
                <w:szCs w:val="20"/>
                <w:color w:val="auto"/>
              </w:rPr>
            </w:pPr>
            <w:r>
              <w:rPr>
                <w:rFonts w:ascii="Arial" w:cs="Arial" w:eastAsia="Arial" w:hAnsi="Arial"/>
                <w:sz w:val="18"/>
                <w:szCs w:val="18"/>
                <w:color w:val="auto"/>
              </w:rPr>
              <w:t>(39)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68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96"/>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8"/>
              <w:spacing w:after="0"/>
              <w:rPr>
                <w:sz w:val="20"/>
                <w:szCs w:val="20"/>
                <w:color w:val="auto"/>
              </w:rPr>
            </w:pPr>
            <w:r>
              <w:rPr>
                <w:rFonts w:ascii="Arial" w:cs="Arial" w:eastAsia="Arial" w:hAnsi="Arial"/>
                <w:sz w:val="18"/>
                <w:szCs w:val="18"/>
                <w:color w:val="auto"/>
              </w:rPr>
              <w:t>(5)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0"/>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1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gridSpan w:val="2"/>
          </w:tcPr>
          <w:p>
            <w:pPr>
              <w:ind w:left="300"/>
              <w:spacing w:after="0"/>
              <w:rPr>
                <w:sz w:val="20"/>
                <w:szCs w:val="20"/>
                <w:color w:val="auto"/>
              </w:rPr>
            </w:pPr>
            <w:r>
              <w:rPr>
                <w:rFonts w:ascii="Arial" w:cs="Arial" w:eastAsia="Arial" w:hAnsi="Arial"/>
                <w:sz w:val="18"/>
                <w:szCs w:val="18"/>
                <w:color w:val="auto"/>
              </w:rPr>
              <w:t>Represents multiple foreign currency rates.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42"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Our primary exposure to foreign currency denominated revenues less transaction rebates, brokerage, clearance and exchange fees and operating income for the year ended December 31, 2010 is presented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w w:val="87"/>
              </w:rPr>
              <w:t>Swedish</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Norwegian</w:t>
            </w:r>
          </w:p>
        </w:tc>
        <w:tc>
          <w:tcPr>
            <w:tcW w:w="400" w:type="dxa"/>
            <w:vAlign w:val="bottom"/>
          </w:tcPr>
          <w:p>
            <w:pPr>
              <w:spacing w:after="0"/>
              <w:rPr>
                <w:sz w:val="14"/>
                <w:szCs w:val="14"/>
                <w:color w:val="auto"/>
              </w:rPr>
            </w:pPr>
          </w:p>
        </w:tc>
        <w:tc>
          <w:tcPr>
            <w:tcW w:w="920" w:type="dxa"/>
            <w:vAlign w:val="bottom"/>
          </w:tcPr>
          <w:p>
            <w:pPr>
              <w:jc w:val="right"/>
              <w:ind w:right="438"/>
              <w:spacing w:after="0"/>
              <w:rPr>
                <w:sz w:val="20"/>
                <w:szCs w:val="20"/>
                <w:color w:val="auto"/>
              </w:rPr>
            </w:pPr>
            <w:r>
              <w:rPr>
                <w:rFonts w:ascii="Arial" w:cs="Arial" w:eastAsia="Arial" w:hAnsi="Arial"/>
                <w:sz w:val="14"/>
                <w:szCs w:val="14"/>
                <w:b w:val="1"/>
                <w:bCs w:val="1"/>
                <w:color w:val="auto"/>
                <w:w w:val="81"/>
              </w:rPr>
              <w:t>Danish</w:t>
            </w: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56"/>
              <w:spacing w:after="0"/>
              <w:rPr>
                <w:sz w:val="20"/>
                <w:szCs w:val="20"/>
                <w:color w:val="auto"/>
              </w:rPr>
            </w:pPr>
            <w:r>
              <w:rPr>
                <w:rFonts w:ascii="Arial" w:cs="Arial" w:eastAsia="Arial" w:hAnsi="Arial"/>
                <w:sz w:val="14"/>
                <w:szCs w:val="14"/>
                <w:b w:val="1"/>
                <w:bCs w:val="1"/>
                <w:color w:val="auto"/>
                <w:w w:val="88"/>
              </w:rPr>
              <w:t>Krona</w:t>
            </w:r>
          </w:p>
        </w:tc>
        <w:tc>
          <w:tcPr>
            <w:tcW w:w="400" w:type="dxa"/>
            <w:vAlign w:val="bottom"/>
          </w:tcPr>
          <w:p>
            <w:pPr>
              <w:spacing w:after="0"/>
              <w:rPr>
                <w:sz w:val="14"/>
                <w:szCs w:val="14"/>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Euro</w:t>
            </w:r>
          </w:p>
        </w:tc>
        <w:tc>
          <w:tcPr>
            <w:tcW w:w="680" w:type="dxa"/>
            <w:vAlign w:val="bottom"/>
          </w:tcPr>
          <w:p>
            <w:pPr>
              <w:spacing w:after="0"/>
              <w:rPr>
                <w:sz w:val="14"/>
                <w:szCs w:val="14"/>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w w:val="88"/>
              </w:rPr>
              <w:t>Krone</w:t>
            </w:r>
          </w:p>
        </w:tc>
        <w:tc>
          <w:tcPr>
            <w:tcW w:w="400" w:type="dxa"/>
            <w:vAlign w:val="bottom"/>
          </w:tcPr>
          <w:p>
            <w:pPr>
              <w:spacing w:after="0"/>
              <w:rPr>
                <w:sz w:val="14"/>
                <w:szCs w:val="14"/>
                <w:color w:val="auto"/>
              </w:rPr>
            </w:pPr>
          </w:p>
        </w:tc>
        <w:tc>
          <w:tcPr>
            <w:tcW w:w="920" w:type="dxa"/>
            <w:vAlign w:val="bottom"/>
          </w:tcPr>
          <w:p>
            <w:pPr>
              <w:jc w:val="right"/>
              <w:ind w:right="458"/>
              <w:spacing w:after="0"/>
              <w:rPr>
                <w:sz w:val="20"/>
                <w:szCs w:val="20"/>
                <w:color w:val="auto"/>
              </w:rPr>
            </w:pPr>
            <w:r>
              <w:rPr>
                <w:rFonts w:ascii="Arial" w:cs="Arial" w:eastAsia="Arial" w:hAnsi="Arial"/>
                <w:sz w:val="14"/>
                <w:szCs w:val="14"/>
                <w:b w:val="1"/>
                <w:bCs w:val="1"/>
                <w:color w:val="auto"/>
                <w:w w:val="88"/>
              </w:rPr>
              <w:t>Krone</w:t>
            </w:r>
          </w:p>
        </w:tc>
        <w:tc>
          <w:tcPr>
            <w:tcW w:w="4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Currencies</w:t>
            </w:r>
          </w:p>
        </w:tc>
      </w:tr>
      <w:tr>
        <w:trPr>
          <w:trHeight w:val="142"/>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88"/>
              </w:rPr>
              <w:t>(in millions, except currency rate)</w:t>
            </w: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83"/>
              </w:rPr>
              <w:t>0.1391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3"/>
              </w:rPr>
              <w:t>1.3272</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0"/>
              </w:rPr>
              <w:t>0.1657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83"/>
              </w:rPr>
              <w:t>0.1782</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8"/>
        </w:trPr>
        <w:tc>
          <w:tcPr>
            <w:tcW w:w="4980" w:type="dxa"/>
            <w:vAlign w:val="bottom"/>
            <w:gridSpan w:val="3"/>
          </w:tcPr>
          <w:p>
            <w:pPr>
              <w:spacing w:after="0"/>
              <w:rPr>
                <w:sz w:val="20"/>
                <w:szCs w:val="20"/>
                <w:color w:val="auto"/>
              </w:rPr>
            </w:pPr>
            <w:r>
              <w:rPr>
                <w:rFonts w:ascii="Arial" w:cs="Arial" w:eastAsia="Arial" w:hAnsi="Arial"/>
                <w:sz w:val="18"/>
                <w:szCs w:val="18"/>
                <w:color w:val="auto"/>
              </w:rPr>
              <w:t>Percentage of revenues less transaction rebates, brokerage,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4820" w:type="dxa"/>
            <w:vAlign w:val="bottom"/>
            <w:gridSpan w:val="2"/>
          </w:tcPr>
          <w:p>
            <w:pPr>
              <w:ind w:left="60"/>
              <w:spacing w:after="0"/>
              <w:rPr>
                <w:sz w:val="20"/>
                <w:szCs w:val="20"/>
                <w:color w:val="auto"/>
              </w:rPr>
            </w:pPr>
            <w:r>
              <w:rPr>
                <w:rFonts w:ascii="Arial" w:cs="Arial" w:eastAsia="Arial" w:hAnsi="Arial"/>
                <w:sz w:val="18"/>
                <w:szCs w:val="18"/>
                <w:color w:val="auto"/>
              </w:rPr>
              <w:t>clearance and exchange fees</w:t>
            </w:r>
          </w:p>
        </w:tc>
        <w:tc>
          <w:tcPr>
            <w:tcW w:w="1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9"/>
                <w:szCs w:val="19"/>
                <w:color w:val="auto"/>
              </w:rPr>
            </w:pP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8"/>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08"/>
        </w:trPr>
        <w:tc>
          <w:tcPr>
            <w:tcW w:w="4980" w:type="dxa"/>
            <w:vAlign w:val="bottom"/>
            <w:gridSpan w:val="3"/>
          </w:tcPr>
          <w:p>
            <w:pPr>
              <w:spacing w:after="0"/>
              <w:rPr>
                <w:sz w:val="20"/>
                <w:szCs w:val="20"/>
                <w:color w:val="auto"/>
              </w:rPr>
            </w:pPr>
            <w:r>
              <w:rPr>
                <w:rFonts w:ascii="Arial" w:cs="Arial" w:eastAsia="Arial" w:hAnsi="Arial"/>
                <w:sz w:val="18"/>
                <w:szCs w:val="18"/>
                <w:color w:val="auto"/>
                <w:w w:val="98"/>
              </w:rPr>
              <w:t>Impact of a 10% adverse currency fluctuation on revenues less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4820" w:type="dxa"/>
            <w:vAlign w:val="bottom"/>
            <w:gridSpan w:val="2"/>
          </w:tcPr>
          <w:p>
            <w:pPr>
              <w:ind w:left="60"/>
              <w:spacing w:after="0"/>
              <w:rPr>
                <w:sz w:val="20"/>
                <w:szCs w:val="20"/>
                <w:color w:val="auto"/>
              </w:rPr>
            </w:pPr>
            <w:r>
              <w:rPr>
                <w:rFonts w:ascii="Arial" w:cs="Arial" w:eastAsia="Arial" w:hAnsi="Arial"/>
                <w:sz w:val="18"/>
                <w:szCs w:val="18"/>
                <w:color w:val="auto"/>
                <w:w w:val="96"/>
              </w:rPr>
              <w:t>transaction rebates, brokerage, clearance and exchange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96"/>
              <w:spacing w:after="0"/>
              <w:rPr>
                <w:sz w:val="20"/>
                <w:szCs w:val="20"/>
                <w:color w:val="auto"/>
              </w:rPr>
            </w:pPr>
            <w:r>
              <w:rPr>
                <w:rFonts w:ascii="Arial" w:cs="Arial" w:eastAsia="Arial" w:hAnsi="Arial"/>
                <w:sz w:val="18"/>
                <w:szCs w:val="18"/>
                <w:color w:val="auto"/>
              </w:rPr>
              <w:t>(34)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68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96"/>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8"/>
              <w:spacing w:after="0"/>
              <w:rPr>
                <w:sz w:val="20"/>
                <w:szCs w:val="20"/>
                <w:color w:val="auto"/>
              </w:rPr>
            </w:pPr>
            <w:r>
              <w:rPr>
                <w:rFonts w:ascii="Arial" w:cs="Arial" w:eastAsia="Arial" w:hAnsi="Arial"/>
                <w:sz w:val="18"/>
                <w:szCs w:val="18"/>
                <w:color w:val="auto"/>
              </w:rPr>
              <w:t>(5)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0"/>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1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gridSpan w:val="2"/>
          </w:tcPr>
          <w:p>
            <w:pPr>
              <w:ind w:left="300"/>
              <w:spacing w:after="0"/>
              <w:rPr>
                <w:sz w:val="20"/>
                <w:szCs w:val="20"/>
                <w:color w:val="auto"/>
              </w:rPr>
            </w:pPr>
            <w:r>
              <w:rPr>
                <w:rFonts w:ascii="Arial" w:cs="Arial" w:eastAsia="Arial" w:hAnsi="Arial"/>
                <w:sz w:val="18"/>
                <w:szCs w:val="18"/>
                <w:color w:val="auto"/>
              </w:rPr>
              <w:t>Represents multiple foreign currency rates.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4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exposure to net assets in foreign currencies as of December 31, 2011 is presented in the following table:</w:t>
      </w:r>
    </w:p>
    <w:p>
      <w:pPr>
        <w:spacing w:after="0" w:line="248"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Impact of a</w:t>
      </w:r>
    </w:p>
    <w:p>
      <w:pPr>
        <w:jc w:val="center"/>
        <w:ind w:left="8240"/>
        <w:spacing w:after="0" w:line="223" w:lineRule="auto"/>
        <w:rPr>
          <w:sz w:val="20"/>
          <w:szCs w:val="20"/>
          <w:color w:val="auto"/>
        </w:rPr>
      </w:pPr>
      <w:r>
        <w:rPr>
          <w:rFonts w:ascii="Arial" w:cs="Arial" w:eastAsia="Arial" w:hAnsi="Arial"/>
          <w:sz w:val="14"/>
          <w:szCs w:val="14"/>
          <w:b w:val="1"/>
          <w:bCs w:val="1"/>
          <w:color w:val="auto"/>
        </w:rPr>
        <w:t>10%</w:t>
      </w:r>
    </w:p>
    <w:p>
      <w:pPr>
        <w:jc w:val="center"/>
        <w:ind w:left="8240"/>
        <w:spacing w:after="0" w:line="222" w:lineRule="auto"/>
        <w:rPr>
          <w:sz w:val="20"/>
          <w:szCs w:val="20"/>
          <w:color w:val="auto"/>
        </w:rPr>
      </w:pPr>
      <w:r>
        <w:rPr>
          <w:rFonts w:ascii="Arial" w:cs="Arial" w:eastAsia="Arial" w:hAnsi="Arial"/>
          <w:sz w:val="14"/>
          <w:szCs w:val="14"/>
          <w:b w:val="1"/>
          <w:bCs w:val="1"/>
          <w:color w:val="auto"/>
        </w:rPr>
        <w:t>Adverse</w:t>
      </w:r>
    </w:p>
    <w:p>
      <w:pPr>
        <w:ind w:left="8380"/>
        <w:spacing w:after="0" w:line="221" w:lineRule="auto"/>
        <w:tabs>
          <w:tab w:leader="none" w:pos="9540" w:val="left"/>
        </w:tabs>
        <w:rPr>
          <w:sz w:val="20"/>
          <w:szCs w:val="20"/>
          <w:color w:val="auto"/>
        </w:rPr>
      </w:pPr>
      <w:r>
        <w:rPr>
          <w:rFonts w:ascii="Arial" w:cs="Arial" w:eastAsia="Arial" w:hAnsi="Arial"/>
          <w:sz w:val="14"/>
          <w:szCs w:val="14"/>
          <w:b w:val="1"/>
          <w:bCs w:val="1"/>
          <w:color w:val="auto"/>
        </w:rPr>
        <w:t>Net</w:t>
      </w:r>
      <w:r>
        <w:rPr>
          <w:sz w:val="20"/>
          <w:szCs w:val="20"/>
          <w:color w:val="auto"/>
        </w:rPr>
        <w:tab/>
      </w:r>
      <w:r>
        <w:rPr>
          <w:rFonts w:ascii="Arial" w:cs="Arial" w:eastAsia="Arial" w:hAnsi="Arial"/>
          <w:sz w:val="14"/>
          <w:szCs w:val="14"/>
          <w:b w:val="1"/>
          <w:bCs w:val="1"/>
          <w:color w:val="auto"/>
        </w:rPr>
        <w:t>Currency</w:t>
      </w:r>
    </w:p>
    <w:p>
      <w:pPr>
        <w:ind w:left="8300"/>
        <w:spacing w:after="0" w:line="220" w:lineRule="auto"/>
        <w:tabs>
          <w:tab w:leader="none" w:pos="9480" w:val="left"/>
        </w:tabs>
        <w:rPr>
          <w:sz w:val="20"/>
          <w:szCs w:val="20"/>
          <w:color w:val="auto"/>
        </w:rPr>
      </w:pPr>
      <w:r>
        <w:rPr>
          <w:rFonts w:ascii="Arial" w:cs="Arial" w:eastAsia="Arial" w:hAnsi="Arial"/>
          <w:sz w:val="14"/>
          <w:szCs w:val="14"/>
          <w:b w:val="1"/>
          <w:bCs w:val="1"/>
          <w:color w:val="auto"/>
        </w:rPr>
        <w:t>Assets</w:t>
      </w:r>
      <w:r>
        <w:rPr>
          <w:sz w:val="20"/>
          <w:szCs w:val="20"/>
          <w:color w:val="auto"/>
        </w:rPr>
        <w:tab/>
      </w:r>
      <w:r>
        <w:rPr>
          <w:rFonts w:ascii="Arial" w:cs="Arial" w:eastAsia="Arial" w:hAnsi="Arial"/>
          <w:sz w:val="14"/>
          <w:szCs w:val="14"/>
          <w:b w:val="1"/>
          <w:bCs w:val="1"/>
          <w:color w:val="auto"/>
        </w:rPr>
        <w:t>Fluctuation</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(millions of dollars)</w:t>
            </w: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r>
              <w:rPr>
                <w:rFonts w:ascii="Arial" w:cs="Arial" w:eastAsia="Arial" w:hAnsi="Arial"/>
                <w:sz w:val="11"/>
                <w:szCs w:val="11"/>
                <w:color w:val="auto"/>
              </w:rPr>
              <w:t>(1)</w:t>
            </w:r>
          </w:p>
        </w:tc>
        <w:tc>
          <w:tcPr>
            <w:tcW w:w="3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$4,191</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(419)</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Norwegian Krone</w:t>
            </w:r>
          </w:p>
        </w:tc>
        <w:tc>
          <w:tcPr>
            <w:tcW w:w="3800" w:type="dxa"/>
            <w:vAlign w:val="bottom"/>
            <w:gridSpan w:val="2"/>
          </w:tcPr>
          <w:p>
            <w:pPr>
              <w:jc w:val="right"/>
              <w:ind w:right="332"/>
              <w:spacing w:after="0"/>
              <w:rPr>
                <w:sz w:val="20"/>
                <w:szCs w:val="20"/>
                <w:color w:val="auto"/>
              </w:rPr>
            </w:pPr>
            <w:r>
              <w:rPr>
                <w:rFonts w:ascii="Arial" w:cs="Arial" w:eastAsia="Arial" w:hAnsi="Arial"/>
                <w:sz w:val="18"/>
                <w:szCs w:val="18"/>
                <w:color w:val="auto"/>
              </w:rPr>
              <w:t>267</w:t>
            </w:r>
          </w:p>
        </w:tc>
        <w:tc>
          <w:tcPr>
            <w:tcW w:w="6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89</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Australian Dollar</w:t>
            </w:r>
          </w:p>
        </w:tc>
        <w:tc>
          <w:tcPr>
            <w:tcW w:w="3800" w:type="dxa"/>
            <w:vAlign w:val="bottom"/>
            <w:gridSpan w:val="2"/>
          </w:tcPr>
          <w:p>
            <w:pPr>
              <w:jc w:val="right"/>
              <w:ind w:right="332"/>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Includes goodwill of $3,171 million and intangible assets, net of $998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routing services they provide for our trading customers. System trades in cash equities routed to other market centers for members of The NASDAQ Stock Market are routed by Nasdaq Execution Services for clearing to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risk. System trades in derivative contracts for the opening and closing cross and trades routed to other market centers are cleared by NASDAQ Options Services, as a member of the OCC. For these trades, novation is done at the end of the trading day, and settlement is complete by 10:00 am on the following day.</w:t>
      </w:r>
    </w:p>
    <w:p>
      <w:pPr>
        <w:spacing w:after="0" w:line="10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Pursuant to the rules of the OCC and NASDAQ Options Services’ clearing agreement, NASDAQ Options Services is liable for any losses incurred due to a counterparty or a clearing agent’s failure to satisfy its contractual obligations, either by making 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Historically, neither Nasdaq Execution Services nor NASDAQ Options Services has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See “Collateral Received for Clearing Operations, Guarantees Issued and Credit Facilities Available,” of “Off-Balance Sheet Arrangements,” above for further discussion.</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potential exposure to credit losses on these transactions is represented by the receivable balances in our Consolidated Balance Sheets. Most of our customers are financial institutions whose ability to satisfy their contractual obligations may be impacted by volatile securities markets.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an ongoing basis, we review and evaluate changes in the status of our counterparties’ creditworthiness. Credit losses such as those described above could adversely affect our consolidated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revenues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Issuer Services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Listing Services</w:t>
      </w:r>
    </w:p>
    <w:p>
      <w:pPr>
        <w:spacing w:after="0" w:line="7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Technology Revenues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Revenues are primarily derived from license, support and facility management revenues, delivery project revenues, as well as change request, advisory and broker surveillance revenues.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3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Change request, advisory and broker surveillance revenues do not require any judgments or assumptions by management as these amounts are recognized in revenue when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Related Impairment</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are required to test goodwill for impairment at the reporting unit level annually, or in interim periods if certain events occur indicating that the carrying amount may be impaired. We test for impairment during the fourth quarter of our fiscal year using carrying amounts as of October 1. In conducting the 2011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Financial Accounting Standards Board, or FASB, Accounting Standards Codification, or ASC, Topic 350, “Intangibles–Goodwill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32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conducting the initial qualitative assessment, we analyzed actual and projected growth trends for reach reporting unit, as well as historical performance versus plan and the results of prior quantitative tests performed. Additionally, each reporting unit assessed critical areas that may impact their business, including macroeconomic conditions and the related impact, market related exposures, competitive changes, new or discontinued products, changes in key personnel, or any other potential risks to their projected financial results.</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discounted cash flow valuations, which incorporate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assumptions used in determining future profit plans for each reporting unit, which are approved by the our board of directors. If the first step results in the carrying value exceeding the fair value of any reporting unit, then a second step must be completed in order to determine the amount of goodwill impairment that should be recorded.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0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There was no impairment of goodwill for the years ended December 31, 2011, 2010 and 2009. However, events such as economic weakness and unexpected significant declines in operating results of reporting units may result in goodwill impairment charges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and Related Impairment</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Intangible assets deemed to have indefinite useful lives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Impairment exists if the carrying amount of the indefinite-lived intangible asset exceeds its fair value and an impairment charge is recorded for the difference. There was no impairment of indefinite-lived intangible assets for the years ended December 31, 2011, 2010 and 2009. However, events such as economic weakness and unexpected significant declines in operating results may result in goodwill impairment charges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amount of the related asset and a charge to operating results.</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2009, we recorded losses of $87 million due to impairment charges related to NASDAQ Dubai and Agora-X. These charges were included in income (loss) from unconsolidated investees, net in the Consolidated Statements of Income. See Note 5, “Investments,” to the consolidated financial statements for further discussion. No other impairments of long-lived assets were recorded in 2011, 2010 or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Periods of Intangible Assets with Finite-Lives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average estimated useful lives as follows:</w:t>
      </w:r>
    </w:p>
    <w:p>
      <w:pPr>
        <w:spacing w:after="0" w:line="37"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Technology: 3—10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4—10 years</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3, “Acquisitions and Strategic Initiatives,” and Note 4, “Goodwill and Purchased Intangible Assets,” to the consolidated financial statements for further discussion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7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10, “Employee Benefits,” to the consolidated financial statements for further discussion.</w:t>
      </w:r>
    </w:p>
    <w:p>
      <w:pPr>
        <w:spacing w:after="0" w:line="8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accounting for share-based compensation requires the measurement and recognition of compensation expense for all share-based awards made to employees based on estimated fair values. Share-based awards, or equity awards, include employee stock options, restricted stock and performance share units, or PSUs. Prior to October 2008, restricted stock generally refers to restricted stock awards and after October 2008, restricted stock generally refers to restricted stock units.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estimate the fair value of employee stock options using the Black-Scholes valuation model. Assumptions used in the Black-Scholes valuation model include the expected life of the award, the weighted-average risk-free rate, the expected volatility, and the dividend yield. Our computation of expected life is based on historical exercise patterns. The risk-free interest rate for periods within the expected life of the award is based on the U.S. Treasury yield curve in effect at the time of grant. Our computation of expected volatility is based on a market-based implied volatility. Our credit facilities limit our ability to pay dividends. Before our credit facilities were in place, it was not our policy to declare or pay cash dividends on our common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“Share-Based Compensation,” to the consolidated financial statements for further discussion.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capitalize and amortize significant purchased application software and operational software that are an integral part of computer hardware on the straight-line method over their estimated useful lives, generally two to five years. We expense other purchased software as incurred.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costs incurred in connection with developing or obtaining internal use software are capitalized. We capitalize internal and third party costs incurred in connection with the development of internal use software.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Market Technology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recorded at the date the transaction occurs or at an applicable average rate.</w:t>
      </w:r>
    </w:p>
    <w:p>
      <w:pPr>
        <w:spacing w:after="0" w:line="9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ASC Topic 820—</w:t>
      </w:r>
      <w:r>
        <w:rPr>
          <w:rFonts w:ascii="Arial" w:cs="Arial" w:eastAsia="Arial" w:hAnsi="Arial"/>
          <w:sz w:val="16"/>
          <w:szCs w:val="16"/>
          <w:color w:val="auto"/>
        </w:rPr>
        <w:t>In January 2010, the FASB issued amended guidance relating to FASB ASC Topic 820, “Fair Value Measurements and Disclosures,”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ASC Topic 820. The amended guidance requires new disclosures as follows:</w:t>
      </w:r>
    </w:p>
    <w:p>
      <w:pPr>
        <w:spacing w:after="0" w:line="70"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related to transfers in and out of Levels 1 and 2 shall be disclosed separately and the reasons for the transfers shall be described.</w:t>
      </w:r>
    </w:p>
    <w:p>
      <w:pPr>
        <w:spacing w:after="0" w:line="126"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reconciliation for fair value measurements using significant unobservable inputs (Level 3), a reporting entity should present separately information about purchases, sales, issuances, and settlements on a gross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guidance also provides amendments that clarify existing disclosures related to the following:</w:t>
      </w:r>
    </w:p>
    <w:p>
      <w:pPr>
        <w:spacing w:after="0" w:line="77"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Reporting fair value measurement disclosures for each class of assets and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Providing disclosure surrounding the valuation techniques and inputs used to measure fair value for both Level 2 and Level 3 fair value measurements.</w:t>
      </w:r>
    </w:p>
    <w:p>
      <w:pPr>
        <w:spacing w:after="0" w:line="21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accounting guidance was effective for us beginning on January 1, 2010, except for the disclosure requirements surrounding the reconciliation of Level 3 fair value measurements, which were effective for us on January 1, 2011. Since this guidance only required additional disclosure, it did not affect our financial position or results of operations.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ASC Topic 220</w:t>
      </w:r>
      <w:r>
        <w:rPr>
          <w:rFonts w:ascii="Arial" w:cs="Arial" w:eastAsia="Arial" w:hAnsi="Arial"/>
          <w:sz w:val="18"/>
          <w:szCs w:val="18"/>
          <w:color w:val="auto"/>
        </w:rPr>
        <w:t>—In June 2011, the FASB issued amended guidance relating to FASB ASC Topic 220, “Comprehensive Income,” or ASC Topic 220,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eliminates the option to present the components of other comprehensive income as part of the statement of equity. Instead, the amended guidance requires entities to report components of comprehensive income in either a single continuous statement of comprehensive income containing two sections, net income and other comprehensive income, or in two separate but consecutive statements. This accounting guidance is effective for us on January 1, 2012 with early adoption permitted. We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adopted this guidance as of June 30, 2011 and present two separate but consecutive statements presenting the components of comprehensive income. Since this guidance only required a change in the format of the presentation of comprehensive income, it did not affect our financial position or results of operations.</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ASC Topic 350</w:t>
      </w:r>
      <w:r>
        <w:rPr>
          <w:rFonts w:ascii="Arial" w:cs="Arial" w:eastAsia="Arial" w:hAnsi="Arial"/>
          <w:sz w:val="16"/>
          <w:szCs w:val="16"/>
          <w:color w:val="auto"/>
        </w:rPr>
        <w:t>—In September 2011, the FASB issued amended guidance relating to FASB ASC Topic 350, which affects all entities that have goodwill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in the financial statements. The amended guidance permits an entity to first assess qualitative factors to determine whether it is more likely than not that the fair value of a reporting unit is less than the carrying amount as a basis for determining whether it is necessary to perform the two-step quantitative goodwill impairment test described in ASC Topic 350. The more-likely-than-not threshold is defined as having a likelihood of more than 50 percent. If, after assessing the totality of events or circumstances, an entity determines that it is more likely than not that the fair value of a reporting unit exceeds its carrying amount, then performing the two-step impairment test is unnecessary. This accounting guidance is effective for us on January 1, 2012 with early adoption permitted. We adopted this guidance as of September 30, 2011 and used the qualitative assessment option for our annual goodwill impairment test performed for fiscal 2011. For testing procedures and results, see “Goodwill,” of Note 2, “Summary of Significant Accounting Policies,” to the consolidated financial statements. Since this guidance only changed the manner in which we assess goodwill for impairment, it did not affect our financial position or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1st Qtr</w:t>
            </w: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940" w:type="dxa"/>
            <w:vAlign w:val="bottom"/>
            <w:gridSpan w:val="2"/>
          </w:tcPr>
          <w:p>
            <w:pPr>
              <w:jc w:val="center"/>
              <w:ind w:left="243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8"/>
          </w:tcPr>
          <w:p>
            <w:pPr>
              <w:ind w:left="40"/>
              <w:spacing w:after="0" w:line="142" w:lineRule="exact"/>
              <w:rPr>
                <w:sz w:val="20"/>
                <w:szCs w:val="20"/>
                <w:color w:val="auto"/>
              </w:rPr>
            </w:pPr>
            <w:r>
              <w:rPr>
                <w:rFonts w:ascii="Arial" w:cs="Arial" w:eastAsia="Arial" w:hAnsi="Arial"/>
                <w:sz w:val="14"/>
                <w:szCs w:val="14"/>
                <w:b w:val="1"/>
                <w:bCs w:val="1"/>
                <w:color w:val="auto"/>
                <w:w w:val="90"/>
              </w:rPr>
              <w:t>(in millions, except per share amounts)</w:t>
            </w: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$ 817</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revenues</w:t>
            </w:r>
          </w:p>
        </w:tc>
        <w:tc>
          <w:tcPr>
            <w:tcW w:w="25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(508)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87"/>
              </w:rPr>
              <w:t>Revenues less transaction rebates, brokerage, clearance and exchange fees</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5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243</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$ 104</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  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$ 0.59</w:t>
            </w: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$ 0.52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$ 0.62</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$ 0.46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$ 0.57</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$ 0.51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$ 0.61</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1st Qtr</w:t>
            </w:r>
          </w:p>
        </w:tc>
        <w:tc>
          <w:tcPr>
            <w:tcW w:w="4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2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940" w:type="dxa"/>
            <w:vAlign w:val="bottom"/>
            <w:gridSpan w:val="2"/>
          </w:tcPr>
          <w:p>
            <w:pPr>
              <w:jc w:val="center"/>
              <w:ind w:left="2457"/>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8"/>
          </w:tcPr>
          <w:p>
            <w:pPr>
              <w:ind w:left="40"/>
              <w:spacing w:after="0" w:line="142" w:lineRule="exact"/>
              <w:rPr>
                <w:sz w:val="20"/>
                <w:szCs w:val="20"/>
                <w:color w:val="auto"/>
              </w:rPr>
            </w:pPr>
            <w:r>
              <w:rPr>
                <w:rFonts w:ascii="Arial" w:cs="Arial" w:eastAsia="Arial" w:hAnsi="Arial"/>
                <w:sz w:val="14"/>
                <w:szCs w:val="14"/>
                <w:b w:val="1"/>
                <w:bCs w:val="1"/>
                <w:color w:val="auto"/>
                <w:w w:val="90"/>
              </w:rPr>
              <w:t>(in millions, except per share amounts)</w:t>
            </w: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$ 771</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revenues</w:t>
            </w:r>
          </w:p>
        </w:tc>
        <w:tc>
          <w:tcPr>
            <w:tcW w:w="25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(385)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87"/>
              </w:rPr>
              <w:t>Revenues less transaction rebates, brokerage, clearance and exchange fees</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5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207</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  61</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$ 0.29</w:t>
            </w: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$ 0.46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$ 0.51</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$ 0.70</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$ 0.28</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$ 0.46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$ 0.50</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20" w:type="dxa"/>
            <w:vAlign w:val="bottom"/>
            <w:vMerge w:val="restart"/>
          </w:tcPr>
          <w:p>
            <w:pPr>
              <w:jc w:val="right"/>
              <w:ind w:right="2057"/>
              <w:spacing w:after="0"/>
              <w:rPr>
                <w:sz w:val="20"/>
                <w:szCs w:val="20"/>
                <w:color w:val="auto"/>
              </w:rPr>
            </w:pPr>
            <w:r>
              <w:rPr>
                <w:rFonts w:ascii="Arial" w:cs="Arial" w:eastAsia="Arial" w:hAnsi="Arial"/>
                <w:sz w:val="18"/>
                <w:szCs w:val="18"/>
                <w:color w:val="auto"/>
              </w:rPr>
              <w:t>89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NASDAQ OMX’s consolidated financial statements, including Consolidated Balance Sheets as of December 31, 2011 and 2010, Consolidated Statements of Income for the years ended December 31, 2011, 2010 and 2009, Consolidated Statements of Comprehensive Income for the years ended December 31, 2011, 2010 and 2009, Consolidated Statements of Changes in Equity for the years ended December 31, 2011, 2010 and 2009, Consolidated Statements of Cash Flows for the years ended December 31, 2011, 2010 and 2009 and notes to our consolidated financial statements, together with a report thereon of Ernst &amp; Young LLP, dated February 24, 2012, are attached hereto as pages F-1 through F-73 and incorporated by reference 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xml:space="preserve"> NASDAQ OMX’s management, with the participation of NASDAQ OMX’s Chief Executive Officer and President, and Chief Financial Officer and Executive Vice President, Corporate Strategy, has evaluated the effectiveness of NASDAQ OMX’s disclosure controls and procedures (as defined in Rule 13a-15(e) and Rule 15d-15(e) under the Exchange Act) as of the end of the period covered by this report. Based upon that evaluation, NASDAQ OMX’s Chief Executive Officer and President, and Chief Financial Officer and Executive Vice President, Corporate Strategy have concluded that, as of the end of such period, NASDAQ OMX’s disclosure controls and procedures are effective.</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 OMX’s internal controls over financial reporting (as defined in Rule 13a-15(f) and Rule 15d-15(f) under the Exchange Act) that occurred during the quarter ended December 31, 2011 that have materially affected, or are reasonably likely to materially affect, NASDAQ OMX’s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 OMX’s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2011, based on criteria established in Internal Control—Integrated Framework issued by the Committee of Sponsoring Organizations of the Treadway Commission (COSO). This evaluation included review</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its assessment, our management believes that, as of December 31, 2011, our internal control over financial reporting is effective.</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 OMX’s internal control over financial reporting, which is included herein.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 The NASDAQ OMX Group, Inc.</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NASDAQ OMX Group, Inc.’s internal control over financial reporting as of December 31, 2011, based on criteria established in Internal Control—Integrated Framework issued by the Committee of Sponsoring Organizations of the Treadway Commission (the COSO criteria).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of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our opinion, The NASDAQ OMX Group, Inc. maintained, in all material respects, effective internal control over financial reporting as of December 31, 2011, based on the COSO criteria.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 of the Public Company Accounting Oversight Board (United States), the consolidated balance sheets of The NASDAQ OMX Group, Inc. as of December 31, 2011 and 2010, and the related consolidated statements of income, comprehensive income, changes in equity, and cash flows for each of the three years in the period ended December 31, 2011 of The NASDAQ OMX Group, Inc. and our report dated February 24, 2012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Information about NASDAQ OMX’s directors, as required by Item 401 of Regulation S-K, is incorporated by reference from the discussion under the caption “Proposal I: Election of Directors” in NASDAQ OMX’s proxy statement for the 2012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 Corporate Governance Guidelines and Code of Ethics” in the Proxy. Information about NASDAQ OMX’s nomination procedures, audit committee and audit committee financial experts, as required by Items 407(c)(3), 407(d)(4) and 407(d)(5) of Regulation S-K, is incorporated by reference from the discussion under the caption “Proposal I: Election of Directors” in the Proxy.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Information about NASDAQ OMX’s director and executive compensation, as required by Items 402, 407(e)(4) and 407(e)(5) of Regulation S-K, is incorporated by reference from the discussion under the captions “Director Compensation,” “Compensation Discussion and Analysis” and “Executive Compensation”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NASDAQ OMX’s Equity Incentive Plan, or Equity Plan, provides for the issuance of our equity securities to our officers and other employees, directors and consultants. In addition, most employees of NASDAQ OMX and its subsidiaries are eligible to participate in the NASDAQ OMX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our Chief Executive Officer and President, as inducement awards to secure his employment with NASDAQ OMX. These two inducement awards were outside of the Equity Plan. The following table sets forth information regarding outstanding options and shares reserved for future issuance under all of NASDAQ OMX’s compensation plans as of December 31,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for future issuance</w:t>
            </w: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12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20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2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3"/>
              </w:rPr>
              <w:t>(excluding shares</w:t>
            </w:r>
          </w:p>
        </w:tc>
      </w:tr>
      <w:tr>
        <w:trPr>
          <w:trHeight w:val="134"/>
        </w:trPr>
        <w:tc>
          <w:tcPr>
            <w:tcW w:w="8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320" w:type="dxa"/>
            <w:vAlign w:val="bottom"/>
            <w:gridSpan w:val="2"/>
          </w:tcPr>
          <w:p>
            <w:pPr>
              <w:jc w:val="center"/>
              <w:ind w:right="1160"/>
              <w:spacing w:after="0" w:line="135" w:lineRule="exact"/>
              <w:rPr>
                <w:sz w:val="20"/>
                <w:szCs w:val="20"/>
                <w:color w:val="auto"/>
              </w:rPr>
            </w:pPr>
            <w:r>
              <w:rPr>
                <w:rFonts w:ascii="Arial" w:cs="Arial" w:eastAsia="Arial" w:hAnsi="Arial"/>
                <w:sz w:val="14"/>
                <w:szCs w:val="14"/>
                <w:b w:val="1"/>
                <w:bCs w:val="1"/>
                <w:color w:val="auto"/>
                <w:w w:val="89"/>
              </w:rPr>
              <w:t>warrants and rights</w:t>
            </w:r>
          </w:p>
        </w:tc>
        <w:tc>
          <w:tcPr>
            <w:tcW w:w="2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warrants and rights</w:t>
            </w:r>
          </w:p>
        </w:tc>
        <w:tc>
          <w:tcPr>
            <w:tcW w:w="1320" w:type="dxa"/>
            <w:vAlign w:val="bottom"/>
            <w:gridSpan w:val="2"/>
          </w:tcPr>
          <w:p>
            <w:pPr>
              <w:jc w:val="center"/>
              <w:ind w:right="124"/>
              <w:spacing w:after="0" w:line="135" w:lineRule="exact"/>
              <w:rPr>
                <w:sz w:val="20"/>
                <w:szCs w:val="20"/>
                <w:color w:val="auto"/>
              </w:rPr>
            </w:pPr>
            <w:r>
              <w:rPr>
                <w:rFonts w:ascii="Arial" w:cs="Arial" w:eastAsia="Arial" w:hAnsi="Arial"/>
                <w:sz w:val="14"/>
                <w:szCs w:val="14"/>
                <w:b w:val="1"/>
                <w:bCs w:val="1"/>
                <w:color w:val="auto"/>
                <w:w w:val="85"/>
              </w:rPr>
              <w:t>reflected in column</w:t>
            </w: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Plan Category</w:t>
            </w:r>
          </w:p>
        </w:tc>
        <w:tc>
          <w:tcPr>
            <w:tcW w:w="4780" w:type="dxa"/>
            <w:vAlign w:val="bottom"/>
          </w:tcPr>
          <w:p>
            <w:pPr>
              <w:spacing w:after="0"/>
              <w:rPr>
                <w:sz w:val="15"/>
                <w:szCs w:val="15"/>
                <w:color w:val="auto"/>
              </w:rPr>
            </w:pPr>
          </w:p>
        </w:tc>
        <w:tc>
          <w:tcPr>
            <w:tcW w:w="2320" w:type="dxa"/>
            <w:vAlign w:val="bottom"/>
            <w:gridSpan w:val="2"/>
          </w:tcPr>
          <w:p>
            <w:pPr>
              <w:jc w:val="center"/>
              <w:ind w:right="1160"/>
              <w:spacing w:after="0" w:line="162" w:lineRule="exact"/>
              <w:rPr>
                <w:sz w:val="20"/>
                <w:szCs w:val="20"/>
                <w:color w:val="auto"/>
              </w:rPr>
            </w:pPr>
            <w:r>
              <w:rPr>
                <w:rFonts w:ascii="Arial" w:cs="Arial" w:eastAsia="Arial" w:hAnsi="Arial"/>
                <w:sz w:val="12"/>
                <w:szCs w:val="12"/>
                <w:b w:val="1"/>
                <w:bCs w:val="1"/>
                <w:color w:val="auto"/>
                <w:w w:val="95"/>
              </w:rPr>
              <w:t>(a)</w:t>
            </w:r>
            <w:r>
              <w:rPr>
                <w:rFonts w:ascii="Arial" w:cs="Arial" w:eastAsia="Arial" w:hAnsi="Arial"/>
                <w:sz w:val="18"/>
                <w:szCs w:val="18"/>
                <w:b w:val="1"/>
                <w:bCs w:val="1"/>
                <w:color w:val="auto"/>
                <w:w w:val="95"/>
                <w:vertAlign w:val="superscript"/>
              </w:rPr>
              <w:t>(1)</w:t>
            </w:r>
          </w:p>
        </w:tc>
        <w:tc>
          <w:tcPr>
            <w:tcW w:w="100" w:type="dxa"/>
            <w:vAlign w:val="bottom"/>
          </w:tcPr>
          <w:p>
            <w:pPr>
              <w:spacing w:after="0"/>
              <w:rPr>
                <w:sz w:val="15"/>
                <w:szCs w:val="15"/>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(b)</w:t>
            </w:r>
          </w:p>
        </w:tc>
        <w:tc>
          <w:tcPr>
            <w:tcW w:w="132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87"/>
              </w:rPr>
              <w:t>(a)(c)</w:t>
            </w:r>
          </w:p>
        </w:tc>
      </w:tr>
      <w:tr>
        <w:trPr>
          <w:trHeight w:val="203"/>
        </w:trPr>
        <w:tc>
          <w:tcPr>
            <w:tcW w:w="5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9,224,035</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19.32</w:t>
            </w:r>
          </w:p>
        </w:tc>
        <w:tc>
          <w:tcPr>
            <w:tcW w:w="9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9,739,312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320" w:type="dxa"/>
            <w:vAlign w:val="bottom"/>
            <w:gridSpan w:val="2"/>
          </w:tcPr>
          <w:p>
            <w:pPr>
              <w:jc w:val="right"/>
              <w:ind w:right="88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9,924,035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9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9,739,312</w:t>
            </w:r>
            <w:r>
              <w:rPr>
                <w:rFonts w:ascii="Arial" w:cs="Arial" w:eastAsia="Arial" w:hAnsi="Arial"/>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28"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include only the number of shares to be issued upon exercise of outstanding options, warrants and rights. At December 31, 2011, we also had 4,686,513 shares to be issued upon vesting of outstanding restricted stock and PSUs.</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This amount includes 6,115,121 shares of common stock that may be awarded pursuant to the Equity Plan and 3,624,191 shares of common stock that may be issued pursuant to the ESPP.</w:t>
      </w:r>
    </w:p>
    <w:p>
      <w:pPr>
        <w:ind w:left="460" w:right="80" w:hanging="452"/>
        <w:spacing w:after="0" w:line="276" w:lineRule="auto"/>
        <w:tabs>
          <w:tab w:leader="none" w:pos="4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the employment agreement he entered into with us in 2003),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the employment agreement he entered into with us in 2003),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1" w:lineRule="exact"/>
        <w:rPr>
          <w:rFonts w:ascii="Arial" w:cs="Arial" w:eastAsia="Arial" w:hAnsi="Arial"/>
          <w:sz w:val="20"/>
          <w:szCs w:val="20"/>
          <w:color w:val="auto"/>
          <w:vertAlign w:val="superscript"/>
        </w:rPr>
      </w:pPr>
    </w:p>
    <w:p>
      <w:pPr>
        <w:jc w:val="both"/>
        <w:ind w:left="460" w:right="60" w:hanging="452"/>
        <w:spacing w:after="0" w:line="233"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date of commencement of employment. This inducement award is transferable only by the laws of descent and distribution.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about principal accountant fees and services, as required by Item 9(e) of Schedule 14A, is incorporated herein by reference from the discussion under the caption “Proposal II: Ratify the Appointment of Independent Registered Public Accounting Firm” in the Proxy.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vMerge w:val="restart"/>
          </w:tcPr>
          <w:p>
            <w:pPr>
              <w:ind w:left="880"/>
              <w:spacing w:after="0"/>
              <w:rPr>
                <w:sz w:val="20"/>
                <w:szCs w:val="20"/>
                <w:color w:val="auto"/>
              </w:rPr>
            </w:pPr>
            <w:r>
              <w:rPr>
                <w:rFonts w:ascii="Arial" w:cs="Arial" w:eastAsia="Arial" w:hAnsi="Arial"/>
                <w:sz w:val="18"/>
                <w:szCs w:val="18"/>
                <w:color w:val="auto"/>
                <w:w w:val="90"/>
              </w:rPr>
              <w:t>Restated Certificate of Incorporation of NASDAQ OMX (incorporated herein by reference to Exhibit 3.1 to the Quarterly Report on Form 10-</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Q 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Certificate of Designation of Series A Convertible Preferred Stock of NASDAQ OMX (incorporated herein by reference to Exhibit 3.1.8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the 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By-Laws of NASDAQ OMX (incorporated herein by reference to Exhibit 3.2 to the Current Report on Form 8-K filed on December 9, 2011).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30, 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Capital Partners IV, L.P., H&amp;F Executive Fund IV, L.P., H&amp;F International Partners IV-A, L.P., and H&amp;F International Partners IV-B, L.P.,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Silver Lake Partners TSA, L.P., Silver Lake Investors, L.P., VAB Investors, LLC and Integral Capital Partners VI, L.P.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reference to Exhibit 4.5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Registration Rights Agreement, dated as of April 22, 2005, among Nasdaq, Hellman &amp; Friedman Capital Partners IV, L.P., H&amp;F Executive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Fund IV, L.P., H&amp;F International Partners IV-A, L.P., and H&amp;F International Partners IV-B, L.P., Silver Lake Partners TSA, L.P., Silver Lake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Investors, L.P., VAB Investors, LLC and Integral Capital Partners VI, L.P. (incorporated herein by reference to Exhibit 4.4 to the Current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Indenture, dated as February 26, 2008, between Nasdaq and The Bank of New York (incorporated herein by reference to Exhibit 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Form of 2.50% Convertible Senior Note due 2013 (incorporated herein by reference to Exhibit 4.2 to the Current Report on Form 8-K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Registration Rights Agreement, dated February 26, 2008, among The NASDAQ OMX Group, Inc., J.P. Morgan Securities Inc. and Banc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5"/>
              </w:rPr>
              <w:t>America Securities LLC (incorporated herein by reference to Exhibit 4.3 to the Current Report on Form 8-K filed on March 3, 2008).</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w:t>
            </w:r>
          </w:p>
        </w:tc>
        <w:tc>
          <w:tcPr>
            <w:tcW w:w="10800" w:type="dxa"/>
            <w:vAlign w:val="bottom"/>
          </w:tcPr>
          <w:p>
            <w:pPr>
              <w:ind w:left="880"/>
              <w:spacing w:after="0" w:line="201" w:lineRule="exact"/>
              <w:rPr>
                <w:sz w:val="20"/>
                <w:szCs w:val="20"/>
                <w:color w:val="auto"/>
              </w:rPr>
            </w:pPr>
            <w:r>
              <w:rPr>
                <w:rFonts w:ascii="Arial" w:cs="Arial" w:eastAsia="Arial" w:hAnsi="Arial"/>
                <w:sz w:val="18"/>
                <w:szCs w:val="18"/>
                <w:color w:val="auto"/>
                <w:w w:val="91"/>
              </w:rPr>
              <w:t>The NASDAQ OMX Group Inc.’s Stockholders’ Agreement, dated as of February 27, 2008, between The NASDAQ OMX Group, Inc. and</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w w:val="96"/>
              </w:rPr>
              <w:t>Borse Dubai Limited (incorporated herein by reference to Exhibit 10.2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800" w:type="dxa"/>
            <w:vAlign w:val="bottom"/>
          </w:tcPr>
          <w:p>
            <w:pPr>
              <w:ind w:left="880"/>
              <w:spacing w:after="0"/>
              <w:rPr>
                <w:sz w:val="20"/>
                <w:szCs w:val="20"/>
                <w:color w:val="auto"/>
              </w:rPr>
            </w:pPr>
            <w:r>
              <w:rPr>
                <w:rFonts w:ascii="Arial" w:cs="Arial" w:eastAsia="Arial" w:hAnsi="Arial"/>
                <w:sz w:val="18"/>
                <w:szCs w:val="18"/>
                <w:color w:val="auto"/>
                <w:w w:val="92"/>
              </w:rPr>
              <w:t>First Amendment to The NASDAQ OMX Group Inc.’s Stockholders’ Agreement, dated as of February 19, 2009, between The NASDAQ</w:t>
            </w:r>
          </w:p>
        </w:tc>
      </w:tr>
      <w:tr>
        <w:trPr>
          <w:trHeight w:val="216"/>
        </w:trPr>
        <w:tc>
          <w:tcPr>
            <w:tcW w:w="520" w:type="dxa"/>
            <w:vAlign w:val="bottom"/>
          </w:tcPr>
          <w:p>
            <w:pPr>
              <w:spacing w:after="0"/>
              <w:rPr>
                <w:sz w:val="18"/>
                <w:szCs w:val="18"/>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w w:val="91"/>
              </w:rPr>
              <w:t>OMX Group, Inc. and Borse Dubai Limited (incorporated herein by reference to Exhibit 4.10.1 to the Annual Report on Form 10-K for the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year ended December 31, 2008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800" w:type="dxa"/>
            <w:vAlign w:val="bottom"/>
          </w:tcPr>
          <w:p>
            <w:pPr>
              <w:ind w:left="880"/>
              <w:spacing w:after="0"/>
              <w:rPr>
                <w:sz w:val="20"/>
                <w:szCs w:val="20"/>
                <w:color w:val="auto"/>
              </w:rPr>
            </w:pPr>
            <w:r>
              <w:rPr>
                <w:rFonts w:ascii="Arial" w:cs="Arial" w:eastAsia="Arial" w:hAnsi="Arial"/>
                <w:sz w:val="18"/>
                <w:szCs w:val="18"/>
                <w:color w:val="auto"/>
                <w:w w:val="91"/>
              </w:rPr>
              <w:t>Registration Rights Agreement, dated as of February 27, 2008, among The NASDAQ OMX Group, Inc., Borse Dubai Limited and Borse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w w:val="91"/>
              </w:rPr>
              <w:t>Dubai Nasdaq Share Trust (incorporated herein by reference to Exhibit 10.3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800" w:type="dxa"/>
            <w:vAlign w:val="bottom"/>
          </w:tcPr>
          <w:p>
            <w:pPr>
              <w:ind w:left="880"/>
              <w:spacing w:after="0"/>
              <w:rPr>
                <w:sz w:val="20"/>
                <w:szCs w:val="20"/>
                <w:color w:val="auto"/>
              </w:rPr>
            </w:pPr>
            <w:r>
              <w:rPr>
                <w:rFonts w:ascii="Arial" w:cs="Arial" w:eastAsia="Arial" w:hAnsi="Arial"/>
                <w:sz w:val="18"/>
                <w:szCs w:val="18"/>
                <w:color w:val="auto"/>
                <w:w w:val="90"/>
              </w:rPr>
              <w:t>First Amendment to Registration Rights Agreement, dated as of February 19, 2009, among The NASDAQ OMX Group, Inc., Borse Dubai</w:t>
            </w:r>
          </w:p>
        </w:tc>
      </w:tr>
      <w:tr>
        <w:trPr>
          <w:trHeight w:val="216"/>
        </w:trPr>
        <w:tc>
          <w:tcPr>
            <w:tcW w:w="520" w:type="dxa"/>
            <w:vAlign w:val="bottom"/>
          </w:tcPr>
          <w:p>
            <w:pPr>
              <w:spacing w:after="0"/>
              <w:rPr>
                <w:sz w:val="18"/>
                <w:szCs w:val="18"/>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year ended December 31, 2008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800" w:type="dxa"/>
            <w:vAlign w:val="bottom"/>
          </w:tcPr>
          <w:p>
            <w:pPr>
              <w:ind w:left="880"/>
              <w:spacing w:after="0"/>
              <w:rPr>
                <w:sz w:val="20"/>
                <w:szCs w:val="20"/>
                <w:color w:val="auto"/>
              </w:rPr>
            </w:pPr>
            <w:r>
              <w:rPr>
                <w:rFonts w:ascii="Arial" w:cs="Arial" w:eastAsia="Arial" w:hAnsi="Arial"/>
                <w:sz w:val="18"/>
                <w:szCs w:val="18"/>
                <w:color w:val="auto"/>
                <w:w w:val="91"/>
              </w:rPr>
              <w:t>Indenture, dated as of January 15, 2010, between NASDAQ OMX and Wells Fargo Bank, National Association, as Trustee (incorporated</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herein by reference to Exhibit 4.1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800" w:type="dxa"/>
            <w:vAlign w:val="bottom"/>
          </w:tcPr>
          <w:p>
            <w:pPr>
              <w:ind w:left="880"/>
              <w:spacing w:after="0"/>
              <w:rPr>
                <w:sz w:val="20"/>
                <w:szCs w:val="20"/>
                <w:color w:val="auto"/>
              </w:rPr>
            </w:pPr>
            <w:r>
              <w:rPr>
                <w:rFonts w:ascii="Arial" w:cs="Arial" w:eastAsia="Arial" w:hAnsi="Arial"/>
                <w:sz w:val="18"/>
                <w:szCs w:val="18"/>
                <w:color w:val="auto"/>
                <w:w w:val="88"/>
              </w:rPr>
              <w:t>First Supplemental Indenture, dated as of January 15,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0800" w:type="dxa"/>
            <w:vAlign w:val="bottom"/>
          </w:tcPr>
          <w:p>
            <w:pPr>
              <w:ind w:left="880"/>
              <w:spacing w:after="0"/>
              <w:rPr>
                <w:sz w:val="20"/>
                <w:szCs w:val="20"/>
                <w:color w:val="auto"/>
              </w:rPr>
            </w:pPr>
            <w:r>
              <w:rPr>
                <w:rFonts w:ascii="Arial" w:cs="Arial" w:eastAsia="Arial" w:hAnsi="Arial"/>
                <w:sz w:val="18"/>
                <w:szCs w:val="18"/>
                <w:color w:val="auto"/>
                <w:w w:val="90"/>
              </w:rPr>
              <w:t>Second Supplemental Indenture, dated as of December 17, 2010, among NASDAQ OMX and Wells Fargo Bank, National Association, as</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Trustee (incorporated herein by reference to Exhibit 4.1 to the Current Report on Form 8-K filed on December 21,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10800" w:type="dxa"/>
            <w:vAlign w:val="bottom"/>
          </w:tcPr>
          <w:p>
            <w:pPr>
              <w:ind w:left="880"/>
              <w:spacing w:after="0"/>
              <w:rPr>
                <w:sz w:val="20"/>
                <w:szCs w:val="20"/>
                <w:color w:val="auto"/>
              </w:rPr>
            </w:pPr>
            <w:r>
              <w:rPr>
                <w:rFonts w:ascii="Arial" w:cs="Arial" w:eastAsia="Arial" w:hAnsi="Arial"/>
                <w:sz w:val="18"/>
                <w:szCs w:val="18"/>
                <w:color w:val="auto"/>
                <w:w w:val="97"/>
              </w:rPr>
              <w:t>NASDAQ Stockholders’ Agreement, dated as of December 16, 2010, between The NASDAQ OMX Group, Inc. and Investor AB</w:t>
            </w:r>
          </w:p>
        </w:tc>
      </w:tr>
      <w:tr>
        <w:trPr>
          <w:trHeight w:val="216"/>
        </w:trPr>
        <w:tc>
          <w:tcPr>
            <w:tcW w:w="520" w:type="dxa"/>
            <w:vAlign w:val="bottom"/>
          </w:tcPr>
          <w:p>
            <w:pPr>
              <w:spacing w:after="0"/>
              <w:rPr>
                <w:sz w:val="18"/>
                <w:szCs w:val="18"/>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w w:val="94"/>
              </w:rPr>
              <w:t>(incorporated herein by reference to Exhibit 4.12 to the Annual Report on Form 10-K for the year ended December 31, 2010 filed on</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February 24, 2011).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800" w:type="dxa"/>
            <w:vAlign w:val="bottom"/>
          </w:tcPr>
          <w:p>
            <w:pPr>
              <w:ind w:left="880"/>
              <w:spacing w:after="0"/>
              <w:rPr>
                <w:sz w:val="20"/>
                <w:szCs w:val="20"/>
                <w:color w:val="auto"/>
              </w:rPr>
            </w:pPr>
            <w:r>
              <w:rPr>
                <w:rFonts w:ascii="Arial" w:cs="Arial" w:eastAsia="Arial" w:hAnsi="Arial"/>
                <w:sz w:val="18"/>
                <w:szCs w:val="18"/>
                <w:color w:val="auto"/>
                <w:w w:val="90"/>
              </w:rPr>
              <w:t>Amended and Restated Board Compensation Policy, effective as of May 26, 2011 (incorporated herein by reference to Exhibit 10.1 to the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Quarterly Report on Form 10-Q for the quarter ended June 30, 2011 filed on August 4, 2011).*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800" w:type="dxa"/>
            <w:vAlign w:val="bottom"/>
          </w:tcPr>
          <w:p>
            <w:pPr>
              <w:ind w:left="880"/>
              <w:spacing w:after="0"/>
              <w:rPr>
                <w:sz w:val="20"/>
                <w:szCs w:val="20"/>
                <w:color w:val="auto"/>
              </w:rPr>
            </w:pPr>
            <w:r>
              <w:rPr>
                <w:rFonts w:ascii="Arial" w:cs="Arial" w:eastAsia="Arial" w:hAnsi="Arial"/>
                <w:sz w:val="18"/>
                <w:szCs w:val="18"/>
                <w:color w:val="auto"/>
                <w:w w:val="89"/>
              </w:rPr>
              <w:t>The NASDAQ OMX Group, Inc. 2010 Executive Corporate Incentive Plan, effective as of January 1, 2010 (incorporated herein by reference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to Exhibit 10.1 to the Quarterly Report on Form 10-Q for the quarter ended June 30, 2010 filed on August 4,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800" w:type="dxa"/>
            <w:vAlign w:val="bottom"/>
          </w:tcPr>
          <w:p>
            <w:pPr>
              <w:ind w:left="880"/>
              <w:spacing w:after="0"/>
              <w:rPr>
                <w:sz w:val="20"/>
                <w:szCs w:val="20"/>
                <w:color w:val="auto"/>
              </w:rPr>
            </w:pPr>
            <w:r>
              <w:rPr>
                <w:rFonts w:ascii="Arial" w:cs="Arial" w:eastAsia="Arial" w:hAnsi="Arial"/>
                <w:sz w:val="18"/>
                <w:szCs w:val="18"/>
                <w:color w:val="auto"/>
                <w:w w:val="93"/>
              </w:rPr>
              <w:t>Form of NASDAQ OMX Non-Qualified Stock Option Award Certificate (incorporated herein by reference to Exhibit 10.3 to the Annual</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Report on Form 10-K for the year ended December 31, 2010 filed on February 24, 2011).*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800" w:type="dxa"/>
            <w:vAlign w:val="bottom"/>
          </w:tcPr>
          <w:p>
            <w:pPr>
              <w:ind w:left="880"/>
              <w:spacing w:after="0"/>
              <w:rPr>
                <w:sz w:val="20"/>
                <w:szCs w:val="20"/>
                <w:color w:val="auto"/>
              </w:rPr>
            </w:pPr>
            <w:r>
              <w:rPr>
                <w:rFonts w:ascii="Arial" w:cs="Arial" w:eastAsia="Arial" w:hAnsi="Arial"/>
                <w:sz w:val="18"/>
                <w:szCs w:val="18"/>
                <w:color w:val="auto"/>
                <w:w w:val="93"/>
              </w:rPr>
              <w:t>Form of NASDAQ OMX Restricted Unit Award Certificate (employees) (incorporated herein by reference to Exhibit 10.4 to the Annual</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Report on Form 10-K for the year ended December 31, 2010 filed on February 24, 2011).*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800" w:type="dxa"/>
            <w:vAlign w:val="bottom"/>
          </w:tcPr>
          <w:p>
            <w:pPr>
              <w:ind w:left="880"/>
              <w:spacing w:after="0"/>
              <w:rPr>
                <w:sz w:val="20"/>
                <w:szCs w:val="20"/>
                <w:color w:val="auto"/>
              </w:rPr>
            </w:pPr>
            <w:r>
              <w:rPr>
                <w:rFonts w:ascii="Arial" w:cs="Arial" w:eastAsia="Arial" w:hAnsi="Arial"/>
                <w:sz w:val="18"/>
                <w:szCs w:val="18"/>
                <w:color w:val="auto"/>
                <w:w w:val="96"/>
              </w:rPr>
              <w:t>Form of NASDAQ OMX Restricted Stock Unit Award Certificate (directors) (incorporated herein by reference to Exhibit 10.2 to the</w:t>
            </w:r>
          </w:p>
        </w:tc>
      </w:tr>
      <w:tr>
        <w:trPr>
          <w:trHeight w:val="222"/>
        </w:trPr>
        <w:tc>
          <w:tcPr>
            <w:tcW w:w="520" w:type="dxa"/>
            <w:vAlign w:val="bottom"/>
          </w:tcPr>
          <w:p>
            <w:pPr>
              <w:spacing w:after="0"/>
              <w:rPr>
                <w:sz w:val="19"/>
                <w:szCs w:val="19"/>
                <w:color w:val="auto"/>
              </w:rPr>
            </w:pPr>
          </w:p>
        </w:tc>
        <w:tc>
          <w:tcPr>
            <w:tcW w:w="10800" w:type="dxa"/>
            <w:vAlign w:val="bottom"/>
          </w:tcPr>
          <w:p>
            <w:pPr>
              <w:ind w:left="880"/>
              <w:spacing w:after="0"/>
              <w:rPr>
                <w:sz w:val="20"/>
                <w:szCs w:val="20"/>
                <w:color w:val="auto"/>
              </w:rPr>
            </w:pPr>
            <w:r>
              <w:rPr>
                <w:rFonts w:ascii="Arial" w:cs="Arial" w:eastAsia="Arial" w:hAnsi="Arial"/>
                <w:sz w:val="18"/>
                <w:szCs w:val="18"/>
                <w:color w:val="auto"/>
              </w:rPr>
              <w:t>Quarterly Report on Form 10-Q for the quarter ended June 30, 2011 filed on August 4, 2011).*</w:t>
            </w:r>
          </w:p>
        </w:tc>
      </w:tr>
      <w:tr>
        <w:trPr>
          <w:trHeight w:val="365"/>
        </w:trPr>
        <w:tc>
          <w:tcPr>
            <w:tcW w:w="520" w:type="dxa"/>
            <w:vAlign w:val="bottom"/>
          </w:tcPr>
          <w:p>
            <w:pPr>
              <w:spacing w:after="0"/>
              <w:rPr>
                <w:sz w:val="24"/>
                <w:szCs w:val="24"/>
                <w:color w:val="auto"/>
              </w:rPr>
            </w:pPr>
          </w:p>
        </w:tc>
        <w:tc>
          <w:tcPr>
            <w:tcW w:w="10800" w:type="dxa"/>
            <w:vAlign w:val="bottom"/>
          </w:tcPr>
          <w:p>
            <w:pPr>
              <w:ind w:left="510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ind w:left="60"/>
        <w:spacing w:after="0" w:line="221" w:lineRule="auto"/>
        <w:rPr>
          <w:sz w:val="20"/>
          <w:szCs w:val="20"/>
          <w:color w:val="auto"/>
        </w:rPr>
      </w:pPr>
      <w:r>
        <w:rPr>
          <w:rFonts w:ascii="Arial" w:cs="Arial" w:eastAsia="Arial" w:hAnsi="Arial"/>
          <w:sz w:val="14"/>
          <w:szCs w:val="14"/>
          <w:b w:val="1"/>
          <w:bCs w:val="1"/>
          <w:color w:val="auto"/>
        </w:rPr>
        <w:t>Number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181"/>
        </w:trPr>
        <w:tc>
          <w:tcPr>
            <w:tcW w:w="88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10.6</w:t>
            </w:r>
          </w:p>
        </w:tc>
        <w:tc>
          <w:tcPr>
            <w:tcW w:w="10500" w:type="dxa"/>
            <w:vAlign w:val="bottom"/>
          </w:tcPr>
          <w:p>
            <w:pPr>
              <w:ind w:left="340"/>
              <w:spacing w:after="0" w:line="182" w:lineRule="exact"/>
              <w:rPr>
                <w:sz w:val="20"/>
                <w:szCs w:val="20"/>
                <w:color w:val="auto"/>
              </w:rPr>
            </w:pPr>
            <w:r>
              <w:rPr>
                <w:rFonts w:ascii="Arial" w:cs="Arial" w:eastAsia="Arial" w:hAnsi="Arial"/>
                <w:sz w:val="18"/>
                <w:szCs w:val="18"/>
                <w:color w:val="auto"/>
                <w:w w:val="91"/>
              </w:rPr>
              <w:t>Form of NASDAQ OMX Performance Share Unit Agreement (incorporated herein by reference to Exhibit 10.6 to the Annual Report on Form</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10-K for the year ended December 31, 2010 filed on February 24, 2011).*</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Supplemental Executive Retirement Plan, dated as of December 17, 2008 (incorporated herein by reference to Exhibit</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10.6 to the Annual Report on Form 10-K for the year ended December 31, 2008 filed on 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10.7.1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Amendment No. 1 to Amended and Restated Supplemental Executive Retirement Plan, effective as of December 31, 2008 (incorporated herein</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by reference to Exhibit 10.6.1 to the Annual Report on Form 10-K for the year ended December 31, 2008 filed on 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The NASDAQ OMX Group, Inc. Supplemental Employer Retirement Contribution Plan, dated as of December 17, 2008 (incorporated herein</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by reference to Exhibit 10.7 to the Annual Report on Form 10-K for the year ended December 31, 2008 filed on 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Employment Agreement by and between Nasdaq and Robert Greifeld, effective as of January 1, 2007 (incorporated herein by reference to</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10.5 to the Annual Report on Form 10-K for the year ended December 31, 2006 filed on February 28, 2007).*</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10.9.1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Amendment to Employment Agreement by and between NASDAQ OMX and Robert Greifeld, effective as of December 31, 2008 (incorporated</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herein by reference to Exhibit 10.8.1 to the Annual Report on Form 10-K for the year ended December 31, 2008 filed on 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Nonqualified Stock Option Agreement between Nasdaq and Robert Greifeld reflecting December 13, 2006 grant (incorporated herein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reference to Exhibit 10.13 to the Annual Report on Form 10-K for the year ended December 31, 2007 filed on February 25, 2008).*</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Nonqualified Stock Option Agreement between NASDAQ OMX and Robert Greifeld reflecting June 30, 2009 grant (incorporated herein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reference to Exhibit 10.11 to the Annual Report on Form 10-K for the year ended December 31, 2009 filed on February 18,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2010 Performance Share Unit Agreement between NASDAQ OMX and Robert Greifeld (incorporated herein by reference to Exhibit 10.1 to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30, 2010 filed on November 3,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2011 Performance Share Unit Agreement between NASDAQ OMX and Robert Greifeld (incorporated herein by reference to Exhibit 10.1 to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30, 2011 filed on November 4, 2011).*</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Amended and Restated Letter Agreement, effective as of December 31, 2008, between NASDAQ OMX and Certain Executive Officers</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(incorporated herein by reference to Exhibit 10.12 to the Annual Report on Form 10-K for the year ended December 31, 2008 filed on</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Employment Agreement between Nasdaq and Edward Knight, effective as of December 29, 2000 (incorporated herein by reference to Exhibit</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10.14 to the Annual Report on Form 10-K for the year ended December 31, 2002 filed on March 31, 2003).*</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10.15.1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First Amendment to Employment Agreement between Nasdaq and Edward Knight, effective February 1, 2002 (incorporated herein by reference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to Exhibit 10.14.1 to the Annual Report on Form 10-K for the year ended December 31, 2002 filed on March 31, 2003).*</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10.15.2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Second Amendment to Employment Agreement between NASDAQ OMX and Edward Knight, effective as of December 31, 2008 (incorporated</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herein by reference to Exhibit 10.13.2 to the Annual Report on Form 10-K for the year ended December 31, 2008 filed on February 26, 2009).*</w:t>
            </w:r>
          </w:p>
        </w:tc>
      </w:tr>
      <w:tr>
        <w:trPr>
          <w:trHeight w:val="36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Number</w:t>
      </w:r>
    </w:p>
    <w:p>
      <w:pPr>
        <w:ind w:left="420"/>
        <w:spacing w:after="0"/>
        <w:tabs>
          <w:tab w:leader="none" w:pos="13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Employment Agreement, dated as of June 24, 2008, between OMX AB and Hans-Ole Jochumsen (incorporated herein by reference to Exhibit</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10.18 to the Annual Report on Form 10-K for the year ended December 31, 2009 filed on February 18, 2010).*</w:t>
      </w:r>
    </w:p>
    <w:p>
      <w:pPr>
        <w:spacing w:after="0" w:line="111" w:lineRule="exact"/>
        <w:rPr>
          <w:sz w:val="20"/>
          <w:szCs w:val="20"/>
          <w:color w:val="auto"/>
        </w:rPr>
      </w:pPr>
    </w:p>
    <w:p>
      <w:pPr>
        <w:ind w:left="1380" w:right="200" w:hanging="961"/>
        <w:spacing w:after="0" w:line="306" w:lineRule="auto"/>
        <w:tabs>
          <w:tab w:leader="none" w:pos="13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Credit Agreement, dated as of December 17, 2010, among NASDAQ OMX, the Lenders party thereto, J.P. Morgan Chase Bank, N.A., as administrative agent, and J.P. Morgan Securities LLC, as Sole Lead Arranger and Sole Lead Bookrunning Manager (incorporated herein by reference to Exhibit 10.21 to the Annual Report on Form 10-K for the year ended December 31, 2010 filed on February 24, 2011).</w:t>
      </w:r>
    </w:p>
    <w:p>
      <w:pPr>
        <w:spacing w:after="0" w:line="53" w:lineRule="exact"/>
        <w:rPr>
          <w:sz w:val="20"/>
          <w:szCs w:val="20"/>
          <w:color w:val="auto"/>
        </w:rPr>
      </w:pPr>
    </w:p>
    <w:p>
      <w:pPr>
        <w:ind w:left="1380" w:right="100" w:hanging="961"/>
        <w:spacing w:after="0" w:line="256" w:lineRule="auto"/>
        <w:tabs>
          <w:tab w:leader="none" w:pos="13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Credit Agreement, dated as of September 19, 2011, among NASDAQ OMX, Bank of America, N.A., Merrill Lynch, Pierce, Fenner &amp; Smith Incorporated, J.P. Morgan Securities, Inc., Nordea Bank AB (publ.), Merchant Banking, Skandinaviska Enskilda Banken AB (publ.) UBS Securities LLC and Wells Fargo Securities, LLC (incorporated herein by reference to Exhibit 4.1 to the Current Report on Form 8-K filed on September 22, 2011).</w:t>
      </w:r>
    </w:p>
    <w:p>
      <w:pPr>
        <w:spacing w:after="0" w:line="89" w:lineRule="exact"/>
        <w:rPr>
          <w:sz w:val="20"/>
          <w:szCs w:val="20"/>
          <w:color w:val="auto"/>
        </w:rPr>
      </w:pPr>
    </w:p>
    <w:p>
      <w:pPr>
        <w:ind w:left="1380" w:right="740" w:hanging="731"/>
        <w:spacing w:after="0" w:line="268"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978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9780" w:type="dxa"/>
            <w:vAlign w:val="bottom"/>
          </w:tcPr>
          <w:p>
            <w:pPr>
              <w:ind w:left="280"/>
              <w:spacing w:after="0"/>
              <w:rPr>
                <w:sz w:val="20"/>
                <w:szCs w:val="20"/>
                <w:color w:val="auto"/>
              </w:rPr>
            </w:pPr>
            <w:r>
              <w:rPr>
                <w:rFonts w:ascii="Arial" w:cs="Arial" w:eastAsia="Arial" w:hAnsi="Arial"/>
                <w:sz w:val="18"/>
                <w:szCs w:val="18"/>
                <w:color w:val="auto"/>
              </w:rPr>
              <w:t>List of all subsidiaries.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9780" w:type="dxa"/>
            <w:vAlign w:val="bottom"/>
          </w:tcPr>
          <w:p>
            <w:pPr>
              <w:ind w:left="2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24.1</w:t>
            </w:r>
          </w:p>
        </w:tc>
        <w:tc>
          <w:tcPr>
            <w:tcW w:w="97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9780" w:type="dxa"/>
            <w:vAlign w:val="bottom"/>
          </w:tcPr>
          <w:p>
            <w:pPr>
              <w:ind w:left="280"/>
              <w:spacing w:after="0"/>
              <w:rPr>
                <w:sz w:val="20"/>
                <w:szCs w:val="20"/>
                <w:color w:val="auto"/>
              </w:rPr>
            </w:pPr>
            <w:r>
              <w:rPr>
                <w:rFonts w:ascii="Arial" w:cs="Arial" w:eastAsia="Arial" w:hAnsi="Arial"/>
                <w:sz w:val="18"/>
                <w:szCs w:val="18"/>
                <w:color w:val="auto"/>
                <w:w w:val="89"/>
              </w:rPr>
              <w:t>Certification of Chief Executive Officer and President pursuant to Section 302 of the Sarbanes-Oxley Act of 2002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9780" w:type="dxa"/>
            <w:vAlign w:val="bottom"/>
          </w:tcPr>
          <w:p>
            <w:pPr>
              <w:ind w:left="280"/>
              <w:spacing w:after="0"/>
              <w:rPr>
                <w:sz w:val="20"/>
                <w:szCs w:val="20"/>
                <w:color w:val="auto"/>
              </w:rPr>
            </w:pPr>
            <w:r>
              <w:rPr>
                <w:rFonts w:ascii="Arial" w:cs="Arial" w:eastAsia="Arial" w:hAnsi="Arial"/>
                <w:sz w:val="18"/>
                <w:szCs w:val="18"/>
                <w:color w:val="auto"/>
                <w:w w:val="90"/>
              </w:rPr>
              <w:t>Certification of Chief Financial Officer and Executive Vice President, Corporate Strategy pursuant to Section 302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101.INS</w:t>
            </w:r>
          </w:p>
        </w:tc>
        <w:tc>
          <w:tcPr>
            <w:tcW w:w="9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7"/>
              </w:rPr>
              <w:t>101.SCH</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1"/>
              </w:rPr>
              <w:t>101.CAL</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0"/>
              </w:rPr>
              <w:t>101.DEF</w:t>
            </w:r>
          </w:p>
        </w:tc>
        <w:tc>
          <w:tcPr>
            <w:tcW w:w="9780" w:type="dxa"/>
            <w:vAlign w:val="bottom"/>
          </w:tcPr>
          <w:p>
            <w:pPr>
              <w:ind w:left="2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2"/>
              </w:rPr>
              <w:t>101.LAB</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8"/>
              </w:rPr>
              <w:t>101.PRE</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77" w:lineRule="exact"/>
        <w:rPr>
          <w:sz w:val="20"/>
          <w:szCs w:val="20"/>
          <w:color w:val="auto"/>
        </w:rPr>
      </w:pPr>
    </w:p>
    <w:p>
      <w:pPr>
        <w:ind w:left="460" w:right="140" w:hanging="452"/>
        <w:spacing w:after="0" w:line="28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following materials from The NASDAQ OMX Group, Inc. Annual Report on Form 10-K for the year ended December 31, 2011, formatted in XBRL (eXtensible Business Reporting Language); (i) Consolidated Statements of Income for the years ended December 31, 2011, 2010 and 2009;</w:t>
      </w:r>
    </w:p>
    <w:p>
      <w:pPr>
        <w:jc w:val="both"/>
        <w:ind w:left="460" w:right="320" w:hanging="6"/>
        <w:spacing w:after="0" w:line="300" w:lineRule="auto"/>
        <w:tabs>
          <w:tab w:leader="none" w:pos="718" w:val="left"/>
        </w:tabs>
        <w:numPr>
          <w:ilvl w:val="1"/>
          <w:numId w:val="61"/>
        </w:numPr>
        <w:rPr>
          <w:rFonts w:ascii="Arial" w:cs="Arial" w:eastAsia="Arial" w:hAnsi="Arial"/>
          <w:sz w:val="15"/>
          <w:szCs w:val="15"/>
          <w:color w:val="auto"/>
        </w:rPr>
      </w:pPr>
      <w:r>
        <w:rPr>
          <w:rFonts w:ascii="Arial" w:cs="Arial" w:eastAsia="Arial" w:hAnsi="Arial"/>
          <w:sz w:val="15"/>
          <w:szCs w:val="15"/>
          <w:color w:val="auto"/>
        </w:rPr>
        <w:t>Consolidated Balance Sheets at December 31, 2011 and December 31, 2010; (iii) Consolidated Statements of Comprehensive Income for the years ended December 31, 2011, 2010 and 2009; (iv) Consolidated Statements of Changes in Equity for the years ended December 31, 2011, 2010 and 2009:</w:t>
      </w:r>
    </w:p>
    <w:p>
      <w:pPr>
        <w:ind w:left="700" w:hanging="246"/>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for the years ended December 31, 2011, 2010 and 2009; and (vi) notes to consolidated financial statements.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3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560" w:hanging="452"/>
        <w:spacing w:after="0" w:line="507" w:lineRule="auto"/>
        <w:tabs>
          <w:tab w:leader="none" w:pos="449" w:val="left"/>
        </w:tabs>
        <w:numPr>
          <w:ilvl w:val="0"/>
          <w:numId w:val="63"/>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2012.</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NASDAQ OMX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380" w:type="dxa"/>
            <w:vAlign w:val="bottom"/>
          </w:tcPr>
          <w:p>
            <w:pPr>
              <w:spacing w:after="0"/>
              <w:rPr>
                <w:sz w:val="20"/>
                <w:szCs w:val="20"/>
                <w:color w:val="auto"/>
              </w:rPr>
            </w:pPr>
            <w:r>
              <w:rPr>
                <w:rFonts w:ascii="Arial" w:cs="Arial" w:eastAsia="Arial" w:hAnsi="Arial"/>
                <w:sz w:val="14"/>
                <w:szCs w:val="14"/>
                <w:b w:val="1"/>
                <w:bCs w:val="1"/>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380" w:type="dxa"/>
            <w:vAlign w:val="bottom"/>
          </w:tcPr>
          <w:p>
            <w:pPr>
              <w:spacing w:after="0" w:line="145"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7"/>
              </w:rPr>
              <w:t>Chief Executive Officer and President</w:t>
            </w:r>
          </w:p>
        </w:tc>
      </w:tr>
    </w:tbl>
    <w:p>
      <w:pPr>
        <w:spacing w:after="0" w:line="14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24, 2012.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880" w:type="dxa"/>
            <w:vAlign w:val="bottom"/>
          </w:tcPr>
          <w:p>
            <w:pPr>
              <w:spacing w:after="0"/>
              <w:rPr>
                <w:sz w:val="14"/>
                <w:szCs w:val="14"/>
                <w:color w:val="auto"/>
              </w:rPr>
            </w:pPr>
          </w:p>
        </w:tc>
      </w:tr>
      <w:tr>
        <w:trPr>
          <w:trHeight w:val="424"/>
        </w:trPr>
        <w:tc>
          <w:tcPr>
            <w:tcW w:w="218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00" w:type="dxa"/>
            <w:vAlign w:val="bottom"/>
            <w:tcBorders>
              <w:bottom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President and Director</w:t>
            </w:r>
          </w:p>
        </w:tc>
      </w:tr>
      <w:tr>
        <w:trPr>
          <w:trHeight w:val="202"/>
        </w:trPr>
        <w:tc>
          <w:tcPr>
            <w:tcW w:w="2180" w:type="dxa"/>
            <w:vAlign w:val="bottom"/>
          </w:tcPr>
          <w:p>
            <w:pPr>
              <w:spacing w:after="0"/>
              <w:rPr>
                <w:sz w:val="17"/>
                <w:szCs w:val="17"/>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Robert Greifeld</w:t>
            </w:r>
          </w:p>
        </w:tc>
        <w:tc>
          <w:tcPr>
            <w:tcW w:w="1240" w:type="dxa"/>
            <w:vAlign w:val="bottom"/>
          </w:tcPr>
          <w:p>
            <w:pPr>
              <w:spacing w:after="0"/>
              <w:rPr>
                <w:sz w:val="17"/>
                <w:szCs w:val="17"/>
                <w:color w:val="auto"/>
              </w:rPr>
            </w:pPr>
          </w:p>
        </w:tc>
        <w:tc>
          <w:tcPr>
            <w:tcW w:w="51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Executive Officer)</w:t>
            </w:r>
          </w:p>
        </w:tc>
      </w:tr>
      <w:tr>
        <w:trPr>
          <w:trHeight w:val="439"/>
        </w:trPr>
        <w:tc>
          <w:tcPr>
            <w:tcW w:w="2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EE</w:t>
            </w:r>
            <w:r>
              <w:rPr>
                <w:rFonts w:ascii="Arial" w:cs="Arial" w:eastAsia="Arial" w:hAnsi="Arial"/>
                <w:sz w:val="18"/>
                <w:szCs w:val="18"/>
                <w:color w:val="auto"/>
              </w:rPr>
              <w:t xml:space="preserve"> S</w:t>
            </w:r>
            <w:r>
              <w:rPr>
                <w:rFonts w:ascii="Arial" w:cs="Arial" w:eastAsia="Arial" w:hAnsi="Arial"/>
                <w:sz w:val="14"/>
                <w:szCs w:val="14"/>
                <w:color w:val="auto"/>
              </w:rPr>
              <w:t>HAVEL</w:t>
            </w: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w w:val="89"/>
              </w:rPr>
              <w:t>Chief Financial Officer and Executive Vice President, Corporate</w:t>
            </w:r>
          </w:p>
        </w:tc>
      </w:tr>
      <w:tr>
        <w:trPr>
          <w:trHeight w:val="190"/>
        </w:trPr>
        <w:tc>
          <w:tcPr>
            <w:tcW w:w="2180" w:type="dxa"/>
            <w:vAlign w:val="bottom"/>
          </w:tcPr>
          <w:p>
            <w:pPr>
              <w:spacing w:after="0"/>
              <w:rPr>
                <w:sz w:val="16"/>
                <w:szCs w:val="16"/>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Lee Shavel</w:t>
            </w:r>
          </w:p>
        </w:tc>
        <w:tc>
          <w:tcPr>
            <w:tcW w:w="1240" w:type="dxa"/>
            <w:vAlign w:val="bottom"/>
          </w:tcPr>
          <w:p>
            <w:pPr>
              <w:spacing w:after="0"/>
              <w:rPr>
                <w:sz w:val="16"/>
                <w:szCs w:val="16"/>
                <w:color w:val="auto"/>
              </w:rPr>
            </w:pPr>
          </w:p>
        </w:tc>
        <w:tc>
          <w:tcPr>
            <w:tcW w:w="5120" w:type="dxa"/>
            <w:vAlign w:val="bottom"/>
            <w:gridSpan w:val="3"/>
          </w:tcPr>
          <w:p>
            <w:pPr>
              <w:ind w:left="580"/>
              <w:spacing w:after="0" w:line="190" w:lineRule="exact"/>
              <w:rPr>
                <w:sz w:val="20"/>
                <w:szCs w:val="20"/>
                <w:color w:val="auto"/>
              </w:rPr>
            </w:pPr>
            <w:r>
              <w:rPr>
                <w:rFonts w:ascii="Arial" w:cs="Arial" w:eastAsia="Arial" w:hAnsi="Arial"/>
                <w:sz w:val="18"/>
                <w:szCs w:val="18"/>
                <w:color w:val="auto"/>
              </w:rPr>
              <w:t>Strategy</w:t>
            </w:r>
          </w:p>
        </w:tc>
      </w:tr>
      <w:tr>
        <w:trPr>
          <w:trHeight w:val="222"/>
        </w:trPr>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446"/>
        </w:trPr>
        <w:tc>
          <w:tcPr>
            <w:tcW w:w="218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0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ONALD</w:t>
            </w:r>
            <w:r>
              <w:rPr>
                <w:rFonts w:ascii="Arial" w:cs="Arial" w:eastAsia="Arial" w:hAnsi="Arial"/>
                <w:sz w:val="18"/>
                <w:szCs w:val="18"/>
                <w:color w:val="auto"/>
                <w:w w:val="99"/>
              </w:rPr>
              <w:t xml:space="preserve"> H</w:t>
            </w:r>
            <w:r>
              <w:rPr>
                <w:rFonts w:ascii="Arial" w:cs="Arial" w:eastAsia="Arial" w:hAnsi="Arial"/>
                <w:sz w:val="14"/>
                <w:szCs w:val="14"/>
                <w:color w:val="auto"/>
                <w:w w:val="99"/>
              </w:rPr>
              <w:t>ASSEN</w:t>
            </w: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Senior Vice President and Controller</w:t>
            </w:r>
          </w:p>
        </w:tc>
      </w:tr>
      <w:tr>
        <w:trPr>
          <w:trHeight w:val="202"/>
        </w:trPr>
        <w:tc>
          <w:tcPr>
            <w:tcW w:w="2180" w:type="dxa"/>
            <w:vAlign w:val="bottom"/>
          </w:tcPr>
          <w:p>
            <w:pPr>
              <w:spacing w:after="0"/>
              <w:rPr>
                <w:sz w:val="17"/>
                <w:szCs w:val="17"/>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6"/>
              </w:rPr>
              <w:t>Ronald Hassen</w:t>
            </w:r>
          </w:p>
        </w:tc>
        <w:tc>
          <w:tcPr>
            <w:tcW w:w="1240" w:type="dxa"/>
            <w:vAlign w:val="bottom"/>
          </w:tcPr>
          <w:p>
            <w:pPr>
              <w:spacing w:after="0"/>
              <w:rPr>
                <w:sz w:val="17"/>
                <w:szCs w:val="17"/>
                <w:color w:val="auto"/>
              </w:rPr>
            </w:pPr>
          </w:p>
        </w:tc>
        <w:tc>
          <w:tcPr>
            <w:tcW w:w="51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Accounting Officer)</w:t>
            </w:r>
          </w:p>
        </w:tc>
      </w:tr>
      <w:tr>
        <w:trPr>
          <w:trHeight w:val="440"/>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H. Furlong Baldwin</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Deputy Chairman of the Board</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Urban Bäckström</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Steven D. Black</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Michael Casey</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Börje Ekholm</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Lon Gorman</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Glenn H. Hutchins</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Birgitta Kantola</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19"/>
        </w:trPr>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80" w:type="dxa"/>
            <w:vAlign w:val="bottom"/>
          </w:tcPr>
          <w:p>
            <w:pPr>
              <w:spacing w:after="0"/>
              <w:rPr>
                <w:sz w:val="14"/>
                <w:szCs w:val="14"/>
                <w:color w:val="auto"/>
              </w:rPr>
            </w:pPr>
          </w:p>
        </w:tc>
        <w:tc>
          <w:tcPr>
            <w:tcW w:w="24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Essa Kazim</w:t>
            </w:r>
          </w:p>
        </w:tc>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50"/>
        </w:trPr>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0" w:type="dxa"/>
            <w:vAlign w:val="bottom"/>
            <w:gridSpan w:val="2"/>
          </w:tcPr>
          <w:p>
            <w:pPr>
              <w:jc w:val="right"/>
              <w:ind w:right="285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740"/>
        <w:spacing w:after="0"/>
        <w:tabs>
          <w:tab w:leader="none" w:pos="87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John D. Markese</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Hans Munk Nielsen</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7"/>
              </w:rPr>
              <w:t>Thomas F. O’Neill</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Michael R. Splinter</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Lars Wedenborn</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96"/>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5"/>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684"/>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1"/>
        </w:trPr>
        <w:tc>
          <w:tcPr>
            <w:tcW w:w="3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703"/>
              <w:spacing w:after="0" w:line="151"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2"/>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20" w:type="dxa"/>
            <w:vAlign w:val="bottom"/>
          </w:tcPr>
          <w:p>
            <w:pPr>
              <w:jc w:val="center"/>
              <w:ind w:right="703"/>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50"/>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20" w:type="dxa"/>
            <w:vAlign w:val="bottom"/>
            <w:gridSpan w:val="2"/>
          </w:tcPr>
          <w:p>
            <w:pPr>
              <w:jc w:val="right"/>
              <w:ind w:right="1072"/>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0219"/>
          </w:cols>
          <w:pgMar w:left="24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consolidated financial statements and schedule of The NASDAQ OMX Group, Inc. and its subsidiaries are presented herein on the page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Report of Independent Registered Public Accounting Firm</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Balance Sheets</w:t>
              </w:r>
            </w:hyperlink>
          </w:p>
        </w:tc>
        <w:tc>
          <w:tcPr>
            <w:tcW w:w="4340" w:type="dxa"/>
            <w:vAlign w:val="bottom"/>
            <w:gridSpan w:val="2"/>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Income</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Consolidated Statements of Comprehensive Income</w:t>
              </w:r>
            </w:hyperlink>
          </w:p>
        </w:tc>
        <w:tc>
          <w:tcPr>
            <w:tcW w:w="4800" w:type="dxa"/>
            <w:vAlign w:val="bottom"/>
            <w:gridSpan w:val="3"/>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Changes in Equity</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Cash Flows</w:t>
              </w:r>
            </w:hyperlink>
          </w:p>
        </w:tc>
        <w:tc>
          <w:tcPr>
            <w:tcW w:w="5180" w:type="dxa"/>
            <w:vAlign w:val="bottom"/>
            <w:gridSpan w:val="4"/>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Financial Statement Schedule: Schedule II—Valuation and Qualifying Accounts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40" w:type="dxa"/>
            <w:vAlign w:val="bottom"/>
            <w:gridSpan w:val="2"/>
          </w:tcPr>
          <w:p>
            <w:pPr>
              <w:ind w:left="1480"/>
              <w:spacing w:after="0"/>
              <w:rPr>
                <w:sz w:val="20"/>
                <w:szCs w:val="20"/>
                <w:color w:val="auto"/>
              </w:rPr>
            </w:pPr>
            <w:r>
              <w:rPr>
                <w:rFonts w:ascii="Arial" w:cs="Arial" w:eastAsia="Arial" w:hAnsi="Arial"/>
                <w:sz w:val="18"/>
                <w:szCs w:val="18"/>
                <w:color w:val="auto"/>
              </w:rPr>
              <w:t>F-1</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6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OMX Group, Inc.</w:t>
      </w: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The NASDAQ OMX Group, Inc. (the “Company”) as of December 31, 2011 and 2010, and the related consolidated statements of income, comprehensive income, changes in equity, and cash flows for each of the three years in the period ended December 31, 2011.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NASDAQ OMX Group, Inc.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2011, based on criteria established in Internal Control-Integrated Framework issued by the Committee of Sponsoring Organizations of the Treadway Commission and our report dated February 24, 2012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investments, at fair value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Open clearing contracts: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Derivative positions, at fair value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860"/>
              <w:spacing w:after="0" w:line="149" w:lineRule="exact"/>
              <w:rPr>
                <w:sz w:val="20"/>
                <w:szCs w:val="20"/>
                <w:color w:val="auto"/>
              </w:rPr>
            </w:pPr>
            <w:r>
              <w:rPr>
                <w:rFonts w:ascii="Arial" w:cs="Arial" w:eastAsia="Arial" w:hAnsi="Arial"/>
                <w:sz w:val="14"/>
                <w:szCs w:val="14"/>
                <w:color w:val="auto"/>
              </w:rPr>
              <w:t>Resale agreements, at contract value</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6,573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restricted cash</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assets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14,091</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16,207</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0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Open clearing contracts: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Derivative positions, at fair value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860"/>
              <w:spacing w:after="0" w:line="149" w:lineRule="exact"/>
              <w:rPr>
                <w:sz w:val="20"/>
                <w:szCs w:val="20"/>
                <w:color w:val="auto"/>
              </w:rPr>
            </w:pPr>
            <w:r>
              <w:rPr>
                <w:rFonts w:ascii="Arial" w:cs="Arial" w:eastAsia="Arial" w:hAnsi="Arial"/>
                <w:sz w:val="14"/>
                <w:szCs w:val="14"/>
                <w:color w:val="auto"/>
              </w:rPr>
              <w:t>Repurchase agreements, at contract value</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debt obligations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6,030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obligations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revenue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11,478</w:t>
            </w:r>
          </w:p>
        </w:tc>
        <w:tc>
          <w:tcPr>
            <w:tcW w:w="0" w:type="dxa"/>
            <w:vAlign w:val="bottom"/>
          </w:tcPr>
          <w:p>
            <w:pPr>
              <w:spacing w:after="0"/>
              <w:rPr>
                <w:sz w:val="1"/>
                <w:szCs w:val="1"/>
                <w:color w:val="auto"/>
              </w:rPr>
            </w:pPr>
          </w:p>
        </w:tc>
      </w:tr>
      <w:tr>
        <w:trPr>
          <w:trHeight w:val="169"/>
        </w:trPr>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contingencies</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NASDAQ OMX stockholders’ equity:</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Common stock, $0.01 par value, 300,000,000 shares authorized, shares issued: 213,398,111 at December 31, 2011 and 213,370,086 at December 31, 2010; shares</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outstanding: 173,552,939 at December 31, 2011 and 175,782,683 at December 31, 2010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tcPr>
          <w:p>
            <w:pPr>
              <w:ind w:left="420"/>
              <w:spacing w:after="0" w:line="138" w:lineRule="exact"/>
              <w:rPr>
                <w:sz w:val="20"/>
                <w:szCs w:val="20"/>
                <w:color w:val="auto"/>
              </w:rPr>
            </w:pPr>
            <w:r>
              <w:rPr>
                <w:rFonts w:ascii="Arial" w:cs="Arial" w:eastAsia="Arial" w:hAnsi="Arial"/>
                <w:sz w:val="14"/>
                <w:szCs w:val="14"/>
                <w:color w:val="auto"/>
                <w:w w:val="93"/>
              </w:rPr>
              <w:t>Preferred stock, 30,000,000 shares authorized, series A convertible preferred stock: shares issued: 1,600,000 at December 31, 2011 and December 31, 2010; shares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tcPr>
          <w:p>
            <w:pPr>
              <w:ind w:left="640"/>
              <w:spacing w:after="0" w:line="159" w:lineRule="exact"/>
              <w:rPr>
                <w:sz w:val="20"/>
                <w:szCs w:val="20"/>
                <w:color w:val="auto"/>
              </w:rPr>
            </w:pPr>
            <w:r>
              <w:rPr>
                <w:rFonts w:ascii="Arial" w:cs="Arial" w:eastAsia="Arial" w:hAnsi="Arial"/>
                <w:sz w:val="14"/>
                <w:szCs w:val="14"/>
                <w:color w:val="auto"/>
              </w:rPr>
              <w:t>outstanding: none at December 31, 2011 and December 31, 2010</w:t>
            </w:r>
          </w:p>
        </w:tc>
        <w:tc>
          <w:tcPr>
            <w:tcW w:w="80" w:type="dxa"/>
            <w:vAlign w:val="bottom"/>
          </w:tcPr>
          <w:p>
            <w:pPr>
              <w:spacing w:after="0"/>
              <w:rPr>
                <w:sz w:val="13"/>
                <w:szCs w:val="13"/>
                <w:color w:val="auto"/>
              </w:rPr>
            </w:pPr>
          </w:p>
        </w:tc>
        <w:tc>
          <w:tcPr>
            <w:tcW w:w="6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Common stock in treasury, at cost: 39,845,172 shares at December 31, 2011 and 37,587,403 shares at December 31, 2010</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2,391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NASDAQ OMX stockholders’ equity</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equity</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14,091</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2,886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2,700</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Technology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3,197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Transaction rebates</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(1,344)</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(1,748)</w:t>
            </w: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less transaction rebates, brokerage, clearance and exchange fees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1,690</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Merger and strategic initiatives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Loss on divestiture of businesses</w:t>
            </w:r>
          </w:p>
        </w:tc>
        <w:tc>
          <w:tcPr>
            <w:tcW w:w="100" w:type="dxa"/>
            <w:vAlign w:val="bottom"/>
          </w:tcPr>
          <w:p>
            <w:pPr>
              <w:spacing w:after="0"/>
              <w:rPr>
                <w:sz w:val="18"/>
                <w:szCs w:val="18"/>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Loss on sale of investment security</w:t>
            </w:r>
          </w:p>
        </w:tc>
        <w:tc>
          <w:tcPr>
            <w:tcW w:w="100" w:type="dxa"/>
            <w:vAlign w:val="bottom"/>
          </w:tcPr>
          <w:p>
            <w:pPr>
              <w:spacing w:after="0"/>
              <w:rPr>
                <w:sz w:val="18"/>
                <w:szCs w:val="18"/>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on sales of businesses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Debt conversion expense</w:t>
            </w: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NASDAQ OMX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holding losses on available-for-sale investment securities: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Unrealized holding losses arising during the period</w:t>
            </w: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benefit, net of valuation allowance</w:t>
            </w:r>
          </w:p>
        </w:tc>
        <w:tc>
          <w:tcPr>
            <w:tcW w:w="7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98"/>
              </w:rPr>
              <w:t>Reclassification adjustment for losses realized in net income on available-for-sale investment securities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Foreign currency translation gains (losses):</w:t>
            </w: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foreign currency translation gains (losses)</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Unrealized gains (losses) on cash flow hedges:</w:t>
            </w: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gains on cash flow hedges arising during the period</w:t>
            </w:r>
          </w:p>
        </w:tc>
        <w:tc>
          <w:tcPr>
            <w:tcW w:w="7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Income tax expense</w:t>
            </w:r>
          </w:p>
        </w:tc>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 for loss realized in net income on cash flow hedges</w:t>
            </w:r>
          </w:p>
        </w:tc>
        <w:tc>
          <w:tcPr>
            <w:tcW w:w="7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Income tax benefit recognized in net income during the period</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 adjustment losses</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Income tax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 net of tax</w:t>
            </w: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134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420"/>
              <w:spacing w:after="0"/>
              <w:rPr>
                <w:sz w:val="20"/>
                <w:szCs w:val="20"/>
                <w:color w:val="auto"/>
              </w:rPr>
            </w:pPr>
            <w:r>
              <w:rPr>
                <w:rFonts w:ascii="Arial" w:cs="Arial" w:eastAsia="Arial" w:hAnsi="Arial"/>
                <w:sz w:val="18"/>
                <w:szCs w:val="18"/>
                <w:color w:val="auto"/>
              </w:rPr>
              <w:t>Comprehensive loss attributable to noncontrolling interests</w:t>
            </w: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NASDAQ OMX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Common</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Stock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Stock at</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Paid-in</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 at</w:t>
            </w: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Par Value</w:t>
            </w: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Capital</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201,896,700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w w:val="71"/>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$ 1,344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in unrealized losses on derivative financial</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instruments that qualify as cash flow hedges,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 of ($1)</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Foreign currency translation, net of tax of ($184)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Employee benefit plan adjustments, net of tax of $6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Conversion of 3.75% convertible notes</w:t>
            </w:r>
          </w:p>
        </w:tc>
        <w:tc>
          <w:tcPr>
            <w:tcW w:w="940" w:type="dxa"/>
            <w:vAlign w:val="bottom"/>
          </w:tcPr>
          <w:p>
            <w:pPr>
              <w:jc w:val="right"/>
              <w:spacing w:after="0"/>
              <w:rPr>
                <w:sz w:val="20"/>
                <w:szCs w:val="20"/>
                <w:color w:val="auto"/>
              </w:rPr>
            </w:pPr>
            <w:r>
              <w:rPr>
                <w:rFonts w:ascii="Arial" w:cs="Arial" w:eastAsia="Arial" w:hAnsi="Arial"/>
                <w:sz w:val="18"/>
                <w:szCs w:val="18"/>
                <w:color w:val="auto"/>
              </w:rPr>
              <w:t>8,246,680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Early extinguishment of a portion of the 2013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Notes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Amortization and vesting of restricted stock and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PSUs</w:t>
            </w:r>
          </w:p>
        </w:tc>
        <w:tc>
          <w:tcPr>
            <w:tcW w:w="940" w:type="dxa"/>
            <w:vAlign w:val="bottom"/>
          </w:tcPr>
          <w:p>
            <w:pPr>
              <w:jc w:val="right"/>
              <w:spacing w:after="0"/>
              <w:rPr>
                <w:sz w:val="20"/>
                <w:szCs w:val="20"/>
                <w:color w:val="auto"/>
              </w:rPr>
            </w:pPr>
            <w:r>
              <w:rPr>
                <w:rFonts w:ascii="Arial" w:cs="Arial" w:eastAsia="Arial" w:hAnsi="Arial"/>
                <w:sz w:val="18"/>
                <w:szCs w:val="18"/>
                <w:color w:val="auto"/>
              </w:rPr>
              <w:t>260,721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 net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issuances of common stock, net</w:t>
            </w:r>
          </w:p>
        </w:tc>
        <w:tc>
          <w:tcPr>
            <w:tcW w:w="940" w:type="dxa"/>
            <w:vAlign w:val="bottom"/>
          </w:tcPr>
          <w:p>
            <w:pPr>
              <w:jc w:val="right"/>
              <w:spacing w:after="0"/>
              <w:rPr>
                <w:sz w:val="20"/>
                <w:szCs w:val="20"/>
                <w:color w:val="auto"/>
              </w:rPr>
            </w:pPr>
            <w:r>
              <w:rPr>
                <w:rFonts w:ascii="Arial" w:cs="Arial" w:eastAsia="Arial" w:hAnsi="Arial"/>
                <w:sz w:val="18"/>
                <w:szCs w:val="18"/>
                <w:color w:val="auto"/>
              </w:rPr>
              <w:t>166,788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5"/>
              </w:rPr>
              <w:t>Purchases of subsidiary shares from noncontrolling</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4"/>
              </w:rPr>
              <w:t>Sale of subsidiary shares to noncontrolling interests</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211,385,464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$ 1,610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Reclassification adjustment for loss realized in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income on cash flow hedges, net of tax of ($3)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Foreign currency translation, net of tax of ($98)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Employee benefit plan adjustments, net of tax of $2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6"/>
              </w:rPr>
              <w:t>Net unrealized holding gains (losses) on available-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for-sale securities, net of tax of $1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(37,831,647)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2"/>
              </w:rPr>
              <w:t>Conversion of series A convertible preferred stock to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common stock and accretion</w:t>
            </w:r>
          </w:p>
        </w:tc>
        <w:tc>
          <w:tcPr>
            <w:tcW w:w="940" w:type="dxa"/>
            <w:vAlign w:val="bottom"/>
          </w:tcPr>
          <w:p>
            <w:pPr>
              <w:jc w:val="right"/>
              <w:spacing w:after="0"/>
              <w:rPr>
                <w:sz w:val="20"/>
                <w:szCs w:val="20"/>
                <w:color w:val="auto"/>
              </w:rPr>
            </w:pPr>
            <w:r>
              <w:rPr>
                <w:rFonts w:ascii="Arial" w:cs="Arial" w:eastAsia="Arial" w:hAnsi="Arial"/>
                <w:sz w:val="18"/>
                <w:szCs w:val="18"/>
                <w:color w:val="auto"/>
              </w:rPr>
              <w:t>845,646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PSUs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579,759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940" w:type="dxa"/>
            <w:vAlign w:val="bottom"/>
          </w:tcPr>
          <w:p>
            <w:pPr>
              <w:jc w:val="right"/>
              <w:spacing w:after="0"/>
              <w:rPr>
                <w:sz w:val="20"/>
                <w:szCs w:val="20"/>
                <w:color w:val="auto"/>
              </w:rPr>
            </w:pPr>
            <w:r>
              <w:rPr>
                <w:rFonts w:ascii="Arial" w:cs="Arial" w:eastAsia="Arial" w:hAnsi="Arial"/>
                <w:sz w:val="18"/>
                <w:szCs w:val="18"/>
                <w:color w:val="auto"/>
              </w:rPr>
              <w:t>708,731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issuances of common stock, net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5"/>
              </w:rPr>
              <w:t>Purchases of subsidiary shares from noncontrolling</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Sale of subsidiary shares to noncontrolling interests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 adjustments</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175,782,683</w:t>
            </w:r>
          </w:p>
        </w:tc>
        <w:tc>
          <w:tcPr>
            <w:tcW w:w="16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2</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2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$ 2,004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F-6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Stock in</w:t>
            </w: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Treasury at</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Retained</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Par Value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Foreign currency translation, net of tax of $40</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5"/>
              </w:rPr>
              <w:t>Employee benefit plan adjustments, net of tax of $1</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Unrealized holding losses on available-for-sale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securities, net of reclassification for losses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realized in net income</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(3,983,481)</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7"/>
              </w:rPr>
              <w:t>Tender offer related to the 2013 Convertible Notes</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0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PSUs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632,682</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1,030,721</w:t>
            </w: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issuances of common stock, net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Sale of subsidiary shares to noncontrolling interests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and other adjustments</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173,552,939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3,793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(860)</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$ 2,391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4,986</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2010</w:t>
            </w:r>
          </w:p>
        </w:tc>
        <w:tc>
          <w:tcPr>
            <w:tcW w:w="5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383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5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109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divestiture of businesses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Charges related to debt extinguishment and refinancing</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Gain on the early extinguishment of debt obligations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Loss on sale of investment security</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sales of businesses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 from unconsolidated investees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conversion expense</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Asset retirements and impairment charges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Accretion of debt discounts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 and divestitures: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(85)</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669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440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Purchases of trading securities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(533)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(237)</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equity method investment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Proceeds from sales and redemptions of trading securities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501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redemptions of available-for-sale investment securities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Proceeds from sales of equity method investments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Dispositions of businesses, net of cash disposed</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5"/>
              </w:rPr>
              <w:t>(146)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(118)</w:t>
            </w:r>
          </w:p>
        </w:tc>
        <w:tc>
          <w:tcPr>
            <w:tcW w:w="60" w:type="dxa"/>
            <w:vAlign w:val="bottom"/>
          </w:tcPr>
          <w:p>
            <w:pPr>
              <w:spacing w:after="0"/>
              <w:rPr>
                <w:sz w:val="14"/>
                <w:szCs w:val="14"/>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Proceeds from debt obligations, net of debt issuance costs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700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2,409</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debt obligations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(948)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1"/>
              </w:rPr>
              <w:t>(2,216)</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Cash paid for repurchase of common stock</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(100)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(797)</w:t>
            </w:r>
          </w:p>
        </w:tc>
        <w:tc>
          <w:tcPr>
            <w:tcW w:w="6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noncontrolling interests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Proceeds from contributions of noncontrolling interests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inducement payment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Issuances of common stock, net of treasury stock purchases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5"/>
              </w:rPr>
              <w:t>(325)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(595)</w:t>
            </w:r>
          </w:p>
        </w:tc>
        <w:tc>
          <w:tcPr>
            <w:tcW w:w="60" w:type="dxa"/>
            <w:vAlign w:val="bottom"/>
          </w:tcPr>
          <w:p>
            <w:pPr>
              <w:spacing w:after="0"/>
              <w:rPr>
                <w:sz w:val="13"/>
                <w:szCs w:val="13"/>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191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(279)</w:t>
            </w:r>
          </w:p>
        </w:tc>
        <w:tc>
          <w:tcPr>
            <w:tcW w:w="6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315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period</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506</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315</w:t>
            </w:r>
          </w:p>
        </w:tc>
        <w:tc>
          <w:tcPr>
            <w:tcW w:w="5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Cash Flow Information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Cash paid for:</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2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60" w:type="dxa"/>
            <w:vAlign w:val="bottom"/>
          </w:tcPr>
          <w:p>
            <w:pPr>
              <w:ind w:left="420"/>
              <w:spacing w:after="0"/>
              <w:rPr>
                <w:sz w:val="20"/>
                <w:szCs w:val="20"/>
                <w:color w:val="auto"/>
              </w:rPr>
            </w:pPr>
            <w:r>
              <w:rPr>
                <w:rFonts w:ascii="Arial" w:cs="Arial" w:eastAsia="Arial" w:hAnsi="Arial"/>
                <w:sz w:val="14"/>
                <w:szCs w:val="14"/>
                <w:color w:val="auto"/>
              </w:rPr>
              <w:t>Income taxes, net of refund</w:t>
            </w:r>
          </w:p>
        </w:tc>
        <w:tc>
          <w:tcPr>
            <w:tcW w:w="2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129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148</w:t>
            </w:r>
          </w:p>
        </w:tc>
        <w:tc>
          <w:tcPr>
            <w:tcW w:w="5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2011, The NASDAQ Stock Market was home to 2,680 listed companies with a combined market capitalization of approximately $4.4 trillion. In addition, in the U.S. we operate two additional cash equities trading markets, two options markets, a futures market and a derivatives clearinghouse. We also engage in riskless principal trading of OTC power and gas contracts.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2011, the exchanges that comprise NASDAQ OMX Nordic and NASDAQ OMX Baltic, together with NASDAQ OMX First North, were home to 776 listed companies with a combined market capitalization of approximately $0.9 trillion. We also operate NASDAQ OMX Armenia.</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NASDAQ OMX Commodities operates the world’s largest power derivatives exchange, one of Europe’s largest carbon exchanges, and together with Nord Pool Spot, N2EX, a marketplace for physical U.K. power contracts.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the U.S., we offer trading in cash equity securities, derivatives and ETFs on The NASDAQ Stock Market, The NASDAQ Options Market, NASDAQ OMX PHLX, NASDAQ OMX BX, NASDAQ OMX PSX and NFX, and engage in riskless principal trading of OTC power and gas contracts through NOCC. Our transaction-based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Equities Trading</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NASDAQ Stock Market is the largest single pool of liquidity for trading U.S.-listed cash equities, matching an average of approximately 18.1% of all U.S. cash equities volume for 2011. With NASDAQ OMX BX and NASDAQ OMX PSX, we offer a second and third quote within the U.S. cash equities marketplace, providing our customers enhanced trading choices and pricing flexibility. In 2011, NASDAQ OMX BX matched an average of approximately 2.1% of all U.S. cash equities volume and NASDAQ OMX PSX matched an average of approximately 1.0% of all U.S. cash equities volume.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Derivative Trading and Clearing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U.S., we operate The NASDAQ Options Market and NASDAQ OMX PHLX for the trading of equity options, ETF options, index options and foreign currency options. As of December 31, 2011, NASDAQ OMX PHLX, which operates a hybrid electronic and floor-based market, was the largest options market in the U.S. During the year ended December 31, 2011, NASDAQ OMX PHLX and The NASDAQ Options Market had an average combined market share of approximately 27.7% in the U.S. equity options market, consisting of approximately 23.1% at NASDAQ OMX PHLX and approximately 4.6% at The NASDAQ Options Market. Together, the combined market share of 27.7% represented the largest share of the U.S. equity options market and ETF options market. Our options trading platforms provide trading opportunities to both retail investors and algorithmic (high frequency) trading firms, who tend to prefer electronic trading, and institutional investors, who typically pursue more complex trading strategies and often prefer to trade on the floor.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U.S., we also operate NFX. NFX offers trading of foreign currency futures which clear at OCC.</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Through IDCH, a division of our majority-owned subsidiary IDCG, we bring a centrally-cleared solution to the largest segment of the OTC derivatives marketplace, specifically interest rate derivatives. IDCH acts as the CCP for clearing interest rate swap products. IDCH utilizes NASDAQ OMX matching, risk, and clearing technology to clear and settle these interest rate derivative products.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also engages in riskless principal trading of OTC power and gas contracts through our subsidiary NOCC.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Nordic Transaction Services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exchanges that comprise NASDAQ OMX Nordic offer trading for cash equities and bonds, trading and clearing services for derivatives, and clearing services for resale and repurchase agreements. Our platform allows the exchanges to share the same trading system, which enables efficient cross-border trading and settlement, cross membership and a single source for Nordic market data.</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NASDAQ OMX’s trading offering also includes cash equities listed in Norway and Norwegian derivatives products. The offering is designed to provide lower trading costs and other benefits for customers seeking to trade all Nordic equity products on one platform. NASDAQ OMX has been the second largest market for trading in Norwegian stocks since 2009.</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Most of our cash equity trades on the exchanges that comprise NASDAQ OMX Nordic are centrally cleared by EMCF, a leading European clearinghouse in which we own a 22% equity stake.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NASDAQ OMX Stockholm offers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September 2010, NASDAQ OMX launched a clearing service for the resale and repurchase agreement market. As a result of an agreement between the Swedish Money Market Council and NASDAQ OMX, a large portion of the Swedish Interbank resale and repurchase market is cleared through NASDAQ OMX Stockholm.</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further discussion of our Nordic clearing operations, see “Derivative Positions, at Fair Value,” and “Resale and Repurchase Agreements, at Contract Value,” of Note 2, “Summary of Significant Accounting Policies.”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Baltic Transaction Services</w:t>
      </w:r>
    </w:p>
    <w:p>
      <w:pPr>
        <w:spacing w:after="0" w:line="77"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NASDAQ OMX Baltic operations comprise the exchanges in Tallinn (Estonia), Riga (Latvia) and Vilnius (Lithuania). As of December 31, 2011, NASDAQ OMX owns NASDAQ OMX Tallinn and has majority ownerships in NASDAQ OMX Vilnius and NASDAQ OMX Riga. In addition, NASDAQ OMX Tallinn owns the central securities depository in Estonia, NASDAQ OMX Riga owns the central securities depository in Latvia, and NASDAQ OMX Helsinki and NASDAQ OMX Vilnius jointly own the central securities depository in Lithuania.</w:t>
      </w:r>
    </w:p>
    <w:p>
      <w:pPr>
        <w:spacing w:after="0" w:line="13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Commodities Trading and Clearing</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OMX Commodities offers trading and clearing of international power derivatives and carbon products. NASDAQ OMX Commodities’ offering includes the world’s largest power derivatives exchange and one of Europe’s largest carbon exchanges.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NASDAQ OMX Commodities has 390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CCP. In doing so, we guarantee the completion of the transaction and market participants can thereby limit their counterparty risk. We also act as the counterparty for certain trades on OTC derivative contracts.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Commodities, together with Nord Pool Spot, operates N2EX, a marketplace for physical U.K. power contracts.</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further discussion of our NASDAQ OMX Commodities clearing operations, see “Derivative Positions, at Fair Value,” of Note 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market participants with several alternatives for accessing our markets for a fee.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U.S. Tape Plans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NASDAQ Stock Market operates as the exclusive Securities Information Processor of the UTP Plan for the collection and 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Market Data Products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market data products enhance transparency and provide critical information to professional and non-professional investors. We collect, process and create information and earn revenues as a distributor of our own, as well as select third-party content. We provide varying levels of quote and trade information to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2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In December 2011, we acquired the business of RapiData, a leading provider of machine-readable economic news to trading firms and financial institutions. With this acquisition, we will deliver U.S. government and other economic news directly from the source to customers interested in receiving information in an electronic feed.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Market Data Products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exchanges that comprise NASDAQ OMX Nordic and NASDAQ OMX Baltic, as well as NASDAQ OMX 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European market data products and services are based on the trading information from the exchanges that comprise NASDAQ OMX Nordic and NASDAQ OMX Baltic, as well as NASDAQ OMX Commodities, for four classes of assets: cash equities, bonds, derivatives and commodities. We provide varying levels of quote and trade information to market participants and to data distributors, who in turn provide subscriptions for this information. We earn revenues primarily based on the number of data subscribers and distributors of our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Broker Services provides services through a registered securities company that is regulated by the SFSA. Services primarily consist of flexible back-office systems, which allow customers to entirely or partly outsource their company’s back-office functions.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SWIFT to deposit banks. Revenues are based on a fixed basic fee for back-office brokerage services, such as administration or licensing, maintenance and operations, and a variable portion that depends on the number of transactions completed.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group—approximately 3,500 companies representing approximately $5.3 trillion in total market value as of December 31, 2011.</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 In addition, through our Corporate Solutions business, we offer companies access to innovative products and services that ease transparency, maximize board efficiency and facilitate corporate governance.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Listings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Companies listed on The NASDAQ Stock Market represent a diverse array of industries including health care, consumer products, telecommunication services, information technology, financial services, industrials and energy. 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also based on the total shares outstanding, which we review quarterly, and the initial listing fee for securities listed on The NASDAQ Stock Market includes a listing application fee and a total shares outstanding fee.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Listings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also offer listings on the exchanges that comprise NASDAQ OMX Nordic and NASDAQ OMX Baltic. For smaller companies and growth companies, we offer access to the financial markets through the NASDAQ OMX First North alternative marketplaces. Revenues are generated through annual fees paid by companies listed on these exchanges, which are measured in terms of the listed company’s market capitalization on a trailing 12-month basis. Our European listing customers are organizations such as companies, funds or governments. Customers issue securities in the forms of cash equities, depository receipts, warrants, ETFs, convertibles, rights, options, bonds and fixed-income related products.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Corporate Solutions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Corporate Solutions business provides customer support services, products and programs to customers, including companies listed on our exchanges. Through our Corporate Solutions offerings, companies gain access to innovative products and services that ease transparency, mitigate risk, maximize board efficiency and facilitate better corporate governance.</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Corporate Solutions revenues also include revenues from Glide Technologies, which we acquired in October 2011. Glide Technologies specializes in corporate communications and reputation management solutions. This acquisition allows us to offer a fully-integrated workflow solution for investor relations and public relations professionals.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business.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Powering more than 70 markets in over 50 countries, our Market Technology segment is the world’s leading technology solutions provider and partner to exchanges, clearing organizations and central securities depositories. Our technology business is also the sales channel for our complete global offering to other marketplaces.</w:t>
      </w:r>
    </w:p>
    <w:p>
      <w:pPr>
        <w:spacing w:after="0" w:line="12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Market Technology provides technology solutions for trading, clearing, settlement, surveillance and information dissemination for markets with 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 Revenues are primarily derived from license, support and facility management revenues, delivery project revenues, as well as change request, advisory and broker surveillance revenues.</w:t>
      </w:r>
    </w:p>
    <w:p>
      <w:pPr>
        <w:spacing w:after="0" w:line="8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After we have developed and sold a system solution, the customer licenses the right to use the software and may require post contract support and other services. Facility management revenues are derived when NASDAQ OMX assumes responsibility for the continuous operation of a system platform for a customer.</w:t>
      </w:r>
    </w:p>
    <w:p>
      <w:pPr>
        <w:spacing w:after="0" w:line="9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Change request revenues include customer specific adaptations and modifications of the system solution sold by NASDAQ OMX after delivery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occurred. Advisory services are designed to support our customers’ strategies and help them with critical decisions in a highly demanding business environment.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 surveillance revenues are derived from surveillance solutions targeting brokers and regulators throughout the world.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further discussion of our segments, see Note 18, “Business Segments.” For further discussion of our revenue recognition policies, see “Revenue Recognition and Cost of Revenues,” of 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consolidated financial statements are prepared in accordance with U.S. GAAP. The financial statements include the accounts of NASDAQ OMX, its wholly-owned subsidiaries and other entities in which NASDAQ OMX has a controlling financial interest. All significant intercompany accounts and transactions have been eliminated in consolidation. We consolidate those entities in which we are the primary beneficiary of a variable-interest entity, or VIE, and entities where we have a controlling financial interest. We were not the primary beneficiary of any VIE for any of the three years in the period ended December 31, 2011. When NASDAQ OMX is not the primary beneficiary of a VIE or does not have a controlling interest in an entity but exercises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an investee from the most recent available financial statements on a lag. See Note 5, “Investments,” for further discussion of our equity method investments.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have evaluated subsequent events through the issuance date of this Annual Report on Form 10-K and determined that no events or transactions met the definition of a subsequent event for purposes of recognition or disclosure in the accompanying consolidated financial statements.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9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$361 million as of December 31, 2011 and $215 million as of December 31, 2010. Cash equivalents are carried at cost plus accrued interest, which approximates fair value due to the short maturities of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Restricted cash, which was $43 million as of December 31, 2011 and $60 million as of December 31, 2010, is not available for general use by us due to regulatory and other requirements and is classified as restricted cash in the Consolidated Balance Sheets. Non-current restricted cash was $105 million as of December 31, 2011 and 2010. As of December 31, 2011 and 2010, non-current restricted cash includes a deposit in the guaranty fund of IDCG of $80 million, which may consist of cash, cash equivalents, or short-term investments, and our $25 million capital injection to NOCC to improve its liquidity position. As of December 31, 2011 and 2010, a portion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of IDCG’s guaranty fund was invested in short-term reverse repurchase agreements. These reverse repurchase agreements, which totaled $4 million as of December 31, 2011 and $16 million as of December 31, 2010, are recorded at the contract amount plus accrued interest, which approximates fair value.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Financial investments, at fair value are primarily comprised of trading securities, mainly Swedish government debt securities, and our available-for-sale investment security in DFM. Trading securities are bought principally to meet regulatory capital requirements for NASDAQ OMX Stockholm’s clearing operations and are generally sold in the near term. Changes in fair value of trading securities are included in dividend and investment income in the Consolidated Statements of Income. Equity securities that are classified as long-term available-for-sale investment securities are carried at fair value in the Consolidated Balance Sheets in other non-current assets with unrealized gains and losses, net of tax, reported in accumulated other comprehensive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Indicators of other-than-temporary impairment for debt securities include issuer downgrade, default, or bankruptcy. For equity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 In addition, for equity securities we also consider the performance of the investee’s stock price in relation to industry indexes and review the investee’s credit profile.</w:t>
      </w:r>
    </w:p>
    <w:p>
      <w:pPr>
        <w:spacing w:after="0" w:line="11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the fourth quarter of 2011, we recorded a pre-tax, other-than-temporary impairment loss on our investment security in DFM of $18 million. This charge is included in asset impairment in the Consolidated Statements of Income. We did not record any other-than-temporary impairment charges in 2010 or 2009.</w:t>
      </w:r>
    </w:p>
    <w:p>
      <w:pPr>
        <w:spacing w:after="0" w:line="7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Fair value of both available-for-sale and trading investment securities are generally obtained from third party pricing sources. When available, quoted market prices are used to determine fair value. If quoted market prices are not available, fair values are estimated using pricing models, where the inputs to those models are based on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14, “Fair Value of Financial Instruments,” for further discussion of fair value measures.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receivables are concentrated with our member firms, market data distributors, listed companies and market technology customers.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$3 million as of December 31, 2011 and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Positions, at Fair Value</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our clearing operations in the derivative markets with NASDAQ OMX Commodities and NASDAQ OMX Stockholm, we are the legal counterparty for each derivative position traded and thereby guarantee the fulfillment of each contract. We also act as the counterparty for certain trades on OTC derivative contracts. The derivatives are not used by NASDAQ OMX Commodities or NASDAQ OMX Stockholm for the purpose of trading on their own behalf. As the legal counterparty of each transaction, NASDAQ OMX Commodities and NASDAQ OMX Stockholm bear the counterparty risk between the purchaser and seller in the contract. The counterparty risks are measured using models that are agreed to with the Financial Supervisory Authority of the applicable country, which requires us to provide minimum guarantees and maintain certain levels of regulatory capital.</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structure and operations of NASDAQ OMX Commodities and NASDAQ OMX Stockholm differ from most other clearinghouses. NASDAQ OMX Commodities and NASDAQ OMX Stockholm are not member-owned organizations, do not maintain a guarantee fund to which members contribute and do not enforce loss sharing assessments amongst members. In addition, unlike most other clearinghouses, they do not record any margin deposits and guarantee funds in the Consolidated Balance Sheets, as all risks and rewards of collateral ownership, including interest, belongs to the counterparty. Market participants must provide collateral to cover the daily margin call as needed, which is in addition to the initial collateral placed when entering into the transaction. Acceptable collateral is cash and eligible securities in a pledged bank account and/or an on-demand guarantee. All collateral is maintained at a third-party custodian bank for the benefit of the clearing members and is accessible by NASDAQ OMX in the event of default. In addition, market participants must meet certain minimum financial standards to mitigate the risk if they become unable to satisfy their obligations. For NASDAQ OMX Commodities, trading on the contracts can take place up until the delivery period which can occur over a period of several years. For NASDAQ OMX Stockholm, following the completion of a transaction, settlement primarily takes place between parties by net cash settlement or with the exchange of securities and funds. For those transactions where there is an exchange of securities and funds, the transfer of ownership is registered and the securities are stored on the owner’s behalf.</w:t>
      </w:r>
    </w:p>
    <w:p>
      <w:pPr>
        <w:spacing w:after="0" w:line="114"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fair value of these derivative contracts with NASDAQ OMX Commodities and NASDAQ OMX Stockholm is reported gross in the Consolidated Balance Sheets as a receivable pertaining to the purchasing party and a payable pertaining to the selling party. Such receivables and payables attributable to outstanding derivative positions have been netted to the extent that such a legal offset right exists and, at the same time, that it is our intention to settle these items.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Proposed regulations, including the European Market Infrastructure Regulation, are expected to require CCPs to maintain a default fund to which clearing members of the CCP will have to contribute. In anticipation of these regulations, NASDAQ OMX Stockholm is currently preparing for the implementation of a member sponsored default fund with an expected launch date in March 2012. The level of regulatory capital will be determined in accordance with our regulatory capital policy, as approved by the SFSA. Clearing member contributions will be proportional to the exposures of each clearing member.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and Repurchase Agreements, at Contract Value</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our clearing operations in the resale and repurchase markets with NASDAQ OMX Stockholm, we are the legal counterparty for each resale and repurchase contract traded and thereby guarantee the fulfillment of each contract. We only clear these transactions once a bilateral contract between members has been entered into whereby the two members have agreed on all terms in the transaction. The resale and repurchase agreements are not used for financing purposes by NASDAQ OMX Stockholm. As the legal counterparty of each transaction, NASDAQ OMX Stockholm bears the counterparty risk between the purchaser and the seller in the resale and repurchase agreement.</w:t>
      </w:r>
    </w:p>
    <w:p>
      <w:pPr>
        <w:spacing w:after="0" w:line="1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structure and operations for the resale and repurchase market are similar to the derivative markets for NASDAQ OMX Commodities and NASDAQ OMX Stockholm. As discussed above in “Derivative Positions, at Fair Value,” NASDAQ OMX Commodities and NASDAQ OMX Stockholm are not member-owned organizations, do not maintain a guarantee fund to which members contribute and do not enforce loss sharing assessments amongst members. In addition, unlike most other clearinghouses, they do not record any margin deposits and guarantee funds in the Consolidated Balance Sheets, as all risks and rewards of collateral ownership, including interest, belong to the counterparty. For resale and repurchase agreements, collateral is not held by NASDAQ OMX Stockholm. All resale and repurchase clearing activities are transacted under our clearing member agreements that give us the right, in the event of default, to liquidate collateral pledged between the clearing members and to offset receivables and payables with the same counterparty.</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Pledged collateral, which is transferred through NASDAQ OMX Stockholm at initiation of the bilateral contract between the two clearing member counterparties, primarily consists of Swedish government debt securities. Market participants must meet certain minimum financial standards to mitigate the risk if they become unable to satisfy their obligations. In the event that one of the participants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participants to provide additional margin as needed, which is valued on a daily basis and is maintained at a third-party custodian bank for the benefit of the clearing members and is accessible by NASDAQ OMX Stockholm in the event of default.</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record resale and repurchase agreements at contract value plus interest gross in the Consolidated Balance Sheets as a receivable pertaining to the purchasing party and a payable pertaining to the selling party. Such receivables and payables attributable to outstanding resale and repurchase agreements have been netted to the extent that such a legal offset right exists and, at the same time, that it is our intention to settle these items.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 Activities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hold derivative financial instruments that are designated and qualified for hedge accounting. Derivative financial instruments, which are designated or qualify for hedge accounting, are recognized in the balance sheets at fair value as either assets or liabilities. The fair value of our derivative financial instruments is determined using either market quotes or valuation models that are based upon the net present value of estimated future cash flows and incorporate current market data inputs. We report our derivative assets in either other current assets or other non-current assets and our derivative liabilities in either other current liabilities or other non-current liabilities in the Consolidated Balance Sheets depending on the terms of the contract. Any ineffectiveness is recorded in earnings. The accounting for the change in the fair value of a derivative financial instrument depends on its intended use and the resulting hedge designation, if any. As of December 31, 2011 and 2010, there were no derivative financial instruments that were designated or qualified for hedge accounting. As of December 31, 2009, our derivative financial instruments which were designated and qualified for hedge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accounting were cash flow hedges of our floating rate debt. As such, the accounting for the change in fair value of the derivative was included in accumulated other comprehensive loss in the Consolidated Balance Sheets. In the first quarter of 2010, in connection with the repayment of our senior secured credit facilities in place as of December 31, 2009, we terminated our interest rate swaps and reclassified into earnings the unrealized loss of $9 million which was included in accumulated other comprehensive loss in the Consolidated Balance Sheets at December 31, 2009. This loss is included in general, administrative and other expense in the Consolidated Statements of Income for the year ended December 31, 2010. There was no material ineffectiveness recorded in earnings for each of the three years ended December 31, 2011. For further discussion of hedging activities, see below and Note 15, “Derivative Financial Instruments and Hedging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that Qualify for Hedge Accounting</w:t>
      </w:r>
    </w:p>
    <w:p>
      <w:pPr>
        <w:spacing w:after="0" w:line="7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Derivative financial instruments that are entered into for hedging purposes are designated as such when we enter into the contract. For all derivative financial instruments that are designated for hedging activities, we 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Derivatives</w:t>
      </w:r>
    </w:p>
    <w:p>
      <w:pPr>
        <w:spacing w:after="0" w:line="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also use derivatives as economic hedges that are not designed as accounting hedges or do not qualify for hedge accounting treatment. For derivative financial instruments that do not qualify for hedge accounting or are not designated as hedges, changes in fair value are reported in current period earnings. See Note 15, “Derivative Financial Instruments and Hedging Activities,”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using the straight-line method. See Note 6, “Property and Equipment, net,”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are required to test goodwill for impairment at the reporting unit level annually, or in interim periods if certain events occur indicating that the carrying amount may be impaired. We test for impairment during the fourth quarter of our fiscal year using carrying amounts as of October 1. In conducting the 2011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impairment test described in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conducting the initial qualitative assessment, we analyze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or any other potential risks to their projected financial results.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a discounted cash flow valuation, which incorporates assumptions regarding future growth rates, terminal values, and discount rates, as well as a guideline public company valuation, incorporating relevant trading multiples of comparable companies and other factors. The estimates and assumptions used consider historical performance and are consistent with the assumptions used in determining future profit plans for each reporting unit, which are approved by the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09"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There was no impairment of goodwill for the years ended December 31, 2011, 2010 and 2009. However, events such as economic weakness and unexpected significant declines in operating results of reporting units may result in goodwill impairment charges in the future. See Note 4, “Goodwill and Purchased Intangible Assets,”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 lives are amortized on a straight-line basis over their average estimated useful lives as follows:</w:t>
      </w:r>
    </w:p>
    <w:p>
      <w:pPr>
        <w:spacing w:after="0" w:line="37"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Technology: 3—10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4—10 years</w:t>
      </w:r>
    </w:p>
    <w:p>
      <w:pPr>
        <w:spacing w:after="0" w:line="1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testing, we test for impairment of indefinite-lived intangible assets during the fourth quarter of our fiscal year using carrying amounts as of October 1. If the carrying amount of the indefinite-lived intangible asset exceeds its fair value, an impairment charge is recorded for the difference. For finite-lived intangible assets subject to amortization, impairment is considered upon certain “triggering events” and is recognized if the carrying amount is not recoverable and exceeds the fair value of the intangible asset. There was no impairment of finite-lived or indefinite-lived intangible assets in the years ended December 31, 2011, 2010 and 2009. See Note 4, “Goodwill and Purchased Intangible Assets,”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also assess potential impairments to our other long-lived assets, including property and equipment,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amount of the related asset and a charge to operating results. We recorded asset impairment charges, primarily related to obsolete technology, of $2 million in 2010 and $13 million in 2009. These charges were recorded in general, administrative and other expense in the Consolidated Statements of Income. There was no impairment of other long-lived assets in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 In December 2009, we recorded impairment losses on equity method investments of $87 million related to our investments in NASDAQ Dubai and Agora-X. We also recognized a $19 million loss on the sale of our Orc shares during 2009. See Note 5, “Investments,” for further discussion. No other impairments of equity method investments were recorded in 2011, 2010 or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The NASDAQ Stock Market, NASDAQ OMX BX, and NASDAQ OMX PSX as well as on orders that are routed to other market venues for execution.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we record execution revenues from transactions on a gross basis in revenues and record related expenses as cost of revenues.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our Limitation of Liability Rule and procedures, we,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 The Limitation of Liability Rule and procedures apply to both U.S. cash equity and U.S. derivative trading in the aggregate.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These transaction fees are charged per executed order and as per value traded.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transaction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U.S. derivative trading and clearing revenues are variable, based on traded and cleared volumes, and recognized when executed or when contracts are cleared. The principal types of derivative contracts traded on NASDAQ OMX PHLX and The NASDAQ Options Market are equity options, ETF options, index options and currency options. We also operate NFX, which offers trading for foreign currency futures. Similar to U.S. cash equity trading, we record derivative trading and clearing revenues from transactions on a gross basis in revenues and record related expenses as cost of revenues, as we have certain risk associated with trade execution. For further discussion see “U.S. Cash Equity Trading” above.</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discussed under U.S. cash equity trading, for U.S. derivative trading and clearing, we also credit a portion of the per share execution charge to the market participant that provides the liquidity and record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transaction rebate as U.S. derivative trading and clearing cost of revenues in the Consolidated Statements of Income. These transaction rebates are paid on a monthly basis and the amounts due are included in accounts payable and accrued expenses in the Consolidated Balance Sheets.</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derivative trading and clearing fees. We collect the fees as a pass-through charge from organizations executing eligible trades on NASDAQ OMX PHLX and The NASDAQ Options Market platforms and we recognize these amounts in U.S. derivative trading and clearing cost of revenues when incurred.</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Through NOCC, we engage in riskless principal trading of OTC power and gas contracts. Revenues are based on notional amounts or volume of power and gas transacted and/or delivered and are recognized upon settlement of the contracts.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discussed above, in the U.S., our Limitation of Liability Rule and procedures apply to both U.S. cash equity and U.S. derivative trading and clearing in the aggregate. Under this rule, we, subject to certain caps, provide compensation for losses directly resulting from the systems’ actual failure to correctly process an order, quote, message or other data into our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European derivative trading and clearing revenues are also variable, based on the volume and value of traded and cleared contracts, and recognized when executed or when contracts are cleared. Derivative trading and clearing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3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18"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European derivative trading and clearing revenues also include clearing revenues for commodities. NASDAQ OMX Commodities offers trading and clearing of international power derivatives and carbon products. Our trading and clearing revenues are variable, based on cleared volume, and recognized when contracts are traded or cleared. We also generate clearing revenues for contracts traded on the OTC derivative market which are also recognized when contracts are cleared. In addition, NASDAQ OMX Commodities members are billed an annual fee which is recognized ratably over the following 12-month period.</w:t>
      </w:r>
    </w:p>
    <w:p>
      <w:pPr>
        <w:spacing w:after="0" w:line="8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 and are recognized when an arrangement exists, services are delivered to the customer, the selling price of the services to be provided under the arrangement is fixed or determinable, and collectability is reasonably assured. Most contracts include professional services, implementation fees, monthly subscription fees from customers accessing on-demand services, and customer support. Implementation fees are recorded to deferred revenue when billed and are recognized ratably over the remaining expected customer life. Monthly professional services, subscription, and usage fees are recognized in the month the service is provided.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Revenues from U.S. tape plans include eligible UTP Plan revenues that are shared among UTP Plan participants and are presented on a net basis. See “Market Data Revenue Sharing” below for further discussion of net reporting.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 Revenues from net U.S. tape plans are recognized on a monthly basis.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own market data as well as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European Market Data revenues are based on the trading information from the exchanges that comprise NASDAQ OMX Nordic and NASDAQ OMX Baltic, as well as NASDAQ OMX Commodities, for four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Revenue Sharing</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most significant component of Market Data revenues presented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20" w:hanging="326"/>
        <w:spacing w:after="0" w:line="306"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market data revenue sharing agreements or cost of revenues, such as transaction rebates and brokerage, clearance and exchange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consist of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November 2009, we sold our Broker Services operations in the United Kingdom to TD Waterhouse.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listed companies on our Nordic and Baltic exchanges and NASDAQ OMX First North, are directly related to the listed companies’ market capitalization on a trailing 12-month basis. These revenues are recognized ratably over the following 12-month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Solutions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Global Listing Services revenues also include fees from Corporate Solutions. Revenues primarily include subscription income from Shareholder.com, Directors Desk and Glide Technologies, and fees from GlobeNewswire. Prior to October 2009, Corporate Solutions revenues also included commission income from our Carpenter Moore insurance agency business.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Fee income for services other than placement of insurance coverage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Glide Technologies revenues are primarily based on subscription agreements with customers and are recognized ratably over the contract period, generally one year in length.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 Broker commission adjustments and commissions on premiums billed directly by underwriters were recognized when such amounts could be reasonably estimated.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Market Technology provides technology solutions for trading, clearing, settlement and information dissemination, and also offers facility management integration, surveillance solutions and advisory services. Revenues are derived primarily from license, support and facility management revenues, delivery project revenues, as well as change request, advisory and broker surveillance revenues.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and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present both basic and diluted EPS. Basic EPS is computed by dividing net income attributable to NASDAQ OMX adjusted for accretion on our series A convertible preferred stock by the weighted average number of common shares outstanding for the period. Diluted EPS is computed by dividing net income attributable to NASDAQ OMX adjusted for accretion on our series A convertible preferred stock and the interest impact of our 3.75% convertible notes, net of tax by the weighted-average number of common shares and common share equivalents outstanding during the period and reflects the assumed conversion of all dilutive securities which consist primarily of convertible notes,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13, “Earnings Per Common Share,”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Accounting for share-based compensation requires the measurement and recognition of compensation expense for all equity awards based on estimated fair values. We recognize compensation expense for equity awards on a straight-line basis over the requisite service period of the award. See Note 11, “Share-Based Compensation,”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$7 million in 2011, $9 million in 2010 and $5 million for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 We develop systems solutions for both internal and external use.</w:t>
      </w:r>
    </w:p>
    <w:p>
      <w:pPr>
        <w:spacing w:after="0" w:line="12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16, “Leases,” for further discussion.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use the asset and liability method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9"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ASC Topic 820</w:t>
      </w:r>
      <w:r>
        <w:rPr>
          <w:rFonts w:ascii="Arial" w:cs="Arial" w:eastAsia="Arial" w:hAnsi="Arial"/>
          <w:sz w:val="18"/>
          <w:szCs w:val="18"/>
          <w:color w:val="auto"/>
        </w:rPr>
        <w:t>—In January 2010, the FASB issued amended guidance relating to ASC Topic 820. The amended guidance requires new disclosures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37"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related to transfers in and out of Levels 1 and 2 shall be disclosed separately and the reasons for the transfers shall be described.</w:t>
      </w:r>
    </w:p>
    <w:p>
      <w:pPr>
        <w:spacing w:after="0" w:line="126" w:lineRule="exact"/>
        <w:rPr>
          <w:rFonts w:ascii="Arial" w:cs="Arial" w:eastAsia="Arial" w:hAnsi="Arial"/>
          <w:sz w:val="16"/>
          <w:szCs w:val="16"/>
          <w:color w:val="auto"/>
        </w:rPr>
      </w:pPr>
    </w:p>
    <w:p>
      <w:pPr>
        <w:ind w:left="780" w:right="70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reconciliation for fair value measurements using significant unobservable inputs (Level 3), a reporting entity should present separately information about purchases, sales, issuances, and settlements on a gross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guidance also provides amendments that clarify existing disclosures related to the following:</w:t>
      </w:r>
    </w:p>
    <w:p>
      <w:pPr>
        <w:spacing w:after="0" w:line="77"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Reporting fair value measurement disclosures for each class of assets and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Providing disclosure surrounding the valuation techniques and inputs used to measure fair value for both Level 2 and Level 3 fair value measurements.</w:t>
      </w:r>
    </w:p>
    <w:p>
      <w:pPr>
        <w:spacing w:after="0" w:line="21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accounting guidance was effective for us beginning on January 1, 2010, except for the disclosure requirements surrounding the reconciliation of Level 3 fair value measurements, which were effective for us on January 1, 2011. Since this guidance only requires additional disclosure, it did not affect our financial position or results of operations.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ASC Topic 220</w:t>
      </w:r>
      <w:r>
        <w:rPr>
          <w:rFonts w:ascii="Arial" w:cs="Arial" w:eastAsia="Arial" w:hAnsi="Arial"/>
          <w:sz w:val="16"/>
          <w:szCs w:val="16"/>
          <w:color w:val="auto"/>
        </w:rPr>
        <w:t>—In June 2011, the FASB issued amended guidance relating to ASC Topic 220, which eliminates the option to present the components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comprehensive income as part of the statement of equity. Instead, the amended guidance requires entities to report components of comprehensive income in either a single continuous statement of comprehensive income containing two sections, net income and other comprehensive income, or in two separate but consecutive statements. This accounting guidance is effective for us on January 1, 2012 with early adoption permitted. We adopted this guidance as of June 30, 2011 and present two separate but consecutive statements presenting the components of comprehensive income. Since this guidance only required a change in the format of the presentation of comprehensive income, it did not affect our financial position or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ASC Topic 350</w:t>
      </w:r>
      <w:r>
        <w:rPr>
          <w:rFonts w:ascii="Arial" w:cs="Arial" w:eastAsia="Arial" w:hAnsi="Arial"/>
          <w:sz w:val="16"/>
          <w:szCs w:val="16"/>
          <w:color w:val="auto"/>
        </w:rPr>
        <w:t>—In September 2011, the FASB issued amended guidance relating to ASC Topic 350, which affects all entities that have goodwill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financial statements. The amended guidance permits an entity to first assess qualitative factors to determine whether it is more likely than not that the fair value of a reporting unit is less than the carrying amount as a basis for determining whether it is necessary to perform the two-step quantitative goodwill impairment test described in ASC Topic 350. The more-likely-than-not threshold is defined as having a likelihood of more than 50 percent. If, after assessing the totality of events or circumstances, an entity determines that it is more likely than not that the fair value of a reporting unit exceeds its carrying amount, then performing the two-step impairment test is unnecessary. This accounting guidance is effective for us on January 1, 2012 with early adoption permitted. We adopted this guidance as of September 30, 2011 and used the qualitative assessment option for our annual goodwill impairment test performed for fiscal 2011. The testing procedures and results are described under “Goodwill” above. Since this guidance only changed the manner in which we assess goodwill for impairment, it did not affect our financial position or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Strategic Initiative</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completed the following acquisitions and strategic initiative in 2011, 2010 and 2009. Financial results of each transaction are included in our Consolidated Statements of Income from the dates of each acquisition or strategic initiative.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Acquisitions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acquisition during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Purchase</w:t>
            </w:r>
          </w:p>
        </w:tc>
        <w:tc>
          <w:tcPr>
            <w:tcW w:w="48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840" w:type="dxa"/>
            <w:vAlign w:val="bottom"/>
          </w:tcPr>
          <w:p>
            <w:pPr>
              <w:jc w:val="right"/>
              <w:ind w:right="122"/>
              <w:spacing w:after="0"/>
              <w:rPr>
                <w:sz w:val="20"/>
                <w:szCs w:val="20"/>
                <w:color w:val="auto"/>
              </w:rPr>
            </w:pPr>
            <w:r>
              <w:rPr>
                <w:rFonts w:ascii="Arial" w:cs="Arial" w:eastAsia="Arial" w:hAnsi="Arial"/>
                <w:sz w:val="14"/>
                <w:szCs w:val="14"/>
                <w:b w:val="1"/>
                <w:bCs w:val="1"/>
                <w:color w:val="auto"/>
                <w:w w:val="86"/>
              </w:rPr>
              <w:t>Purchased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Acquired</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9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Glide Technologies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October 2011, we acquired Glide Technologies, a London-based service provider specializing in corporate communications and reputation management solutions, for $22 million. We acquired net liabilities, at fair value, totaling $1 million and recorded a non-current deferred tax liability of $1 million related to purchased intangible assets, resulting in total net liabilities acquired of $2 million. The purchased intangible assets totaling $4 million consisted of technology and customer relationships. Glide Technologies is part of our Global Corporate Solutions business within our Issuer Services segment.</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amounts in the table above represent the preliminary allocation of the purchase price and are subject to revision during the remainder of the measurement period, a period not to exceed 12 months from the acquisition date. Adjustments to the provisional values during the measurement period will be pushed back to the date of acquisition. Comparative information for periods after acquisition but before the period in which the adjustments are identified will be adjusted to reflect the effects of the adjustments as if they were taken into account as of the acquisition date. Changes to amounts recorded as assets and liabilities may result in a corresponding adjustment to goodwill. There were no adjustments to the provisional values for Glide Technologies during the year ended December 31,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Business of RapiData</w:t>
      </w:r>
    </w:p>
    <w:p>
      <w:pPr>
        <w:spacing w:after="0" w:line="7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December 2011, we acquired the business of RapiData, a leading provider of machine-readable economic news to trading firms and financial institutions, for an immaterial amount. With this acquisition, we will deliver U.S. government and other economic news directly from the source to customers interested in receiving information in an electronic feed. This service is part of our Market Data business within our Market Services segment.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Acquisitions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acquisitions during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w w:val="85"/>
              </w:rPr>
              <w:t>Purchase</w:t>
            </w:r>
          </w:p>
        </w:tc>
        <w:tc>
          <w:tcPr>
            <w:tcW w:w="90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Purchased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Consideration</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5"/>
              </w:rPr>
              <w:t>Assets Acquired</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Intangible Assets</w:t>
            </w:r>
          </w:p>
        </w:tc>
        <w:tc>
          <w:tcPr>
            <w:tcW w:w="9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FTEN</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SMARTS</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Nord Pool ASA</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40"/>
              <w:spacing w:after="0"/>
              <w:rPr>
                <w:sz w:val="20"/>
                <w:szCs w:val="20"/>
                <w:color w:val="auto"/>
              </w:rPr>
            </w:pPr>
            <w:r>
              <w:rPr>
                <w:rFonts w:ascii="Arial" w:cs="Arial" w:eastAsia="Arial" w:hAnsi="Arial"/>
                <w:sz w:val="18"/>
                <w:szCs w:val="18"/>
                <w:color w:val="auto"/>
              </w:rPr>
              <w:t>Total for 2010</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9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60" w:hanging="452"/>
        <w:spacing w:after="0" w:line="274" w:lineRule="auto"/>
        <w:tabs>
          <w:tab w:leader="none" w:pos="46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In December 2010, we acquired FTEN, a leading provider of RTRM solutions for the financial securities market, for $110 million. FTEN purchase consideration included $11 million held in escrow to be paid in 2012, in accordance with the purchase agreement. We acquired net assets, at fair value, totaling $3 million and recorded a current deferred tax liability of $2 million and a non-current deferred tax liability of $16 million related to purchased intangible assets, and we also recorded a non-current deferred tax asset of $14 million related to net operating loss carry forwards, resulting in total net liabilities acquired of $1 million. The total deferred tax liabilities of $18 million represent the tax effect of the difference between the estimated assigned fair value of the acquired intangible assets ($46 million) and the tax basis ($0) of such assets. The estimated amount of $18 million is determined by multiplying the difference of $46 million by FTEN’s effective tax rate of 39.55%. The purchased intangible assets of $46 million consisted of $23 million in customer relationships, $12 million in technology, $9 million for the FTEN trade name and $2 million related to non-compete agreements.</w:t>
      </w:r>
    </w:p>
    <w:p>
      <w:pPr>
        <w:spacing w:after="0" w:line="2" w:lineRule="exact"/>
        <w:rPr>
          <w:rFonts w:ascii="Arial" w:cs="Arial" w:eastAsia="Arial" w:hAnsi="Arial"/>
          <w:sz w:val="20"/>
          <w:szCs w:val="20"/>
          <w:color w:val="auto"/>
          <w:vertAlign w:val="superscript"/>
        </w:rPr>
      </w:pPr>
    </w:p>
    <w:p>
      <w:pPr>
        <w:ind w:left="460" w:hanging="452"/>
        <w:spacing w:after="0" w:line="258" w:lineRule="auto"/>
        <w:tabs>
          <w:tab w:leader="none" w:pos="460"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In August 2010, we acquired SMARTS, a leading technology provider of surveillance solutions to exchanges, regulators and brokers, to diversify our Market Technology business and enter the broker surveillance and compliance market. We completed our acquisition of SMARTS for $77 million, which included a $75 million initial purchase price as well as a $2 million working capital adjustment. SMARTS purchase consideration also included $11 million held in escrow to be paid in 2012 and 2013, in accordance with the purchase agreement. We acquired net assets, at fair value, totaling $3 million and recorded a current deferred tax liability of $1 million and a non-current deferred tax liability of $7 million related to purchased intangible assets, resulting in total net liabilities acquired of $5 million. The total deferred tax liabilities of $8 million represent the tax effect of the difference between the estimated assigned fair value of the acquired intangible assets ($28 million) and the tax basis ($0) of such assets. The estimated amount of $8 million is determined by multiplying the difference of $28 million by SMARTS’ effective tax rate of 30%. The purchased intangible assets of $28 million consisted of $11 million in technology and $17 million in customer relationships.</w:t>
      </w:r>
    </w:p>
    <w:p>
      <w:pPr>
        <w:spacing w:after="0" w:line="4" w:lineRule="exact"/>
        <w:rPr>
          <w:rFonts w:ascii="Arial" w:cs="Arial" w:eastAsia="Arial" w:hAnsi="Arial"/>
          <w:sz w:val="21"/>
          <w:szCs w:val="21"/>
          <w:color w:val="auto"/>
          <w:vertAlign w:val="superscript"/>
        </w:rPr>
      </w:pPr>
    </w:p>
    <w:p>
      <w:pPr>
        <w:ind w:left="460" w:right="20" w:hanging="452"/>
        <w:spacing w:after="0" w:line="237" w:lineRule="auto"/>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In May 2010, we acquired Nord Pool, a derivatives trading market, for $17 million (101 million Norwegian Krone). We acquired net assets, at fair value, totaling $8 million and recorded a non-current deferred tax liability of $1 million related to purchased intangible assets, resulting in total net assets acquired of $7 million. Through this acquisition, we now hold a Norwegian exchange license and operate the Nordic power market and the European carbon market on one trading platform.</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finalized the allocation of the purchase price for FTEN in the fourth quarter of 2011, SMARTS in the third quarter of 2011, and Nord Pool in the second quarter of 2011. There were no adjustments to the provisional values for these acquisitions during the year ended December 31,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ZVM</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December 2010, we acquired ZVM, a provider of webcasting and investor relation communication services for companies in the Nordic region, for an immaterial amount. ZVM, which is the leading provider of webcasting services in Northern Europe, adds to the growing range of capabilities and services NASDAQ OMX offers public and private companies in the U.S. and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Assets of North American Energy Credit and Clearing Corp.</w:t>
      </w:r>
    </w:p>
    <w:p>
      <w:pPr>
        <w:spacing w:after="0" w:line="77"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In March 2010, we purchased the assets of North American Energy Credit and Clearing Corp. for an immaterial amount. With this purchase, NASDAQ OMX expanded its presence in the OTC energy commodity markets. As previously discussed, the acquisition of these assets was effected through NOCC. In March 2010, we also provided cash of $25 million to NOCC to improve its liquidity position. As of December 31, 2011 and 2010, this amount is classified as non-current restricted cash in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Strategic Initiative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European Multilateral Clearing Facility N.V.</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2009, we acquired a 22% stake in EMCF, a leading European clearinghouse, which is accounted for under the equity method of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and Acquisition-related Costs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consolidated financial statements for the years ended December 31, 2011, 2010 and 2009 include the financial results of the above 2011, 2010 and 2009 acquisitions and strategic initiative from the date of each acquisition or strategic initiative. Pro forma financial results for the acquisitions completed in 2011 and 2010 and the strategic initiative completed in 2009 have not been presented since these acquisitions and the strategic initiative both individually and in the aggregate were not material to our financial results.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Acquisition-related costs for the transactions described above were expensed as incurred and are included in merger and strategic initiatives expense in the Consolidated Statements of Income.</w:t>
      </w:r>
    </w:p>
    <w:p>
      <w:pPr>
        <w:spacing w:after="0" w:line="112" w:lineRule="exact"/>
        <w:rPr>
          <w:sz w:val="20"/>
          <w:szCs w:val="20"/>
          <w:color w:val="auto"/>
        </w:rPr>
      </w:pPr>
    </w:p>
    <w:p>
      <w:pPr>
        <w:ind w:right="8060" w:firstLine="8"/>
        <w:spacing w:after="0" w:line="332" w:lineRule="auto"/>
        <w:tabs>
          <w:tab w:leader="none" w:pos="176"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Market</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Issuer</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Market</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9"/>
              </w:rPr>
              <w:t>Services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Technology</w:t>
            </w:r>
          </w:p>
        </w:tc>
        <w:tc>
          <w:tcPr>
            <w:tcW w:w="2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9"/>
              </w:rPr>
              <w:t>292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Goodwill acquired</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Balance at December 31, 2011</w:t>
            </w: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4,602</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306</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5540" w:right="1680" w:hanging="5083"/>
        <w:spacing w:after="0" w:line="440" w:lineRule="auto"/>
        <w:rPr>
          <w:sz w:val="20"/>
          <w:szCs w:val="20"/>
          <w:color w:val="auto"/>
        </w:rPr>
      </w:pPr>
      <w:r>
        <w:rPr>
          <w:rFonts w:ascii="Arial" w:cs="Arial" w:eastAsia="Arial" w:hAnsi="Arial"/>
          <w:sz w:val="18"/>
          <w:szCs w:val="18"/>
          <w:color w:val="auto"/>
        </w:rPr>
        <w:t>As of December 31, 2011, the amount of goodwill that is expected to be deductible for tax purposes in future periods is $96 million. F-33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goodwill acquired for Issuer Services shown above relates to our acquisition of Glide Technologies in October 2011. See Note 3, “Acquisitions and Strategic Initiatives,”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indefinite-lived: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85"/>
              </w:rPr>
              <w:t>December 31, 2011</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3"/>
              </w:rPr>
              <w:t>December 31, 2010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ind w:left="85"/>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85"/>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Useful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Net</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Life (in</w:t>
            </w: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Life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left="195"/>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420"/>
              <w:spacing w:after="0"/>
              <w:rPr>
                <w:sz w:val="20"/>
                <w:szCs w:val="20"/>
                <w:color w:val="auto"/>
              </w:rPr>
            </w:pPr>
            <w:r>
              <w:rPr>
                <w:rFonts w:ascii="Arial" w:cs="Arial" w:eastAsia="Arial" w:hAnsi="Arial"/>
                <w:sz w:val="18"/>
                <w:szCs w:val="18"/>
                <w:color w:val="auto"/>
              </w:rPr>
              <w:t>Total finite-lived intangible assets</w:t>
            </w: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673</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Licenses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1,852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1,648</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Amortization expense for purchased finite-lived intangible assets was $55 million for the year ended December 31, 2011 and $57 million for the years ended December 31, 2010 and 2009. The decrease in amortization expense in 2011 compared to 2010 was primarily due to a developed technology intangible asset purchased in connection with our acquisition of OMX AB in 2008 being fully amortized in February 2011, partially offset by intangible asset amortization expense on identifiable finite-lived intangible assets purchased in connection with the acquisitions of SMARTS and FTEN as well as certain subsidiaries of Nord Pool from the date of each acquisition.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estimated future amortization expense (excluding the impact of foreign currency translation adjustments of $21 million as of December 31, 2011) of purchased finite-lived intangible assets as of December 31, 2011 is as follows: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860" w:type="dxa"/>
            <w:vAlign w:val="bottom"/>
            <w:gridSpan w:val="4"/>
          </w:tcPr>
          <w:p>
            <w:pPr>
              <w:ind w:left="4060"/>
              <w:spacing w:after="0"/>
              <w:rPr>
                <w:sz w:val="20"/>
                <w:szCs w:val="20"/>
                <w:color w:val="auto"/>
              </w:rPr>
            </w:pPr>
            <w:r>
              <w:rPr>
                <w:rFonts w:ascii="Arial" w:cs="Arial" w:eastAsia="Arial" w:hAnsi="Arial"/>
                <w:sz w:val="14"/>
                <w:szCs w:val="14"/>
                <w:b w:val="1"/>
                <w:bCs w:val="1"/>
                <w:color w:val="auto"/>
                <w:w w:val="99"/>
              </w:rPr>
              <w:t>(in millions)</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2013</w:t>
            </w: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2015</w:t>
            </w: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2017 and thereafter</w:t>
            </w:r>
          </w:p>
        </w:tc>
        <w:tc>
          <w:tcPr>
            <w:tcW w:w="4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00" w:firstLine="8"/>
        <w:spacing w:after="0" w:line="398" w:lineRule="auto"/>
        <w:tabs>
          <w:tab w:leader="none" w:pos="176"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Trading Securities</w:t>
      </w:r>
    </w:p>
    <w:p>
      <w:pPr>
        <w:spacing w:after="0" w:line="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Trading securities, which are included in financial investments, at fair value in the Consolidated Balance Sheets, were $261 million as of December 31, 2011 and $220 million as of December 31, 2010. These securities are primarily comprised of Swedish government debt securities, of which $212 million as of December 31, 2011 and $190 million as of December 31, 2010, are restricted assets to meet regulatory capital requirements primarily for NASDAQ OMX Stockholm’s clearing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Investment Security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DFM</w:t>
      </w:r>
    </w:p>
    <w:p>
      <w:pPr>
        <w:spacing w:after="0" w:line="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Our available-for-sale investment security, which is included in financial investments, at fair value in the Consolidated Balance Sheets, represents our investment in DFM. In May 2010, we completed the exchange of our equity interest in NASDAQ Dubai for a 1% investment in DFM. See “Investment in NASDAQ Dubai” below for further discussion.</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2011, the cost basis of this investment security was $36 million and the fair value was $18 million. We reviewed the carrying amount of this investment security to determine whether an other-than-temporary decline in value existed as of December 31, 2011. We considered factors affecting the investee, factors affecting the industry the investee operates in and general market trends. We also considered the length of time the market value has been below the carrying amount and the near-term prospects for recovery of unrealized losses. Based on this review, we determined that the decline in value of this security below its carrying amount was other than temporary and we wrote down our investment to fair value resulting in an $18 million pre-tax, non-cash impairment charge, which is included in asset impairment charge in the Consolidated Statements of Income for the year ended December 31, 2011. As of December 31, 2010, the cost basis of this security was $36 million and the fair value was $33 million. The gross change of $3 million between the cost basis and fair value was reflected as an unrealized holding loss in accumulated other comprehensive loss in the Consolidated Balance Sheets, net of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general, the equity method of accounting is used when we own 20% to 50% of the outstanding voting stock and when we are able to exercise significant influence over the operating and financial policies of a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Equity interest in our equity method investments was $27 million as of December 31, 2011 and December 31, 2010, which consisted primarily of our equity interest in EMCF, a leading European clearinghouse in which we own a 22% equity stake. Equity method investments are included in other non-current assets in the Consolidated Balance Sheets.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(loss) recognized from our equity interest in the earnings and losses of these companies was a net gain of $2 million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and December 31, 2010, and a net loss of $107 million for the year ended December 31, 2009. The net loss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was primarily due to impairment charges relating to NASDAQ Dubai and Agora-X and the sale of our investment in Orc. See “Investment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Dubai,” “Impairment of Agora-X,” and “Investment in Orc Software,” below for further discussion.</w:t>
      </w:r>
    </w:p>
    <w:p>
      <w:pPr>
        <w:spacing w:after="0" w:line="1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Income (loss) recognized from our equity method investments is included in income (loss) from unconsolidated investees, net in the Consolidated Statements of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NASDAQ Dubai</w:t>
      </w:r>
    </w:p>
    <w:p>
      <w:pPr>
        <w:spacing w:after="0" w:line="77"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In May 2010, we participated in the realignment of the ownership structure of NASDAQ Dubai, in which NASDAQ Dubai became a wholly-owned subsidiary of DFM, a publicly traded company controlled by Borse Dubai. We received a 1% equity interest in DFM in exchange for our equity interest in NASDAQ Dubai. Our existing technology and trademark licensing arrangements with Borse Dubai and NASDAQ Dubai remain unchanged.</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realignment of the ownership structure discussed above, a third-party specialist determined the fair value of NASDAQ Dubai. Based on this valuation, we determined our carrying value of NASDAQ Dubai was no longer recoverable and was in fact impaired, and we wrote down our investment to fair value which resulted in an $82 million pre-tax, non-cash impairment charge for the year ended December 31, 2009.</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the time of the realignment in May 2010, we recorded a pre-tax, non cash loss of $1 million in income (loss) from unconsolidated investees, net in the Consolidated Statements of Income, which was based on the difference between the price of DFM common stock multiplied by the number of shares of DFM acquired and the carrying value of our investment in NASDAQ Dubai at the time of the exchange.</w:t>
      </w:r>
    </w:p>
    <w:p>
      <w:pPr>
        <w:spacing w:after="0" w:line="127" w:lineRule="exact"/>
        <w:rPr>
          <w:sz w:val="20"/>
          <w:szCs w:val="20"/>
          <w:color w:val="auto"/>
        </w:rPr>
      </w:pPr>
    </w:p>
    <w:p>
      <w:pPr>
        <w:ind w:right="420" w:firstLine="456"/>
        <w:spacing w:after="0" w:line="375" w:lineRule="auto"/>
        <w:rPr>
          <w:sz w:val="20"/>
          <w:szCs w:val="20"/>
          <w:color w:val="auto"/>
        </w:rPr>
      </w:pPr>
      <w:r>
        <w:rPr>
          <w:rFonts w:ascii="Arial" w:cs="Arial" w:eastAsia="Arial" w:hAnsi="Arial"/>
          <w:sz w:val="18"/>
          <w:szCs w:val="18"/>
          <w:color w:val="auto"/>
        </w:rPr>
        <w:t xml:space="preserve">NASDAQ Dubai and DFM are related parties, as both of them are primarily owned by Borse Dubai, our largest stockholder as of December 31, 2011. </w:t>
      </w:r>
      <w:r>
        <w:rPr>
          <w:rFonts w:ascii="Arial" w:cs="Arial" w:eastAsia="Arial" w:hAnsi="Arial"/>
          <w:sz w:val="18"/>
          <w:szCs w:val="18"/>
          <w:b w:val="1"/>
          <w:bCs w:val="1"/>
          <w:i w:val="1"/>
          <w:iCs w:val="1"/>
          <w:color w:val="auto"/>
        </w:rPr>
        <w:t>Impairment of Agora-X</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2009, we entered into an agreement to increase our investment in Agora-X from 20% to 85%. At that time, in evaluating the fair value of the total investment, it was determined that our carrying value of Agora-X was no longer recoverable and was in fact impaired, and we wrote down our investment to fair value which resulted in a pre-tax, non-cash impairment charge of $5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Orc Software</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2009, we sold shares representing 25.25% of the share capital of Orc to a group of Swedish and other international investors for $54 million in cash. As a result of the sale, we recognized a $19 million loss, which includes costs directly related to the sale, primarily broker fees. The loss is included in income (loss) from unconsolidated investees, net in the Consolidated Statements of Income for the year ended December 31,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9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9940" w:type="dxa"/>
            <w:vAlign w:val="bottom"/>
          </w:tcPr>
          <w:p>
            <w:pPr>
              <w:spacing w:after="0"/>
              <w:rPr>
                <w:sz w:val="12"/>
                <w:szCs w:val="12"/>
                <w:color w:val="auto"/>
              </w:rPr>
            </w:pPr>
          </w:p>
        </w:tc>
        <w:tc>
          <w:tcPr>
            <w:tcW w:w="138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$ 392</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$ 348</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r>
      <w:tr>
        <w:trPr>
          <w:trHeight w:val="216"/>
        </w:trPr>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(392)</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(364)</w:t>
            </w:r>
          </w:p>
        </w:tc>
      </w:tr>
      <w:tr>
        <w:trPr>
          <w:trHeight w:val="27"/>
        </w:trPr>
        <w:tc>
          <w:tcPr>
            <w:tcW w:w="9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$ 193</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$ 164</w:t>
            </w:r>
          </w:p>
        </w:tc>
      </w:tr>
      <w:tr>
        <w:trPr>
          <w:trHeight w:val="20"/>
        </w:trPr>
        <w:tc>
          <w:tcPr>
            <w:tcW w:w="9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Depreciation and amortization expense for property and equipment was $54 million for the year ended December 31, 2011, $46 million for the year ended December 31, 2010 and $47 million for the year ended December 31, 2009. The increase in depreciation and amortization expense in 2011 compared to 2010 is primarily due to depreciation on assets placed into service in 2011 related to data processing equipment and software, partially offset by assets being fully depreciated in 2011. These amounts are included in depreciation and amortization expense in the Consolidated Statements of Income.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and 2010, we do not own any real estate properties.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Deferred revenue represents cash payments received that are yet to be recognized as revenue. At December 31, 2011, we have estimated that our deferred revenue, which is primarily related to Global Listing Services and Market Technology revenues, will be recognized in the following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Initial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8"/>
              </w:rPr>
              <w:t>Listing of</w:t>
            </w:r>
          </w:p>
        </w:tc>
        <w:tc>
          <w:tcPr>
            <w:tcW w:w="840" w:type="dxa"/>
            <w:vAlign w:val="bottom"/>
          </w:tcPr>
          <w:p>
            <w:pPr>
              <w:ind w:left="340"/>
              <w:spacing w:after="0"/>
              <w:rPr>
                <w:sz w:val="20"/>
                <w:szCs w:val="20"/>
                <w:color w:val="auto"/>
              </w:rPr>
            </w:pPr>
            <w:r>
              <w:rPr>
                <w:rFonts w:ascii="Arial" w:cs="Arial" w:eastAsia="Arial" w:hAnsi="Arial"/>
                <w:sz w:val="14"/>
                <w:szCs w:val="14"/>
                <w:b w:val="1"/>
                <w:bCs w:val="1"/>
                <w:color w:val="auto"/>
              </w:rPr>
              <w:t>Annual</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45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Listing</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right"/>
              <w:ind w:right="94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6"/>
              </w:rPr>
              <w:t>Renewal and Other</w:t>
            </w:r>
          </w:p>
        </w:tc>
        <w:tc>
          <w:tcPr>
            <w:tcW w:w="7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Technology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456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1"/>
              </w:rPr>
              <w:t>Revenues</w:t>
            </w:r>
          </w:p>
        </w:tc>
        <w:tc>
          <w:tcPr>
            <w:tcW w:w="74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Shares Revenues</w:t>
            </w: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Revenues</w:t>
            </w:r>
            <w:r>
              <w:rPr>
                <w:rFonts w:ascii="Arial" w:cs="Arial" w:eastAsia="Arial" w:hAnsi="Arial"/>
                <w:sz w:val="20"/>
                <w:szCs w:val="20"/>
                <w:b w:val="1"/>
                <w:bCs w:val="1"/>
                <w:color w:val="auto"/>
                <w:vertAlign w:val="superscript"/>
              </w:rPr>
              <w:t>(1)</w:t>
            </w:r>
          </w:p>
        </w:tc>
        <w:tc>
          <w:tcPr>
            <w:tcW w:w="5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25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86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25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278</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960" w:hanging="452"/>
        <w:spacing w:after="0" w:line="272" w:lineRule="auto"/>
        <w:tabs>
          <w:tab w:leader="none" w:pos="46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The timing of recognition of our deferred Market Technology revenues is dependent upon the completion of customization and any significant modifications made pursuant to existing contracts. As such, as it relates to these revenues, the timing represents our best estimate.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our deferred revenue during the years ended December 31, 2011 and 2010 are reflected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Initial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Listing of</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Annual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gridSpan w:val="3"/>
          </w:tcPr>
          <w:p>
            <w:pPr>
              <w:jc w:val="right"/>
              <w:ind w:right="480"/>
              <w:spacing w:after="0" w:line="135" w:lineRule="exact"/>
              <w:rPr>
                <w:sz w:val="20"/>
                <w:szCs w:val="20"/>
                <w:color w:val="auto"/>
              </w:rPr>
            </w:pPr>
            <w:r>
              <w:rPr>
                <w:rFonts w:ascii="Arial" w:cs="Arial" w:eastAsia="Arial" w:hAnsi="Arial"/>
                <w:sz w:val="14"/>
                <w:szCs w:val="14"/>
                <w:b w:val="1"/>
                <w:bCs w:val="1"/>
                <w:color w:val="auto"/>
              </w:rPr>
              <w:t>Listing</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34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Renewal and Other</w:t>
            </w:r>
          </w:p>
        </w:tc>
        <w:tc>
          <w:tcPr>
            <w:tcW w:w="34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Technology</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 Revenues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Revenues</w:t>
            </w:r>
          </w:p>
        </w:tc>
        <w:tc>
          <w:tcPr>
            <w:tcW w:w="340" w:type="dxa"/>
            <w:vAlign w:val="bottom"/>
          </w:tcPr>
          <w:p>
            <w:pPr>
              <w:spacing w:after="0"/>
              <w:rPr>
                <w:sz w:val="15"/>
                <w:szCs w:val="15"/>
                <w:color w:val="auto"/>
              </w:rPr>
            </w:pPr>
          </w:p>
        </w:tc>
        <w:tc>
          <w:tcPr>
            <w:tcW w:w="10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Revenues</w:t>
            </w:r>
            <w:r>
              <w:rPr>
                <w:rFonts w:ascii="Arial" w:cs="Arial" w:eastAsia="Arial" w:hAnsi="Arial"/>
                <w:sz w:val="20"/>
                <w:szCs w:val="20"/>
                <w:b w:val="1"/>
                <w:bCs w:val="1"/>
                <w:color w:val="auto"/>
                <w:vertAlign w:val="superscript"/>
              </w:rPr>
              <w:t>(2)</w:t>
            </w:r>
          </w:p>
        </w:tc>
        <w:tc>
          <w:tcPr>
            <w:tcW w:w="3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$ 292</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40" w:hanging="452"/>
        <w:spacing w:after="0" w:line="228"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The additions and amortization for initial listing revenues, listing of additional shares revenues and annual renewal and other revenues primarily reflect Issuer Services revenues from U.S. listing revenues.</w:t>
      </w:r>
    </w:p>
    <w:p>
      <w:pPr>
        <w:spacing w:after="0" w:line="1" w:lineRule="exact"/>
        <w:rPr>
          <w:rFonts w:ascii="Arial" w:cs="Arial" w:eastAsia="Arial" w:hAnsi="Arial"/>
          <w:sz w:val="22"/>
          <w:szCs w:val="22"/>
          <w:color w:val="auto"/>
          <w:vertAlign w:val="superscript"/>
        </w:rPr>
      </w:pPr>
    </w:p>
    <w:p>
      <w:pPr>
        <w:ind w:left="460" w:right="60" w:hanging="452"/>
        <w:spacing w:after="0" w:line="241"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Market Technology deferred revenues include revenues from delivered client contracts in the support phase charged during the period. Under contract accounting, where customization and significant modifications to the software are made to meet the needs of our customers, total revenues, as well as costs incurred, are deferred until significant modifications are completed and delivered. Once delivered, deferred revenue and the related deferred costs are recognized over the post contract support period. We have included the deferral of costs in other current assets and other non-current assets in the Consolidated Balance Sheets. The amortization of Market Technology deferred revenue primarily includes revenues earned from client contracts recognized during the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the carrying value of our debt obligations during the year ended December 31,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Payments,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Conversions,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Accretion and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Additions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discount)</w:t>
            </w:r>
            <w:r>
              <w:rPr>
                <w:rFonts w:ascii="Arial" w:cs="Arial" w:eastAsia="Arial" w:hAnsi="Arial"/>
                <w:sz w:val="11"/>
                <w:szCs w:val="11"/>
                <w:color w:val="auto"/>
              </w:rPr>
              <w:t>(1)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2.50% convertible senior notes due August 15, 2013</w:t>
            </w:r>
            <w:r>
              <w:rPr>
                <w:rFonts w:ascii="Arial" w:cs="Arial" w:eastAsia="Arial" w:hAnsi="Arial"/>
                <w:sz w:val="11"/>
                <w:szCs w:val="11"/>
                <w:color w:val="auto"/>
              </w:rPr>
              <w:t>(2)</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4.00% senior unsecured notes due January 15, 2015 (net of discount)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660"/>
              <w:spacing w:after="0"/>
              <w:rPr>
                <w:sz w:val="20"/>
                <w:szCs w:val="20"/>
                <w:color w:val="auto"/>
              </w:rPr>
            </w:pPr>
            <w:r>
              <w:rPr>
                <w:rFonts w:ascii="Arial" w:cs="Arial" w:eastAsia="Arial" w:hAnsi="Arial"/>
                <w:sz w:val="15"/>
                <w:szCs w:val="15"/>
                <w:color w:val="auto"/>
                <w:w w:val="71"/>
              </w:rPr>
              <w:t>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5.55% senior unsecured notes due January 15, 2020 (net of discount)</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5.25% senior unsecured notes due January 16, 2018 (net of discount)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$1.2 billion senior unsecured five-year credit facility: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8"/>
              </w:rPr>
              <w:t>$450 million senior unsecured term loan facility credit agreement due September 19,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 (average interest rate of 1.66% for the period September 19, 2011 through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r>
              <w:rPr>
                <w:rFonts w:ascii="Arial" w:cs="Arial" w:eastAsia="Arial" w:hAnsi="Arial"/>
                <w:sz w:val="11"/>
                <w:szCs w:val="11"/>
                <w:color w:val="auto"/>
              </w:rPr>
              <w:t>(4)</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450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Arial" w:cs="Arial" w:eastAsia="Arial" w:hAnsi="Arial"/>
                <w:sz w:val="18"/>
                <w:szCs w:val="18"/>
                <w:color w:val="auto"/>
                <w:w w:val="93"/>
              </w:rPr>
              <w:t>$750 million revolving credit commitment due September 19, 2016 (average interest rate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220"/>
              <w:spacing w:after="0"/>
              <w:rPr>
                <w:sz w:val="20"/>
                <w:szCs w:val="20"/>
                <w:color w:val="auto"/>
              </w:rPr>
            </w:pPr>
            <w:r>
              <w:rPr>
                <w:rFonts w:ascii="Arial" w:cs="Arial" w:eastAsia="Arial" w:hAnsi="Arial"/>
                <w:sz w:val="18"/>
                <w:szCs w:val="18"/>
                <w:color w:val="auto"/>
              </w:rPr>
              <w:t>of 1.43% for the period October 19, 2011 through December 31, 2011)</w:t>
            </w:r>
            <w:r>
              <w:rPr>
                <w:rFonts w:ascii="Arial" w:cs="Arial" w:eastAsia="Arial" w:hAnsi="Arial"/>
                <w:sz w:val="11"/>
                <w:szCs w:val="11"/>
                <w:color w:val="auto"/>
              </w:rPr>
              <w:t>(4)</w:t>
            </w:r>
          </w:p>
        </w:tc>
        <w:tc>
          <w:tcPr>
            <w:tcW w:w="18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3"/>
              </w:rPr>
              <w:t>$700 million senior unsecured term loan facility credit agreement repaid September 2011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(average interest rate of 2.25% for the period January 1, 2011 through September 19,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(5)</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debt obligations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long-term debt obligations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w w:val="86"/>
              </w:rPr>
              <w:t>655</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21"/>
          <w:szCs w:val="21"/>
          <w:color w:val="auto"/>
          <w:vertAlign w:val="superscript"/>
        </w:rPr>
      </w:pPr>
      <w:r>
        <w:rPr>
          <w:rFonts w:ascii="Arial" w:cs="Arial" w:eastAsia="Arial" w:hAnsi="Arial"/>
          <w:sz w:val="17"/>
          <w:szCs w:val="17"/>
          <w:color w:val="auto"/>
        </w:rPr>
        <w:t>As of December 31, 2011 and 2010, approximately $0.5 million aggregate principal amount of the 3.75% convertible notes remained outstanding.</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See “2.50% Convertible Senior Notes” below for further discussion.</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See “Senior Unsecured Notes” below for further discussion.</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See “2011 Credit Facility” below for further discussion.</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See “2010 Credit Facility” below for further discussion.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Convertible Senior Notes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first quarter of 2008, in connection with the business combination with OMX AB, we completed the offering of $475 million aggregate principal amount of 2.50% convertible senior notes due August 15, 2013. The interest rate on the notes is 2.50% per annum payable semi-annually in arrears on February 15 and August 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2013 Convertible Notes are convertible in certain circumstances specified in the indenture for the notes. Upon conversion, holders will receive, at the election of NASDAQ OMX, cash, common stock or a combination of cash and common stock. It is our current intent and policy to settle the principal amount of the notes in cash. The conversion rate, subject to adjustment in certain events, is 18.1386 shares of common stock per $1,000 principal amount of notes, which is equivalent to a conversion price of approximately $55.13 per share of common stock. At December 31, 2011, the remaining aggregate principal amount outstanding of the 2013 Convertible Notes is convertible into 1,686,577 shares of our common stock. Subject to certain exceptions, if we undergo a “fundamental change” as described in the indenture, holders may require us to purchase their notes at a price equal to 100% of the principal amount of the notes, plus accrued and unpaid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 Offer and Early Extinguishment of Debt</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September 20, 2011, we commenced a cash tender offer for any and all of the $428 million aggregate principal amount outstanding of the 2013 Convertible Notes, or the Offer. We offered to purchase the 2013 Convertible Notes at a price of $1,025 for each $1,000 of principal amount tendered, plus accrued and unpaid interest up to, but not including, October 19, 2011, the date of purchase. Holders representing approximately 78.3% of the aggregate principal amount of the outstanding 2013 Convertible Notes participated in the Offer resulting in the tender of $335 million of the aggregate outstanding principal amount of the 2013 Convertible Notes for a total purchase price of $346 million, which included the premium discussed above, accrued interest, and other costs. We funded the Offer with cash on hand and availability under the revolver in our 2011 Credit Facility. See “2011 Credit Facility” below for further discussion of our credit facility. As a result of the tender, in October 2011, we recorded a pre-tax charge of $25 million consisting of the write-off of the associated unamortized debt discount of $22 million, debt issuance costs of $2 million, as well as other costs of $1 million. This charge was recorded in general, administrative and other expense in the Consolidated Statements of Income for 2011. The 2013 Convertible Notes purchased pursuant to the Offer were cancelled and are no longer outstanding.</w:t>
      </w:r>
    </w:p>
    <w:p>
      <w:pPr>
        <w:spacing w:after="0" w:line="10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2009, we repurchased $47 million principal amount of the 2.50% convertible senior notes for a cash payment of $40 million and recognized a pre-tax gain on the early extinguishment of debt of $4 million (net of debt issuance and other costs of $1 million) which is recorded in general, administrative and other expense in the Consolidated Statements of Income for 2009.</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tender offer and early extinguishment of debt discussed above resulted in a remaining aggregate principal amount outstanding of the 2013 Convertible Notes of $93 million as of December 31,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Equity Components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the settlement structure of the 2013 Convertible Notes permits settlement in cash upon conversion, we are required to separately account for the liability and equity components of the convertible debt in a manner that reflects our nonconvertible debt borrowing rate when interest cost is recognized in subsequent periods. This entails bifurcation of a component of the debt, classification of that component in equity and then accretion of the resulting discount on the debt being reflected in the income statement as part of interest expense.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liability and equity components of the 2013 Convertible Notes during the years ended December 31, 2011 and 2010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Liability Component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8"/>
              </w:rPr>
              <w:t>Equity Component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Net 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Discount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Component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0"/>
              </w:rPr>
              <w:t>Taxes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Component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2009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Tender offer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unamortized debt discount on the convertible debt was $5 million as of December 31, 2011 and $40 million as of December 31, 2010 and is included in debt obligations in the Consolidated Balance Sheets. The remaining amount of $5 million will be accreted as part of interest expense through August 15, 2013, the maturity date of the convertible debt. The decrease in the unamortized debt discount in 2011 compared to 2010 is due to the write-off of $22 million associated with the Offer as discussed above and the accretion of the debt discount during 2011 of $13 million. The effective annual interest rate on the 2013 Convertible Notes was 6.53% for the years ended December 31, 2011, 2010 and 2009, which includes the accretion of the debt discount in addition to the annual contractual interest rate of 2.50%.</w:t>
      </w:r>
    </w:p>
    <w:p>
      <w:pPr>
        <w:spacing w:after="0" w:line="13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equity component of the convertible debt included in additional paid-in capital in the Consolidated Balance Sheets was $39 million at December 31, 2011 and $48 million at December 31, 2010. The difference of $9 million reflects the cash paid in connection with the Offer, discussed above, that was attributable to the extinguishment of the equity component of the convertible debt.</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expense recognized on the 2013 Convertible Notes in the Consolidated Statements of Income for the years ended December 31, 2011, 2010 and 2009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Borders>
              <w:bottom w:val="single" w:sz="8" w:color="auto"/>
            </w:tcBorders>
            <w:gridSpan w:val="3"/>
          </w:tcPr>
          <w:p>
            <w:pPr>
              <w:jc w:val="center"/>
              <w:ind w:left="226"/>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42"/>
        </w:trPr>
        <w:tc>
          <w:tcPr>
            <w:tcW w:w="9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interest expense recognized on the 2013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20"/>
                <w:szCs w:val="20"/>
                <w:color w:val="auto"/>
              </w:rPr>
            </w:pPr>
            <w:r>
              <w:rPr>
                <w:rFonts w:ascii="Arial" w:cs="Arial" w:eastAsia="Arial" w:hAnsi="Arial"/>
                <w:sz w:val="18"/>
                <w:szCs w:val="18"/>
                <w:color w:val="auto"/>
              </w:rPr>
              <w:t>Total interest expense recognized on the 2013 Convertible Notes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2008, in conjunction with the issuance of the 2013 Convertible Notes, we incurred debt issuance costs of $10 million. These costs, which were capitalized and included in other non-current assets in the Consolidated Balance Sheets, are being amortized over the life of the debt obligation. In connection with the Offer in October 2011, we recorded a pre-tax charge for the write-off of the associated debt issuance costs of $2 million for the year ended December 31, 2011. In connection with the early extinguishment of a portion of these notes in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recorded a pre-tax charge for the write-off of the associated debt issuance costs of $1 million for the year ended December 31, 2009. See “Tender Offer and Early Extinguishment of Debt” above for further discussion. Amortization expense, which is recorded as additional interest expense for these costs, was $1 million for the year ended December 31, 2011 and $2 million for the years ended December 31, 2010 and 2009.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4.00% and 5.55% Senior Unsecured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2010, NASDAQ OMX issued $1 billion of senior unsecured notes, or the Notes. The Notes were issued at a discount in two separate series consisting of $400 million aggregate principal amount of 4.00% senior notes due 2015, or the 2015 Notes, and $600 million aggregate principal amount of 5.55% senior notes due 2020, or the 2020 Notes. As a result of the discount, the proceeds received from the issuance were less than the aggregate principal amounts. As of December 31, 2011, the balance of $399 million for the 2015 Notes and the balance of $598 million for the 2020 Notes reflect the aggregate principal amounts, less the unamortized debt discount. The unamortized debt discount will be accreted through interest expense over the life of the Notes.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2015 Notes pay interest semiannually at a rate of 4.00% per annum until January 15, 2015, and the 2020 Notes pay interest semiannually at a rate of 5.55% per annum until January 15, 2020. The Notes are general unsecured obligations of ours and rank equally with all of our existing and future unsubordinated obligations. The Notes are not guaranteed by any of our subsidiaries. The Notes were issued under an indenture that, among other things, limits our ability to consolidate, merge or sell all or substantially all of our assets, create liens, and enter into sale and leaseback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incurred debt issuance and other costs of $8 million in connection with the issuance of the Notes. These costs, which are capitalized and included in other non-current assets in the Consolidated Balance Sheets, are being amortized over the life of the debt obligations. Amortization expense, which is recorded as additional interest expense for these costs, was $1 million for both the years ended December 31, 2011 and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5.25% Senior Unsecured Notes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December 2010, NASDAQ OMX issued $370 million of 5.25% senior unsecured notes due January 16, 2018. We applied the net proceeds from the 2018 Notes of $367 million and cash on hand of $3 million to repay all amounts outstanding under our $400 million senior unsecured bridge facility, or the Bridge Facility, discussed below, as well as related fees.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2018 Notes were issued at a discount. As a result of the discount, the proceeds received from the issuance were less than the aggregate principal amount. As of December 31, 2011, the balance of $367 million reflects the aggregate principal amount, less the unamortized debt discount. The unamortized debt discount will be accreted through interest expense over the life of the 2018 Notes.</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2018 Notes pay interest semiannually at a rate of 5.25% per annum until January 16, 2018 and such rate may vary with NASDAQ OMX’s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incurred debt issuance costs of $3 million in connection with the issuance of the 2018 Notes. These costs, which are capitalized and included in other non-current assets in the Consolidated Balance Sheets, are being amortized over the life of the debt obligation. Amortization expense, which is recorded as additional interest expense for these costs, was immaterial for both the years ended December 31, 2011 and 2010.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Credit Facility</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2011, NASDAQ OMX entered into a $1.2 billion senior unsecured five-year credit facility which matures on September 19, 2016. The 2011 Credit Facility consists of our 2016 Term loan of $450 million and a $750 million revolving credit commitment (including a swingline facility and letter of credit facility). NASDAQ OMX applied the $450 million in proceeds from the 2016 Term Loan to repay the remaining $450 million principal amount outstanding on our 2010 Credit Facility, as defined below. As a result, NASDAQ OMX terminated the associated credit agreement. See “2010 Credit Facility” below for further discussion.</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October 2011, we borrowed $250 million under the revolving credit commitment portion of the 2011 Credit Facility and utilized cash on hand of $96 million in order to fund the purchase of the 2013 Convertible Notes tendered in the Offer. In November 2011, we made an optional prepayment of $24 million on our revolving credit commitment. As a result, availability under the revolving credit commitment was $524 million as of December 31, 2011.</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loans under the 2011 Credit Facility have a variable interest rate based on either the London Interbank Offered Rate, or LIBOR, or the Federal Funds Rate, plus an applicable margin that varies with NASDAQ OMX’s debt rating.</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2011 Credit Facility, beginning in December 2011 we are required to pay quarterly principal payments equal to 2.50% of the aggregate original principal amounts borrowed under the 2016 Term Loan. In the fourth quarter of 2011, we made a required quarterly principal payment of $11 million on our 2016 Term Loan.</w:t>
      </w:r>
    </w:p>
    <w:p>
      <w:pPr>
        <w:spacing w:after="0" w:line="127"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The 2011 Credit Facility contains financial and operating covenants. Financial covenants include an interest expense coverage ratio and a maximum leverage ratio. Operating covenants include limitations on NASDAQ OMX’s ability to incur additional indebtedness, grant liens on assets, enter into affiliate transactions and pay dividends. The 2011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NASDAQ OMX is permitted to repay borrowings under the 2011 Credit Facility at any time in whole or in part, without penalty. We are also required to repay loans outstanding under the 2011 Credit Facility with net cash proceeds from sales of property and assets of NASDAQ OMX and its subsidiaries (excluding inventory sales and other sales in the ordinary course of business) and casualty and condemnation proceeds, in each case subject to specified exceptions and thresholds.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incurred debt issuance and other costs of $5 million in connection with the entry into the 2011 Credit Facility. These costs, which are capitalized and included in other non-current assets in the Consolidated Balance Sheets, are being amortized over the life of the 2011 Credit Facility. Amortization expense, which is recorded as additional interest expense for these costs, was immaterial for the year ended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Credit Facility</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January 2010, NASDAQ OMX entered into a $950 million senior unsecured three-year credit facility, or the 2010 Credit Facility. The 2010 Credit Facility provided for a $250 million revolving credit commitment (including a swingline facility and letter of credit facility), a $350 million funded Tranche A term loan, or the Term Loan A, and a $350 million funded Tranche X term loan, or the Term Loan X and, together with Term Loan A, the Term Loans. The loans under the 2010 Credit Facility had a variable interest rate based on either the LIBOR or the Federal Funds Rate, plus an applicable margin that varied with NASDAQ OMX’s debt rating.</w:t>
      </w:r>
    </w:p>
    <w:p>
      <w:pPr>
        <w:spacing w:after="0" w:line="129"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49"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Under our 2010 Credit Facility, we were required to pay quarterly principal payments of $35 million on our Term Loans. In the first half of 2011, we made required quarterly principal payments of $70 million, as well as an optional principal payment of $50 million on our Term Loans. In September 2011, we applied the proceeds of $450 million from the 2016 Term Loan discussed above, to repay the remaining $450 million principal amount outstanding on our Term Loans.</w:t>
      </w:r>
    </w:p>
    <w:p>
      <w:pPr>
        <w:spacing w:after="0" w:line="1" w:lineRule="exact"/>
        <w:rPr>
          <w:sz w:val="20"/>
          <w:szCs w:val="20"/>
          <w:color w:val="auto"/>
        </w:rPr>
      </w:pPr>
    </w:p>
    <w:p>
      <w:pPr>
        <w:ind w:right="440"/>
        <w:spacing w:after="0" w:line="372" w:lineRule="auto"/>
        <w:rPr>
          <w:sz w:val="20"/>
          <w:szCs w:val="20"/>
          <w:color w:val="auto"/>
        </w:rPr>
      </w:pPr>
      <w:r>
        <w:rPr>
          <w:rFonts w:ascii="Arial" w:cs="Arial" w:eastAsia="Arial" w:hAnsi="Arial"/>
          <w:sz w:val="18"/>
          <w:szCs w:val="18"/>
          <w:color w:val="auto"/>
        </w:rPr>
        <w:t xml:space="preserve">As a result, NASDAQ OMX terminated the associated credit agreement. See “2011 Credit Facility” above for further discussion of the 2011 Credit Facility. </w:t>
      </w:r>
      <w:r>
        <w:rPr>
          <w:rFonts w:ascii="Arial" w:cs="Arial" w:eastAsia="Arial" w:hAnsi="Arial"/>
          <w:sz w:val="18"/>
          <w:szCs w:val="18"/>
          <w:b w:val="1"/>
          <w:bCs w:val="1"/>
          <w:i w:val="1"/>
          <w:iCs w:val="1"/>
          <w:color w:val="auto"/>
        </w:rPr>
        <w:t>Debt Issuance and Other Costs</w:t>
      </w:r>
    </w:p>
    <w:p>
      <w:pPr>
        <w:ind w:firstLine="456"/>
        <w:spacing w:after="0" w:line="291" w:lineRule="auto"/>
        <w:rPr>
          <w:sz w:val="20"/>
          <w:szCs w:val="20"/>
          <w:color w:val="auto"/>
        </w:rPr>
      </w:pPr>
      <w:r>
        <w:rPr>
          <w:rFonts w:ascii="Arial" w:cs="Arial" w:eastAsia="Arial" w:hAnsi="Arial"/>
          <w:sz w:val="16"/>
          <w:szCs w:val="16"/>
          <w:color w:val="auto"/>
        </w:rPr>
        <w:t>We incurred debt issuance and other costs of $13 million in connection with the entry into the 2010 Credit Facility. These costs, which were capitalized and included in other non-current assets in the Consolidated Balance Sheets, were being amortized over the life of the debt obligation. In September 2011, as a result of repayment of our 2010 Credit Facility, we recorded a pre-tax charge of $6 million, which primarily included the write-off of the remaining unamortized balance of debt issuance costs. This charge is included in general, administrative and other expense in the Consolidated Statements of Income for the year ended December 31, 2011. Amortization expense, which was recorded as additional interest expense for these costs, was $3 million for the year ended December 31, 2011 and $4 million for the year ended December 31,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Facility</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December 2010, NASDAQ OMX entered into the Bridge Facility, and borrowed $370 million to partially finance the purchase of our stock from Borse Dubai. See “Share Repurchase Programs and Share Repurchase from Borse Dubai,” of Note 12, “NASDAQ OMX Stockholders’ Equity,” for further discussion of our share repurchase from Borse Dubai. We applied the net proceeds from the issuance of our 2018 Notes, discussed above, and cash on hand to repay all amounts outstanding under the Bridge Facility and terminated the Bridge Facility as of December 31, 2010. The effective interest rate on borrowings under the Bridge Facility was 1.76%.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revolving credit commitment discussed above, we have credit facilities related to our clearinghouses in order to meet liquidity and regulatory requirements. At December 31, 2011, these credit facilities, which are available in multiple currencies, primarily Swedish Krona and U.S. dollar, totaled $447 million ($206 million in available liquidity and $241 million to satisfy regulatory requirements), none of which was utilized. At December 31, 2010, these facilities totaled $440 million ($196 million in available liquidity and $244 million to satisfy regulatory requirements), none of which was utilized.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we were in compliance with the covenants of all of our debt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Federal</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State</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Total deferred income taxes</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2011, the cumulative amount of undistributed earnings in these subsidiaries is approximately $60 million. We have the intent and ability to indefinitely reinvest the undistributed earnings of our non-U.S. subsidiaries.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2011, 2010 and 2009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557"/>
              <w:spacing w:after="0" w:line="142" w:lineRule="exact"/>
              <w:rPr>
                <w:sz w:val="20"/>
                <w:szCs w:val="20"/>
                <w:color w:val="auto"/>
              </w:rPr>
            </w:pPr>
            <w:r>
              <w:rPr>
                <w:rFonts w:ascii="Arial" w:cs="Arial" w:eastAsia="Arial" w:hAnsi="Arial"/>
                <w:sz w:val="14"/>
                <w:szCs w:val="14"/>
                <w:b w:val="1"/>
                <w:bCs w:val="1"/>
                <w:color w:val="auto"/>
                <w:w w:val="83"/>
              </w:rPr>
              <w:t>2010</w:t>
            </w:r>
          </w:p>
        </w:tc>
        <w:tc>
          <w:tcPr>
            <w:tcW w:w="9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160" w:type="dxa"/>
            <w:vAlign w:val="bottom"/>
            <w:gridSpan w:val="3"/>
          </w:tcPr>
          <w:p>
            <w:pPr>
              <w:jc w:val="right"/>
              <w:ind w:right="840"/>
              <w:spacing w:after="0"/>
              <w:rPr>
                <w:sz w:val="20"/>
                <w:szCs w:val="20"/>
                <w:color w:val="auto"/>
              </w:rPr>
            </w:pPr>
            <w:r>
              <w:rPr>
                <w:rFonts w:ascii="Arial" w:cs="Arial" w:eastAsia="Arial" w:hAnsi="Arial"/>
                <w:sz w:val="18"/>
                <w:szCs w:val="18"/>
                <w:color w:val="auto"/>
              </w:rPr>
              <w:t>4.2%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provision at a rate different than the federal rate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Earnings from foreign affiliates, not subject to tax</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Change in deferred taxes due to change in tax rate</w:t>
            </w:r>
            <w:r>
              <w:rPr>
                <w:rFonts w:ascii="Arial" w:cs="Arial" w:eastAsia="Arial" w:hAnsi="Arial"/>
                <w:sz w:val="11"/>
                <w:szCs w:val="11"/>
                <w:color w:val="auto"/>
              </w:rPr>
              <w:t>(1)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 carry back</w:t>
            </w:r>
            <w:r>
              <w:rPr>
                <w:rFonts w:ascii="Arial" w:cs="Arial" w:eastAsia="Arial" w:hAnsi="Arial"/>
                <w:sz w:val="11"/>
                <w:szCs w:val="11"/>
                <w:color w:val="auto"/>
              </w:rPr>
              <w:t>(1)</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net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w:t>
            </w:r>
            <w:r>
              <w:rPr>
                <w:rFonts w:ascii="Arial" w:cs="Arial" w:eastAsia="Arial" w:hAnsi="Arial"/>
                <w:sz w:val="11"/>
                <w:szCs w:val="11"/>
                <w:color w:val="auto"/>
              </w:rPr>
              <w:t>(1)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26.0%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40" w:hanging="452"/>
        <w:spacing w:after="0" w:line="235" w:lineRule="auto"/>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The higher effective tax rate in 2011 when compared to 2010 was primarily due to the impact of changes in tax laws in certain jurisdictions where NASDAQ OMX operates. Also, 2010 results included reductions in deferred tax liabilities due to a revised effective tax rate and a tax deduction for a capital loss. The lower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580"/>
        <w:spacing w:after="0" w:line="332" w:lineRule="auto"/>
        <w:rPr>
          <w:sz w:val="20"/>
          <w:szCs w:val="20"/>
          <w:color w:val="auto"/>
        </w:rPr>
      </w:pPr>
      <w:r>
        <w:rPr>
          <w:rFonts w:ascii="Arial" w:cs="Arial" w:eastAsia="Arial" w:hAnsi="Arial"/>
          <w:sz w:val="16"/>
          <w:szCs w:val="16"/>
          <w:color w:val="auto"/>
        </w:rPr>
        <w:t>effective tax rate in 2010 when compared to 2009 was primarily due to the restructuring of certain NASDAQ OMX subsidiaries. These transactions resulted in reductions in deferred tax liabilities due to a revised effective tax rate and a tax deduction for a capital loss.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federal net operating loss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Foreign net operating loss</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Lease reserves</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Excess capital loss</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Amortization of software development costs and depreciation</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Accretion of debt discount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Gross deferred tax liabilities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before valuation allowance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valuation allowance has been established with regards to the tax benefits primarily associated with certain net operating losses and impairment losses, as it is more likely than not that these benefits will not be realized in the future.</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2011, our U.S. federal net operating loss of $15 million, which includes $10 million related to the acquisition of FTEN in December 2010 and $5 million related to subsidiaries of OMX that are not included in our U.S. federal consolidated income tax return, will expire in years 2023-2031. Our foreign net operating loss of $99 million, as of December 31, 2011, includes $33 million that will expire in years 2018-2021 and $66 million that has no expiration date. Also, our state net operating loss of $4 million, as of December 31, 2011,will expire in years 2013-2031.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2011</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2009</w:t>
            </w:r>
          </w:p>
        </w:tc>
        <w:tc>
          <w:tcPr>
            <w:tcW w:w="4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2011, 2010 and 2009, we recorded income tax benefits of $10 million, $2 million and $4 million, respectively, primarily related to share-based compensation. These amounts were recorded as additional paid-in-capital in the Consolidated Balance Sheets.</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upon the effective tax rate for that period.</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 of December 31, 2011, we had $18 million of unrecognized benefits, of which $11 million would affect our effective tax rate if recognized. As of December 31, 2010, we had $12 million of unrecognized benefits, of which $8 million would affect our effective tax rate if recognized.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2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lapses of the applicable statute of limitations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As of December 31, 2011, we had accrued $5 million for interest and penalties, net of tax effect. As of December 31, 2010, we had accrued $4 million for interest and penalties, net of tax effect.</w:t>
      </w:r>
    </w:p>
    <w:p>
      <w:pPr>
        <w:spacing w:after="0" w:line="7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the years 2008 and 2009 are currently under audit by the Internal Revenue Service. The review of federal income tax returns for the years 2007 and 2010 is expected to commence in 2012. Several state tax returns are currently under examination by the respective tax authorities for the years 2000 through 2009 and we are subject to examination for 2010. Non-U.S. tax returns are subject to review by the respective tax authorities for the years 2003 through 2010. In 2011, we settled audits with various taxing jurisdictions and paid a total of $1 million with respect to the years 2006 through 2009. Since this amount was included in our unrecognized tax benefits as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December 31, 2010, such payments did not affect our 2011 effective tax rate. The outcome of these audits did not have a material impact on our financial position or results of operations. We anticipate that the amount of unrecognized tax benefits at December 31, 2011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fourth quarter of 2010, we received an appeal from the Finnish Tax Authority in which such authority challenges certain interest expense deductions claimed by NASDAQ OMX in Finland for the year 2008. NASDAQ OMX’s tax return position with respect to this deduction was previously reviewed and approved by the Finnish Tax Authority. The appeal also demands certain penalties be paid with regard to the company’s tax return filing position. If the Finnish Tax Authority prevails in its challenge, additional tax and penalties for the years 2008-2011 would total approximately $23 million. We expect the Finnish Tax Authority to agree with our position once its review is completed and, as such, we believe it is unlikely NASDAQ OMX will be assessed any additional tax and penalties. Through December 31, 2011, we have recorded the tax benefits associated with the filing position.</w:t>
      </w:r>
    </w:p>
    <w:p>
      <w:pPr>
        <w:spacing w:after="0" w:line="107"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In June 2009, NASDAQ OMX filed an application for an advance tax ruling with the Swedish Tax Council for Advance Tax Rulings. The application was filed to confirm whether certain interest expense is deductible for Swedish tax purposes under legislation that became effective on January 1, 2009. In June 2010, we received a favorable response from the Swedish Tax Council for Advance Tax Rulings in which all members of the Council agreed that the interest expense is deductible for Swedish tax purposes. The Swedish Tax Agency appealed the Council’s ruling to the Swedish Supreme Administrative Court. In November 2011, the Swedish Supreme Administrative Court rendered a ruling consistent with the favorable ruling from the Swedish Tax Council for Advance Tax Rulings. Since we have recorded all tax benefits associated with this matter, the ruling did not affect our financial position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Defined-Benefit Pension and Supplemental Executive Retirement Plans</w:t>
      </w:r>
    </w:p>
    <w:p>
      <w:pPr>
        <w:spacing w:after="0" w:line="8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We maintain non-contributory, defined-benefit pension plans, non-qualified supplemental executive retirement plans, or SERPs, for certain senior executives and post-retirement benefit plans for eligible employees in the U.S., collectively referred to as the NASDAQ OMX Benefit Plans.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pension plans and SERPs are frozen. Future service and salary for all participants do not count toward an accrual of benefits under the pension plans and SERPs.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costs from the NASDAQ OMX Benefit Plans recognized in compensation and benefits expense in the Consolidated Statements of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2"/>
        </w:trPr>
        <w:tc>
          <w:tcPr>
            <w:tcW w:w="8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Recognized net actuarial (gain) loss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 recognized</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changes in the benefit obligation, the plan assets and the funded status of the NASDAQ OMX Benefit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1"/>
              </w:rPr>
              <w:t>Post-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SERP</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2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SERP</w:t>
            </w:r>
          </w:p>
        </w:tc>
        <w:tc>
          <w:tcPr>
            <w:tcW w:w="3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$ 115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Actuarial losses (gains)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due to change in discount rate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Company contributions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Underfunded status of the plans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F-49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total underfunded status of the NASDAQ OMX Benefit Plans of $65 million at December 31, 2011 and $60 million at December 31, 2010 is included in other non-current liabilities and accrued personnel costs in the Consolidated Balance Sheets. No plan assets are expected to be returned to us during the year ending December 31, 2012.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Assumptions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 for the NASDAQ OMX Benefit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4"/>
                <w:szCs w:val="14"/>
                <w:color w:val="auto"/>
              </w:rPr>
            </w:pPr>
          </w:p>
        </w:tc>
      </w:tr>
      <w:tr>
        <w:trPr>
          <w:trHeight w:val="196"/>
        </w:trPr>
        <w:tc>
          <w:tcPr>
            <w:tcW w:w="70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5.00%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5.25%</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5.00%</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5.25%</w:t>
            </w: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5.00%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5.25%</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22"/>
        </w:trPr>
        <w:tc>
          <w:tcPr>
            <w:tcW w:w="70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356"/>
        </w:trPr>
        <w:tc>
          <w:tcPr>
            <w:tcW w:w="7340" w:type="dxa"/>
            <w:vAlign w:val="bottom"/>
            <w:gridSpan w:val="2"/>
          </w:tcPr>
          <w:p>
            <w:pPr>
              <w:spacing w:after="0"/>
              <w:rPr>
                <w:sz w:val="20"/>
                <w:szCs w:val="20"/>
                <w:color w:val="auto"/>
              </w:rPr>
            </w:pPr>
            <w:r>
              <w:rPr>
                <w:rFonts w:ascii="Arial" w:cs="Arial" w:eastAsia="Arial" w:hAnsi="Arial"/>
                <w:sz w:val="18"/>
                <w:szCs w:val="18"/>
                <w:color w:val="auto"/>
              </w:rPr>
              <w:t>Weighted-average assumptions used to determine net benefit cost for the fiscal year:</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5.25%</w:t>
            </w: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5.75%</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7.00%</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5.25%</w:t>
            </w:r>
          </w:p>
        </w:tc>
        <w:tc>
          <w:tcPr>
            <w:tcW w:w="9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5.75%</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7.00%</w:t>
            </w: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5.25%</w:t>
            </w: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5.75%</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7.00%</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8.00%</w:t>
            </w: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8.00%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8.00%</w:t>
            </w:r>
          </w:p>
        </w:tc>
      </w:tr>
      <w:tr>
        <w:trPr>
          <w:trHeight w:val="216"/>
        </w:trPr>
        <w:tc>
          <w:tcPr>
            <w:tcW w:w="70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22"/>
        </w:trPr>
        <w:tc>
          <w:tcPr>
            <w:tcW w:w="70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N/A—Not applicable</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2012, the weighted-average assumed healthcare cost trend rate used for post-retirement measurement purposes for the NASDAQ OMX Benefit Plans is 9.5% to 10.0% prior to age 65 and 7.0% to 10.0% after age 65. A one percent increase or decrease in the assumed healthcare cost trend would have an immaterial effect on the post-retirement service and interest cost and post-retirement benefit obligation for both plans.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of the NASDAQ OMX Benefit Plans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NASDAQ OMX’s Pension and 401(k) Committee, which is comprised of employees of NASDAQ OMX, has oversight responsibility for the plan assets of the NASDAQ OMX Benefit Plans. The investment policy and strategy of the plan assets, which was adopted by NASDAQ OMX’s Pension and 401(k) Committee, is to provide for preservation of principal, both in nominal and real terms, in order to meet the long-term spending needs of the NASDAQ OMX Benefit Plans. We invest in securities per the target allocations stated below. Target allocations for plan assets as of December 31, 2011 were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Target Allocation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(1)</w:t>
            </w:r>
          </w:p>
        </w:tc>
        <w:tc>
          <w:tcPr>
            <w:tcW w:w="26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shd w:val="clear" w:color="auto" w:fill="CCEEFF"/>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U.S. equity securities</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p>
        </w:tc>
        <w:tc>
          <w:tcPr>
            <w:tcW w:w="2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various classes of domestic, international and emerging market equity and fixed-income securities.</w:t>
      </w:r>
    </w:p>
    <w:p>
      <w:pPr>
        <w:spacing w:after="0" w:line="14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Asset allocations are reviewed quarterly and adjusted, as appropriate, to remain within target allocations. The investment policy is reviewed on an annual basis, under the advisement of an investment consultant, to determine if the policy or asset allocation targets should be changed.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plan assets for the NASDAQ OMX Benefit Plans at December 31, 2011, by asset category and fair value hierarchy,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Total Benefit Plan Assets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Fair Value Measurements</w:t>
            </w:r>
            <w:r>
              <w:rPr>
                <w:rFonts w:ascii="Arial" w:cs="Arial" w:eastAsia="Arial" w:hAnsi="Arial"/>
                <w:sz w:val="22"/>
                <w:szCs w:val="22"/>
                <w:b w:val="1"/>
                <w:bCs w:val="1"/>
                <w:color w:val="auto"/>
                <w:w w:val="90"/>
                <w:vertAlign w:val="superscript"/>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2"/>
            <w:vMerge w:val="restart"/>
          </w:tcPr>
          <w:p>
            <w:pPr>
              <w:jc w:val="center"/>
              <w:ind w:right="780"/>
              <w:spacing w:after="0" w:line="109" w:lineRule="exact"/>
              <w:rPr>
                <w:sz w:val="20"/>
                <w:szCs w:val="20"/>
                <w:color w:val="auto"/>
              </w:rPr>
            </w:pPr>
            <w:r>
              <w:rPr>
                <w:rFonts w:ascii="Arial" w:cs="Arial" w:eastAsia="Arial" w:hAnsi="Arial"/>
                <w:sz w:val="12"/>
                <w:szCs w:val="12"/>
                <w:b w:val="1"/>
                <w:bCs w:val="1"/>
                <w:color w:val="auto"/>
                <w:w w:val="92"/>
              </w:rPr>
              <w:t>as of</w:t>
            </w: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6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December 31, 2011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Level 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Level 2</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U.S. equity securities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r>
              <w:rPr>
                <w:rFonts w:ascii="Arial" w:cs="Arial" w:eastAsia="Arial" w:hAnsi="Arial"/>
                <w:sz w:val="11"/>
                <w:szCs w:val="11"/>
                <w:color w:val="auto"/>
              </w:rPr>
              <w:t>(3)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Total benefit plan assets</w:t>
            </w: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See Note 14, “Fair Value of Financial Instruments,” for further discussion of fair value measurements.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various classes of domestic, international and emerging market equity and fixed-income securities.</w:t>
      </w:r>
    </w:p>
    <w:p>
      <w:pPr>
        <w:spacing w:after="0" w:line="8" w:lineRule="exact"/>
        <w:rPr>
          <w:rFonts w:ascii="Arial" w:cs="Arial" w:eastAsia="Arial" w:hAnsi="Arial"/>
          <w:sz w:val="22"/>
          <w:szCs w:val="22"/>
          <w:color w:val="auto"/>
          <w:vertAlign w:val="superscript"/>
        </w:rPr>
      </w:pPr>
    </w:p>
    <w:p>
      <w:pPr>
        <w:ind w:left="460" w:right="300" w:hanging="452"/>
        <w:spacing w:after="0" w:line="221"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Includes cash and multi-strategy hedge funds. Securities held in multi-strategy hedge funds are held in multiple asset classes and include investments in equity and fixed-income securities, arbitrage investments and futures.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expected rate of return on plan assets for the NASDAQ OMX Benefit Plans represents our long-term assessment of return expectations which may change based on significant shifts in economic and financial market conditions. The long-term rate of return on plan assets is derived from return assumptions determined based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asset classes held and weighted based on the current target allocation for each class. Over the long term, our investments in bond mutual funds are expected to return between 4% and 5%, investments in equity mutual funds and U.S. equity securities are expected to return between 7% and 9%, other investment strategies are expected to return between 7% and 8%, and cash is expected to return between 2% and 3%. While we considered the NASDAQ OMX Benefit Plans recent performance and other economic growth and inflation factors, which are supported by long-term historical data, the return expectations for each of these asset categories represents a long-term prospective return. Based on historical experience, the NASDAQ OMX Pension and 401(k) Committee expects that the plans’ asset managers overall will provide a modest (1% per annum) premium to their respective market benchmark indexes.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Accumulated other comprehensive income (loss), as of December 31, 2011, consisted of the following amounts that have yet to be recognized in net periodic benefit costs for the NASDAQ OMX Benefit Plans: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Post-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Pension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SERP</w:t>
            </w:r>
          </w:p>
        </w:tc>
        <w:tc>
          <w:tcPr>
            <w:tcW w:w="7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retirement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gain/(loss)</w:t>
            </w:r>
          </w:p>
        </w:tc>
        <w:tc>
          <w:tcPr>
            <w:tcW w:w="1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90"/>
              </w:rPr>
              <w:t>(3)</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benefit</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277"/>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 adjustments, net of tax</w:t>
            </w:r>
          </w:p>
        </w:tc>
        <w:tc>
          <w:tcPr>
            <w:tcW w:w="1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90"/>
              </w:rPr>
              <w:t>(2)</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 for the NASDAQ OMX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79"/>
              </w:rPr>
              <w:t>Post-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Pension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SERP</w:t>
            </w:r>
          </w:p>
        </w:tc>
        <w:tc>
          <w:tcPr>
            <w:tcW w:w="5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retirement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42"/>
        </w:trPr>
        <w:tc>
          <w:tcPr>
            <w:tcW w:w="7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 through 2021</w:t>
            </w: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Benefit Plans</w:t>
      </w:r>
    </w:p>
    <w:p>
      <w:pPr>
        <w:spacing w:after="0" w:line="8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$14 million in 2011, $13 million in 2010 and $14 million in 2009.</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part of the acquisition of certain subsidiaries of Nord Pool, we assumed the obligation for several pension plans providing benefits for these employees. Employees covered under these pension plans are entitled to defined future pension benefits based on the number of years of employment and pay at retirement age.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measurement date of the plan obligations is December 31. The projected benefit obligation was $15 million at December 31, 2011 and $14 million at December 31, 2010. The fair value of the plan assets was $7 million at December 31, 2011 and $6 million at December 31, 2010. The underfunded status of the plans was $8 million at both December 31, 2011 and 2010, and was included in other non-current liabilities in the Consolidated Balance Sheets. The benefit cost for these plans was $2 million in 2011, $1 million in 2010 and $3 million in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Defined Contribution Savings Plan</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$4 million in 2011, 2010 and 2009.</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ERC expense recorded in compensation and benefits expense in the Consolidated Statements of Income was $5 million in 2011 and $4 million in both 2010 and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an ESPP under which approximately 3.6 million shares of our common stock have been reserved for future issuance as of December 31, 2011.</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2011, employees purchased 246,850 shares at a weighted-average price of $20.64, during 2010, employees purchased 242,865 shares at a weighted-average price of $15.08 and during 2009, employees purchased 201,559 shares at a weighted-average price of $17.68 under the ESPP. We recorded compensation expense of $1.2 million for the year ended December 31, 2011, $0.8 million for the year ended December 31, 2010 and $0.6 million for the year ended December 31, 2009 for the 15.0% discount that is given to our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 share-based compensation program that provides our board of directors broad discretion in creating employee equity incentives. Share-based awards, or equity awards, include employee stock options, restricted stock (which includes awards and units), and PSUs. Grants of equity awards are designed to reward employees for their long-term contributions and provide incentives for them to remain with us. For accounting purposes, we consider PSUs to be a form of restricted stock.</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Restricted stock is generally time-based and vests over three- to five-year periods beginning on the date of the grant. Stock options are also generally time-based and expire ten years from the grant date. Stock option and restricted stock awards generally include performance-based accelerated vesting features based on achievement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of specific levels of corporate performance. If NASDAQ OMX exceeds the applicable performance parameters, the grants vest on the third anniversary of the grant date, if NASDAQ OMX meets the applicable performance parameters, the grants vest on the fourth anniversary of the grant date, and if NASDAQ OMX does not meet the applicable performance parameters, the grants vest on the fifth anniversary of the grant date.</w:t>
      </w:r>
    </w:p>
    <w:p>
      <w:pPr>
        <w:spacing w:after="0" w:line="9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Program</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May 2010, NASDAQ OMX shareholders approved a proposal to allow for a one-time voluntary stock option exchange program, designed to provide eligible employees an opportunity to exchange some or all of their eligible underwater stock options for a lesser amount of replacement stock options to be granted with a lower exercise price and a longer vesting period. Participants in the program were entitled to receive one replacement option for each 1.4 eligible options exchanged. Stock options eligible for the exchange were granted on or after January 1, 2006 and on or before June 30, 2008 with an exercise price greater than $30.00. The program commenced on July 7, 2010 and expired on August 3, 2010. A total of 0.8 million eligible stock options were tendered by employees, representing 90% of the total stock options eligible for exchange. On August 3, 2010, we granted 0.6 million new replacement stock options with an exercise price of $20.04, which was equal to the closing price of our common stock on that date. The replacement options are subject to a new vesting schedule and vest ratably in three equal annual installments on August 3, 2011 through August 3, 2013 and have a term of seven years. No incremental stock option expense was recognized for the replacement options as the fair value of the replacement options did not exceed the fair value of the exchanged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2011 Equity Awards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March 2011,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2011, we exceeded the applicable performance parameters, and therefore, we will expense the grant over a three-year vesting period.</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2011, certain officers received grants of a target amount of 632,368 PSUs. Of these PSUs granted, 100,000 units are subject to a three-year performance period and vest at the end of the performance period. The remaining 532,368 units are subject to a one-year performance period and generally will vest ratably on an annual basis on December 31, 2012 through December 31, 2014. During 2011, certain grants exceeded the applicable performance parameters for the one-year performance PSUs. As a result, an additional 248,042 units were considered granted in February 2012.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“Summary of Stock Option Activity” and “Summary of Restricted Stock and PSU Activity” below for further discussion.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2010 Equity Awards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March 2010,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2010, we achieved the applicable performance parameters, and therefore, we will continue to expense the grant over the four-year vesting period.</w:t>
      </w:r>
    </w:p>
    <w:p>
      <w:pPr>
        <w:spacing w:after="0" w:line="9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2010, certain officers received grants of 629,743 PSUs. Of these PSUs granted, 80,000 units are subject to a three-year performance period and vest at the end of the period. The remaining 549,743 units are subject to a one-year performance period and generally vest ratably on an annual basis on December 31, 2011 through December 31, 2013. During 2010, certain grants exceeded the applicable performance parameters for the one-year performance PSUs. As a result, an additional 19,142 units were considered granted in February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2009 Equity Awards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2009, certain officers received grants of 105,641 PSUs. Of these PSUs granted, 80,000 units are subject to a three- year performance period and vest at the end of the period. The remaining 25,641 units were subject to a one-year performance period and vest ratably on an annual basis on December 31, 2010 through December 31, 2012. During 2009, we exceeded the applicable performance parameters for the one-year performance PSUs. As a result, an additional 12,308 units were considered granted in February 2010.</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Also in 2009, certain officers received grants of 972,319 non-qualified stock options that expire ten years from the grant date. Of these options granted, 450,000 vested on December 31, 2011 and 450,000 will vest on December 31, 2012 and are not subject to any performance measures. The remaining 72,319 options granted included a performance based accelerated vesting feature based on us achieving specific levels of performance, as described above. In 2009, we achieved the applicable performance parameters, and therefore, we will continue to expense the grant over the four-year vesting period.</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Additionally, certain officers received grants of restricted stock of 725,000 in 2009. Of these grants, 675,000 vested 30% on June 30, 2011 and 70% will vest on June 30, 2012. The remaining 50,000 grants of restricted stock will vest on March 31,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Available Under Our Equity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we had approximately 6.1 million shares of common stock authorized for future issuance under our Equity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2011, 2010 and 2009 in the Consolidated Statements of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87"/>
              </w:rPr>
              <w:t>Year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benefit</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(13)</w:t>
            </w: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after income taxes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420" w:type="dxa"/>
            <w:vAlign w:val="bottom"/>
            <w:gridSpan w:val="2"/>
          </w:tcPr>
          <w:p>
            <w:pPr>
              <w:jc w:val="right"/>
              <w:ind w:right="3232"/>
              <w:spacing w:after="0"/>
              <w:rPr>
                <w:sz w:val="20"/>
                <w:szCs w:val="20"/>
                <w:color w:val="auto"/>
              </w:rPr>
            </w:pPr>
            <w:r>
              <w:rPr>
                <w:rFonts w:ascii="Arial" w:cs="Arial" w:eastAsia="Arial" w:hAnsi="Arial"/>
                <w:sz w:val="18"/>
                <w:szCs w:val="18"/>
                <w:color w:val="auto"/>
              </w:rPr>
              <w:t>F-55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estimated the fair value of stock option awards using the Black-Scholes valuation model with the following assumptions: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r>
    </w:tbl>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computation of expected life is based on historical exercise patterns. The interest rate for periods within the expected life of the award is based on the U.S. Treasury yield curve in effect at the time of grant. Our computation of expected volatility is based on a market-based implied volatility. Our credit facilities limit our ability to pay dividends. Before our credit facilities were in place, it was not our policy to declare or pay cash dividends on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2011, 2010 and 2009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5"/>
          </w:tcPr>
          <w:p>
            <w:pPr>
              <w:ind w:left="480"/>
              <w:spacing w:after="0"/>
              <w:rPr>
                <w:sz w:val="20"/>
                <w:szCs w:val="20"/>
                <w:color w:val="auto"/>
              </w:rPr>
            </w:pPr>
            <w:r>
              <w:rPr>
                <w:rFonts w:ascii="Arial" w:cs="Arial" w:eastAsia="Arial" w:hAnsi="Arial"/>
                <w:sz w:val="14"/>
                <w:szCs w:val="14"/>
                <w:b w:val="1"/>
                <w:bCs w:val="1"/>
                <w:color w:val="auto"/>
              </w:rPr>
              <w:t>Stock Options Outstanding</w:t>
            </w:r>
          </w:p>
        </w:tc>
      </w:tr>
      <w:tr>
        <w:trPr>
          <w:trHeight w:val="129"/>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5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Number of Stock</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2009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10,726,905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1,018,155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(814,575)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Forfeited or expired</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(723,614)</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32.32</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10,206,871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1,855,979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(708,731)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Forfeited or expired</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(395,148)</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exchange program</w:t>
            </w:r>
            <w:r>
              <w:rPr>
                <w:rFonts w:ascii="Arial" w:cs="Arial" w:eastAsia="Arial" w:hAnsi="Arial"/>
                <w:sz w:val="11"/>
                <w:szCs w:val="11"/>
                <w:color w:val="auto"/>
              </w:rPr>
              <w:t>(2)</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(846,129)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38.96</w:t>
            </w: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Outstanding at December 31, 2010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10,112,842</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(1,030,721)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(425,516)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Outstanding at December 31, 2011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9,924,035</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67" w:lineRule="auto"/>
        <w:tabs>
          <w:tab w:leader="none" w:pos="460" w:val="left"/>
        </w:tabs>
        <w:numPr>
          <w:ilvl w:val="0"/>
          <w:numId w:val="77"/>
        </w:numPr>
        <w:rPr>
          <w:rFonts w:ascii="Arial" w:cs="Arial" w:eastAsia="Arial" w:hAnsi="Arial"/>
          <w:sz w:val="20"/>
          <w:szCs w:val="20"/>
          <w:color w:val="auto"/>
          <w:vertAlign w:val="superscript"/>
        </w:rPr>
      </w:pPr>
      <w:r>
        <w:rPr>
          <w:rFonts w:ascii="Arial" w:cs="Arial" w:eastAsia="Arial" w:hAnsi="Arial"/>
          <w:sz w:val="16"/>
          <w:szCs w:val="16"/>
          <w:color w:val="auto"/>
        </w:rPr>
        <w:t>Stock options granted in 2011 and 2010 primarily reflect our company-wide equity grants issued in March 2011 and 2010, which include a performance-based accelerated vesting feature based on achievement of specific levels of corporate performance, as described above. Stock options granted in 2010 also include the issuance of replacement stock options in connection with our stock option exchange program. See “Stock Option Exchange Program” above for further discussion. Stock options granted in 2009 primarily reflect awards issued to certain officers, as described above.</w:t>
      </w:r>
    </w:p>
    <w:p>
      <w:pPr>
        <w:ind w:left="460" w:hanging="452"/>
        <w:spacing w:after="0" w:line="214" w:lineRule="auto"/>
        <w:tabs>
          <w:tab w:leader="none" w:pos="460" w:val="left"/>
        </w:tabs>
        <w:numPr>
          <w:ilvl w:val="0"/>
          <w:numId w:val="77"/>
        </w:numPr>
        <w:rPr>
          <w:rFonts w:ascii="Arial" w:cs="Arial" w:eastAsia="Arial" w:hAnsi="Arial"/>
          <w:sz w:val="21"/>
          <w:szCs w:val="21"/>
          <w:color w:val="auto"/>
          <w:vertAlign w:val="superscript"/>
        </w:rPr>
      </w:pPr>
      <w:r>
        <w:rPr>
          <w:rFonts w:ascii="Arial" w:cs="Arial" w:eastAsia="Arial" w:hAnsi="Arial"/>
          <w:sz w:val="17"/>
          <w:szCs w:val="17"/>
          <w:color w:val="auto"/>
        </w:rPr>
        <w:t>Represents stock options tendered in our stock option exchange program. See “Stock Option Exchange Program” above for further discussion.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received net cash proceeds of $10 million from the exercise of approximately 1,030,721 stock options for the year ended December 31, 2011, received net cash proceeds of $7 million from the exercise of approximately 708,731 stock options for the year ended December 31, 2010, and received net cash proceeds of $6 million from the exercise of approximately 814,575 stock options for the year ended December 31, 2009. We present excess tax benefits from the exercise of stock options, if any, as financing cash flows.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Intrinsic</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17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(in years)</w:t>
            </w: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7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14"/>
                <w:szCs w:val="14"/>
                <w:color w:val="auto"/>
              </w:rPr>
            </w:pPr>
          </w:p>
        </w:tc>
        <w:tc>
          <w:tcPr>
            <w:tcW w:w="11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(in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$ 5.28 -$ 7.34</w:t>
            </w:r>
          </w:p>
        </w:tc>
        <w:tc>
          <w:tcPr>
            <w:tcW w:w="1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1,880,750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1,880,750</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$ 7.35 -$ 8.34</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1,289,076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1,289,076</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$ 8.35 -$10.24</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668,682</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668,682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$10.25 - $14.49</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19,520</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19,520</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$14.50 -$19.69</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116,691</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17,742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$19.70 -$25.01</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2,582,940</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663,864</w:t>
            </w: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$25.02 -$30.09</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2,080,919</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67,621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$30.10 -$35.91</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9,631</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9,235</w:t>
            </w: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$35.92 -$38.99</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1,121,420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1,041,420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$39.00 -$42.28</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52,472</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52,472</w:t>
            </w:r>
          </w:p>
        </w:tc>
        <w:tc>
          <w:tcPr>
            <w:tcW w:w="700" w:type="dxa"/>
            <w:vAlign w:val="bottom"/>
          </w:tcPr>
          <w:p>
            <w:pPr>
              <w:jc w:val="right"/>
              <w:spacing w:after="0"/>
              <w:rPr>
                <w:sz w:val="20"/>
                <w:szCs w:val="20"/>
                <w:color w:val="auto"/>
              </w:rPr>
            </w:pPr>
            <w:r>
              <w:rPr>
                <w:rFonts w:ascii="Arial" w:cs="Arial" w:eastAsia="Arial" w:hAnsi="Arial"/>
                <w:sz w:val="18"/>
                <w:szCs w:val="18"/>
                <w:color w:val="auto"/>
              </w:rPr>
              <w:t>5.58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$42.29 -$48.81</w:t>
            </w:r>
          </w:p>
        </w:tc>
        <w:tc>
          <w:tcPr>
            <w:tcW w:w="17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101,934</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9,924,035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5,812,316</w:t>
            </w: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aggregate intrinsic value in the above table represents the total pre-tax intrinsic value (i.e., the difference between our closing stock price on December 30, 2011 of $24.51 and the exercise price, times the number of shares) based on stock options with an exercise price less than NASDAQ OMX’s closing price of $24.51 as of December 30, 2011, which would have been received by the option holders had the option holders exercised their stock options on that date. This amount can change based on the fair market value of our common stock. The total number of in-the-money stock options exercisable as of December 31, 2011 was 4.5 million. As of December 31, 2010, 6.1 million outstanding stock options were exercisable and the weighted-average exercise price was $13.19.</w:t>
      </w:r>
    </w:p>
    <w:p>
      <w:pPr>
        <w:spacing w:after="0" w:line="13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Total fair value of stock options vested was $6 million for the year ended December 31, 2011 and $5 million for the year ended December 31, 2010. The total pre-tax intrinsic value of stock options exercised was $15 million during 2011, $8 million during 2010 and $10 million during 2009.</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2011, $12 million of total unrecognized compensation cost related to stock options is expected to be recognized over a weighted-average period of 1.7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and PSU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and PSU activity for the years ended December 31, 2011,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b w:val="1"/>
                <w:bCs w:val="1"/>
                <w:color w:val="auto"/>
              </w:rPr>
              <w:t>Restricted Stock</w:t>
            </w:r>
          </w:p>
        </w:tc>
        <w:tc>
          <w:tcPr>
            <w:tcW w:w="76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PSUs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260" w:type="dxa"/>
            <w:vAlign w:val="bottom"/>
            <w:gridSpan w:val="2"/>
          </w:tcPr>
          <w:p>
            <w:pPr>
              <w:jc w:val="right"/>
              <w:ind w:right="492"/>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Awards</w:t>
            </w: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Fair Value</w:t>
            </w:r>
          </w:p>
        </w:tc>
        <w:tc>
          <w:tcPr>
            <w:tcW w:w="12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Awards</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balances at January 1,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1,884,472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631,968</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861,919</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20.79</w:t>
            </w:r>
          </w:p>
        </w:tc>
        <w:tc>
          <w:tcPr>
            <w:tcW w:w="4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105,641</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(260,721)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(276,922)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32.53</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(184,927)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2009</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2,208,748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552,682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1,223,921</w:t>
            </w:r>
            <w:r>
              <w:rPr>
                <w:rFonts w:ascii="Arial" w:cs="Arial" w:eastAsia="Arial" w:hAnsi="Arial"/>
                <w:sz w:val="11"/>
                <w:szCs w:val="11"/>
                <w:color w:val="auto"/>
                <w:w w:val="91"/>
              </w:rPr>
              <w:t>(2)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19.80</w:t>
            </w:r>
          </w:p>
        </w:tc>
        <w:tc>
          <w:tcPr>
            <w:tcW w:w="4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714,328</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(459,759)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5"/>
              </w:rPr>
              <w:t>(120,000)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(213,819)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26.87</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2010</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2,759,091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2"/>
              </w:rPr>
              <w:t>1,098,629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1,393,373</w:t>
            </w:r>
            <w:r>
              <w:rPr>
                <w:rFonts w:ascii="Arial" w:cs="Arial" w:eastAsia="Arial" w:hAnsi="Arial"/>
                <w:sz w:val="11"/>
                <w:szCs w:val="11"/>
                <w:color w:val="auto"/>
                <w:w w:val="91"/>
              </w:rPr>
              <w:t>(2)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25.31</w:t>
            </w:r>
          </w:p>
        </w:tc>
        <w:tc>
          <w:tcPr>
            <w:tcW w:w="4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651,510</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(353,235)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5"/>
              </w:rPr>
              <w:t>(279,447)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(427,896)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22.28</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(155,512)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2011</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3,371,333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10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2"/>
              </w:rPr>
              <w:t>1,315,180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21"/>
          <w:szCs w:val="21"/>
          <w:color w:val="auto"/>
          <w:vertAlign w:val="superscript"/>
        </w:rPr>
      </w:pPr>
      <w:r>
        <w:rPr>
          <w:rFonts w:ascii="Arial" w:cs="Arial" w:eastAsia="Arial" w:hAnsi="Arial"/>
          <w:sz w:val="17"/>
          <w:szCs w:val="17"/>
          <w:color w:val="auto"/>
        </w:rPr>
        <w:t>PSUs granted in 2011, 2010 and 2009 and restricted stock granted in 2009 primarily reflect awards issued to certain officers, as described above.</w:t>
      </w:r>
    </w:p>
    <w:p>
      <w:pPr>
        <w:spacing w:after="0" w:line="7" w:lineRule="exact"/>
        <w:rPr>
          <w:rFonts w:ascii="Arial" w:cs="Arial" w:eastAsia="Arial" w:hAnsi="Arial"/>
          <w:sz w:val="21"/>
          <w:szCs w:val="21"/>
          <w:color w:val="auto"/>
          <w:vertAlign w:val="superscript"/>
        </w:rPr>
      </w:pPr>
    </w:p>
    <w:p>
      <w:pPr>
        <w:ind w:left="460" w:right="200" w:hanging="452"/>
        <w:spacing w:after="0" w:line="233" w:lineRule="auto"/>
        <w:tabs>
          <w:tab w:leader="none" w:pos="460" w:val="left"/>
        </w:tabs>
        <w:numPr>
          <w:ilvl w:val="0"/>
          <w:numId w:val="78"/>
        </w:numPr>
        <w:rPr>
          <w:rFonts w:ascii="Arial" w:cs="Arial" w:eastAsia="Arial" w:hAnsi="Arial"/>
          <w:sz w:val="21"/>
          <w:szCs w:val="21"/>
          <w:color w:val="auto"/>
          <w:vertAlign w:val="superscript"/>
        </w:rPr>
      </w:pPr>
      <w:r>
        <w:rPr>
          <w:rFonts w:ascii="Arial" w:cs="Arial" w:eastAsia="Arial" w:hAnsi="Arial"/>
          <w:sz w:val="17"/>
          <w:szCs w:val="17"/>
          <w:color w:val="auto"/>
        </w:rPr>
        <w:t>Restricted stock granted in 2011 and 2010 primarily reflect our company wide grants issued in March 2011 and 2010 which include a performance-based accelerated vesting feature based on achievement of specific levels of corporate performance, as described above.</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December 31, 2011, $53 million of total unrecognized compensation cost related to restricted stock and PSUs is expected to be recognized over a weighted-average period of 1.8 years.</w:t>
      </w:r>
    </w:p>
    <w:p>
      <w:pPr>
        <w:spacing w:after="0" w:line="112" w:lineRule="exact"/>
        <w:rPr>
          <w:sz w:val="20"/>
          <w:szCs w:val="20"/>
          <w:color w:val="auto"/>
        </w:rPr>
      </w:pPr>
    </w:p>
    <w:p>
      <w:pPr>
        <w:ind w:right="8300" w:firstLine="8"/>
        <w:spacing w:after="0" w:line="332" w:lineRule="auto"/>
        <w:tabs>
          <w:tab w:leader="none" w:pos="26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NASDAQ OMX Stockholders’ Equity Common Stock</w:t>
      </w:r>
    </w:p>
    <w:p>
      <w:pPr>
        <w:spacing w:after="0" w:line="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December 31, 2011, 300,000,000 shares of our common stock were authorized, 213,398,111 shares were issued and 173,552,939 shares were outstanding. The holders of common stock are entitled to one vote per share, except that our certificate of incorporation limits the ability of any person to vote in excess of 5.0% of the then-outstanding shares of NASDAQ OMX common stock. This limitation does not apply to persons exempted from this limitation by our board of directors prior to the time such person owns more than 5.0% of the then-outstanding shares of NASDAQ OMX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in Treasury, at Cost</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account for the purchase of treasury stock under the cost method with the shares of stock repurchased reflected as a reduction to NASDAQ OMX stockholders’ equity and included in common stock in treasury, at cost in the Consolidated Balance Sheets. When treasury shares are reissued, they are recorded at the average cost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of the treasury shares acquired. We held 39,845,172 shares of common stock in treasury as of December 31, 2011 and 37,587,403 shares as of December 31, 2010. The increase during the year ended December 31, 2011 was primarily due to our share repurchase program partially offset by shares of common stock in treasury reissued under our share-based compensation program. See “Share Repurchase Programs and Share Repurchase from Borse Dubai” below for further discussion of our share repurchase programs and Note 11, “Share-Based Compensation,” for further discussion of our share-based compensation program.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Share Repurchase from Borse Dubai</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October 2011, our board of directors approved a share repurchase program authorizing NASDAQ OMX to repurchase in the aggregate up to $300 million of our outstanding common stock. These purchases may be made from time to time at prevailing market prices in open market purchases, privately-negotiated transactions, block purchase techniques or otherwise, as determined by our management. The purchases will be funded from existing cash balances. The share repurchase program may be suspended, modified or discontinued at any time. During the fourth quarter of 2011, we repurchased 3,983,481 shares of our common stock at an average price of $25.10, for an aggregate purchase price of $100 million.</w:t>
      </w:r>
    </w:p>
    <w:p>
      <w:pPr>
        <w:spacing w:after="0" w:line="10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Under the share repurchase program authorized by our board of directors during 2010, we were authorized to repurchase up to $550 million of our outstanding common stock. During 2010, we repurchased 15,050,647 shares of our common stock at an average price of $19.95, for an aggregate purchase price of $300 million. In December 2010, our board of directors also approved the repurchase of 22,781,000 shares of our common stock from Borse Dubai for $21.82 per share for an aggregate purchase price of approximately $497 million. The share repurchase from Borse Dubai expanded, accelerated and completed this share repurchase program. The shares repurchased under the share repurchase program and from Borse Dubai are available for general corporate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Repurchases of Common Stock</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 ended December 31, 2011, we repurchased 210,745 shares of our common stock in settlement of employee tax withholding obligations due upon the vesting of restricted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certificate of incorporation authorizes the issuance of 30,000,000 shares of preferred stock, par value $0.01 per share, issuable from time to time in one or more series. At December 31, 2011 and 2010, 1,600,000 shares of series A convertible preferred stock were issued and none were outstanding.</w:t>
      </w:r>
    </w:p>
    <w:p>
      <w:pPr>
        <w:spacing w:after="0" w:line="7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2009, as an inducement for the conversion of our 3.75% convertible notes, we agreed to pay the holders and certain of their affiliates an aggregate amount of $9 million in cash and to issue to the holders 1,600,000 shares of our series A convertible preferred stock, with an aggregate initial liquidation preference amount of $16 million. Conversion of the series A convertible preferred stock was contingent upon shareholder approval and did not represent an unconditional obligation to transfer assets. In accordance with U.S. GAAP, if the conversion and subsequent issuance of equity shares is not solely in the control of the issuer and the instrument does not represent an unconditional obligation to transfer assets, permanent equity classification is not permitted. Therefore, we recorded the fair value of the series A convertible preferred stock of $15 million as temporary equity in the Consolidated Balance Sheets as of December 31, 2009. The series A convertible preferred stock was accreted through retained earnings, through the date of shareholder approval, up to the aggregate liquidation preference amount of $16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May 2010, the shareholders approved the conversion of the series A convertible preferred stock into common stock. The series A convertible preferred stock automatically converted into 845,646 shares of common stock based on the initial liquidation preference amount of $16 million and the average daily volume weighted-average price of $18.92 of NASDAQ OMX’s common stock during the 10 day period immediately preceding the date on which the results of the shareholder vote was calculated. The changes in our series A convertible preferred stock during the year ended December 31, 2010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Series A Convertible</w:t>
            </w:r>
          </w:p>
        </w:tc>
        <w:tc>
          <w:tcPr>
            <w:tcW w:w="0" w:type="dxa"/>
            <w:vAlign w:val="bottom"/>
          </w:tcPr>
          <w:p>
            <w:pPr>
              <w:spacing w:after="0"/>
              <w:rPr>
                <w:sz w:val="1"/>
                <w:szCs w:val="1"/>
                <w:color w:val="auto"/>
              </w:rPr>
            </w:pPr>
          </w:p>
        </w:tc>
      </w:tr>
      <w:tr>
        <w:trPr>
          <w:trHeight w:val="16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Accretion for the year ended December 31, 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Conversion into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Balance as of December 31, 2010</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6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Accumulated other comprehensive loss is composed of unrealized holding gains and losses on available-for-sale investment securities, foreign currency translation adjustments and employee benefit plan adjustments.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accumulated other comprehensive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Holding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Gains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(Losses) 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Available-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Foreign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For-Sale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Employee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160" w:type="dxa"/>
            <w:vAlign w:val="bottom"/>
            <w:gridSpan w:val="4"/>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Investment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1"/>
                <w:szCs w:val="11"/>
                <w:color w:val="auto"/>
              </w:rPr>
            </w:pPr>
          </w:p>
        </w:tc>
        <w:tc>
          <w:tcPr>
            <w:tcW w:w="136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86"/>
              </w:rPr>
              <w:t>Benefit Plan</w:t>
            </w:r>
          </w:p>
        </w:tc>
        <w:tc>
          <w:tcPr>
            <w:tcW w:w="4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8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86"/>
              </w:rPr>
              <w:t>Securities</w:t>
            </w:r>
            <w:r>
              <w:rPr>
                <w:rFonts w:ascii="Arial" w:cs="Arial" w:eastAsia="Arial" w:hAnsi="Arial"/>
                <w:sz w:val="20"/>
                <w:szCs w:val="20"/>
                <w:b w:val="1"/>
                <w:bCs w:val="1"/>
                <w:color w:val="auto"/>
                <w:w w:val="86"/>
                <w:vertAlign w:val="superscript"/>
              </w:rPr>
              <w:t>(1)</w:t>
            </w:r>
          </w:p>
        </w:tc>
        <w:tc>
          <w:tcPr>
            <w:tcW w:w="48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(2)</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jc w:val="center"/>
              <w:ind w:right="500"/>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(3)</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Gross balance, December 31, 2010</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December 31, 2010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Gross balance, December 31,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balance, December 31, 2011</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(332)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4" w:lineRule="auto"/>
        <w:tabs>
          <w:tab w:leader="none" w:pos="46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Amount includes cumulative gains and losses on our available-for-sale investment in DFM in 2010. In the fourth quarter of 2011, we recorded a non-cash, other-than-temporary impairment charge of $18 million related to our investment in DFM. See Note 5, “Investments,” for further discussion.</w:t>
      </w:r>
    </w:p>
    <w:p>
      <w:pPr>
        <w:ind w:left="460" w:right="180" w:hanging="452"/>
        <w:spacing w:after="0" w:line="225"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Amounts include cumulative gains and losses on foreign currency translation adjustments from non-U.S. subsidiaries for which the functional currency is other than the U.S. dollar.</w:t>
      </w:r>
    </w:p>
    <w:p>
      <w:pPr>
        <w:ind w:left="460" w:hanging="452"/>
        <w:spacing w:after="0" w:line="205"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Amounts primarily represent unrecognized net actuarial gains (losses) related to the NASDAQ OMX Benefit Plans.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(in millions, except share and per share amounts)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 attributable to NASDAQ OMX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9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series A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shareholders for basic earnings per share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9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impact of 3.75% convertible notes, net of tax</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Net income attributable to common shareholders for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9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Weighted-average common shares outstanding for basic earnings per share</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176,331,819</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202,975,623</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204,698,277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dilutive securities: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Employee equity awards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3,644,946</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3,504,550</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3.75% convertible notes assumed converted into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for diluted earnings per share</w:t>
            </w: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180,011,247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206,514,655</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214,537,907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9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72" w:lineRule="auto"/>
        <w:tabs>
          <w:tab w:leader="none" w:pos="46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The decrease in the weighted-average common shares outstanding for basic and diluted earnings per share primarily reflects the weighted-average impact of the share repurchase from Borse Dubai and other purchases related to our share repurchase programs completed in 2011 and 2010. See “Share Repurchase Programs and Share Repurchase from Borse Dubai,” of Note 12, “NASDAQ OMX Stockholders’ Equity,” for further discussion.</w:t>
      </w:r>
    </w:p>
    <w:p>
      <w:pPr>
        <w:spacing w:after="0" w:line="119"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Stock options to purchase 9,924,035 shares of common stock, 4,686,513 shares of restricted stock and PSUs, and convertible notes convertible into 34,482 shares of common stock were outstanding at December 31, 2011. For the year ended December 31, 2011, we included 6,506,899 of the outstanding stock options and 4,053,698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year ended December 31, 2010, the weighted-average common shares outstanding for basic earnings per share include the weighted-average impact of our share repurchase program and our share repurchase from Borse Dubai. For the year ended December 31, 2010, we repurchased 15,050,647 shares of our common stock through our share repurchase program and 22,781,000 shares of our common stock through the share repurchase from Borse Dubai. In addition, for the year ended December 31, 2010, the weighted-average common shares outstanding for basic earnings per share include the weighted-average impact of 845,646 shares of our common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stock that were issued in connection with the conversion of our series A convertible preferred stock in the second quarter of 2010. See “Share Repurchase Programs and Share Repurchase from Borse Dubai,” and “Preferred Stock,” of Note 12, “NASDAQ OMX Stockholders’ Equity,” for further discussion.</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 options to purchase 10,112,842 shares of common stock, 3,857,720 shares of restricted stock and PSUs, and convertible notes convertible into 34,482 shares of common stock were outstanding at December 31, 2010. For the year ended December 31, 2010, we included 4,873,543 of the outstanding stock options and 1,086,998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Stock options to purchase 10,206,871 shares of common stock, 2,761,430 shares of restricted stock and PSUs, and convertible notes convertible into 34,482 shares of common stock were outstanding at December 31, 2009. For the year ended December 31, 2009, we included 5,601,324 of the outstanding stock options and 1,134,138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2009, most of the holders of our outstanding 3.75% convertible notes converted their remaining outstanding notes into common stock in accordance with the terms of the notes, which resulted in the issuance of an aggregate of 8,246,680 shares of our common stock. The 3.75% convertible notes are accounted for under the if-converted method, as we previously have settled the convertible notes in shares of our common stock. For the year ended December 31, 2011 and 2010, all of the shares underlying the remaining outstanding 3.75% convertible notes were included in the computation of diluted earnings per share, as their inclusion was dilutive.</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2.50% convertible senior notes are accounted for under the treasury stock method as it is our intent and policy to settle the principal amount of the notes in cash. Based on the settlement structure of the 2.50% convertible senior notes, which permits the principal amount to be settled in cash and the conversion premium to be settled in shares of our common stock or cash, we will reflect the impact of the convertible spread portion of the convertible notes in the diluted calculation using the treasury stock method. For the years ended December 31, 2011, 2010 and 2009, the conversion spread of our 2.50% convertible senior notes was out of the money, and as such, they were properly excluded from the computation of diluted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Measurement—Definition and Hierarchy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18"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3—Instruments whose significant value drivers are unobservable.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hierarchy requires the use of observable market data when available.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as of December 31, 2011 and December 31, 2010.</w:t>
      </w:r>
    </w:p>
    <w:p>
      <w:pPr>
        <w:sectPr>
          <w:pgSz w:w="11900" w:h="16838" w:orient="portrait"/>
          <w:cols w:equalWidth="0" w:num="1">
            <w:col w:w="11360"/>
          </w:cols>
          <w:pgMar w:left="240" w:top="46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0"/>
        <w:spacing w:after="0" w:line="262" w:lineRule="auto"/>
        <w:rPr>
          <w:sz w:val="20"/>
          <w:szCs w:val="20"/>
          <w:color w:val="auto"/>
        </w:rPr>
      </w:pPr>
      <w:r>
        <w:rPr>
          <w:rFonts w:ascii="Arial" w:cs="Arial" w:eastAsia="Arial" w:hAnsi="Arial"/>
          <w:sz w:val="18"/>
          <w:szCs w:val="18"/>
          <w:b w:val="1"/>
          <w:bCs w:val="1"/>
          <w:u w:val="single" w:color="auto"/>
          <w:color w:val="auto"/>
        </w:rPr>
        <w:t xml:space="preserve">Financial Assets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(1)</w:t>
      </w:r>
      <w:r>
        <w:rPr>
          <w:rFonts w:ascii="Arial" w:cs="Arial" w:eastAsia="Arial" w:hAnsi="Arial"/>
          <w:sz w:val="18"/>
          <w:szCs w:val="18"/>
          <w:color w:val="auto"/>
        </w:rPr>
        <w:t xml:space="preserve"> Financial investments, at fair value</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w:t>
      </w:r>
    </w:p>
    <w:p>
      <w:pPr>
        <w:spacing w:after="0" w:line="57" w:lineRule="exact"/>
        <w:rPr>
          <w:sz w:val="20"/>
          <w:szCs w:val="20"/>
          <w:color w:val="auto"/>
        </w:rPr>
      </w:pPr>
    </w:p>
    <w:p>
      <w:pPr>
        <w:ind w:right="2320"/>
        <w:spacing w:after="0" w:line="269" w:lineRule="auto"/>
        <w:rPr>
          <w:sz w:val="20"/>
          <w:szCs w:val="20"/>
          <w:color w:val="auto"/>
        </w:rPr>
      </w:pPr>
      <w:r>
        <w:rPr>
          <w:rFonts w:ascii="Arial" w:cs="Arial" w:eastAsia="Arial" w:hAnsi="Arial"/>
          <w:sz w:val="18"/>
          <w:szCs w:val="18"/>
          <w:b w:val="1"/>
          <w:bCs w:val="1"/>
          <w:u w:val="single" w:color="auto"/>
          <w:color w:val="auto"/>
        </w:rPr>
        <w:t xml:space="preserve">Financial Liabilities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0"/>
        <w:spacing w:after="0" w:line="262" w:lineRule="auto"/>
        <w:rPr>
          <w:sz w:val="20"/>
          <w:szCs w:val="20"/>
          <w:color w:val="auto"/>
        </w:rPr>
      </w:pPr>
      <w:r>
        <w:rPr>
          <w:rFonts w:ascii="Arial" w:cs="Arial" w:eastAsia="Arial" w:hAnsi="Arial"/>
          <w:sz w:val="18"/>
          <w:szCs w:val="18"/>
          <w:b w:val="1"/>
          <w:bCs w:val="1"/>
          <w:u w:val="single" w:color="auto"/>
          <w:color w:val="auto"/>
        </w:rPr>
        <w:t xml:space="preserve">Financial Assets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(1)</w:t>
      </w:r>
      <w:r>
        <w:rPr>
          <w:rFonts w:ascii="Arial" w:cs="Arial" w:eastAsia="Arial" w:hAnsi="Arial"/>
          <w:sz w:val="18"/>
          <w:szCs w:val="18"/>
          <w:color w:val="auto"/>
        </w:rPr>
        <w:t xml:space="preserve"> Financial investments, at fair value</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w:t>
      </w:r>
    </w:p>
    <w:p>
      <w:pPr>
        <w:spacing w:after="0" w:line="57" w:lineRule="exact"/>
        <w:rPr>
          <w:sz w:val="20"/>
          <w:szCs w:val="20"/>
          <w:color w:val="auto"/>
        </w:rPr>
      </w:pPr>
    </w:p>
    <w:p>
      <w:pPr>
        <w:ind w:right="2320"/>
        <w:spacing w:after="0" w:line="269" w:lineRule="auto"/>
        <w:rPr>
          <w:sz w:val="20"/>
          <w:szCs w:val="20"/>
          <w:color w:val="auto"/>
        </w:rPr>
      </w:pPr>
      <w:r>
        <w:rPr>
          <w:rFonts w:ascii="Arial" w:cs="Arial" w:eastAsia="Arial" w:hAnsi="Arial"/>
          <w:sz w:val="18"/>
          <w:szCs w:val="18"/>
          <w:b w:val="1"/>
          <w:bCs w:val="1"/>
          <w:u w:val="single" w:color="auto"/>
          <w:color w:val="auto"/>
        </w:rPr>
        <w:t xml:space="preserve">Financial Liabilities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1355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200"/>
        <w:spacing w:after="0"/>
        <w:tabs>
          <w:tab w:leader="none" w:pos="1040" w:val="left"/>
          <w:tab w:leader="none" w:pos="1940" w:val="left"/>
          <w:tab w:leader="none" w:pos="28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1355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b w:val="1"/>
          <w:bCs w:val="1"/>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1,566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1,845</w:t>
            </w:r>
          </w:p>
        </w:tc>
        <w:tc>
          <w:tcPr>
            <w:tcW w:w="3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279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1,566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1,566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1,566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As of December 31, 2010</w:t>
      </w: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Level 3</w:t>
            </w:r>
          </w:p>
        </w:tc>
      </w:tr>
      <w:tr>
        <w:trPr>
          <w:trHeight w:val="168"/>
        </w:trPr>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9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4,037</w:t>
            </w:r>
          </w:p>
        </w:tc>
        <w:tc>
          <w:tcPr>
            <w:tcW w:w="5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4,037</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2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4,290</w:t>
            </w:r>
          </w:p>
        </w:tc>
        <w:tc>
          <w:tcPr>
            <w:tcW w:w="3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4,037</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8"/>
              </w:rPr>
              <w:t>4,037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4,037</w:t>
            </w:r>
          </w:p>
        </w:tc>
        <w:tc>
          <w:tcPr>
            <w:tcW w:w="5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4,037</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7240" w:space="720"/>
            <w:col w:w="3400"/>
          </w:cols>
          <w:pgMar w:left="240" w:top="460" w:right="299" w:bottom="1440" w:gutter="0" w:footer="0" w:header="0"/>
          <w:type w:val="continuous"/>
        </w:sectPr>
      </w:pPr>
    </w:p>
    <w:p>
      <w:pPr>
        <w:ind w:left="460" w:right="20" w:hanging="452"/>
        <w:spacing w:after="0" w:line="248" w:lineRule="auto"/>
        <w:tabs>
          <w:tab w:leader="none" w:pos="460" w:val="left"/>
        </w:tabs>
        <w:numPr>
          <w:ilvl w:val="0"/>
          <w:numId w:val="83"/>
        </w:numPr>
        <w:rPr>
          <w:rFonts w:ascii="Arial" w:cs="Arial" w:eastAsia="Arial" w:hAnsi="Arial"/>
          <w:sz w:val="21"/>
          <w:szCs w:val="21"/>
          <w:color w:val="auto"/>
          <w:vertAlign w:val="superscript"/>
        </w:rPr>
      </w:pPr>
      <w:r>
        <w:rPr>
          <w:rFonts w:ascii="Arial" w:cs="Arial" w:eastAsia="Arial" w:hAnsi="Arial"/>
          <w:sz w:val="17"/>
          <w:szCs w:val="17"/>
          <w:color w:val="auto"/>
        </w:rPr>
        <w:t>Represents net amounts associated with our clearing operations in the derivative markets with NASDAQ OMX Commodities and NASDAQ OMX Stockholm. Receivables and payables attributable to outstanding derivative positions have been netted to the extent that such a legal offset right exists and, at the same time, that it is our intention to settle these items. See “Derivative Positions, at Fair Value” below for further discussion.</w:t>
      </w:r>
    </w:p>
    <w:p>
      <w:pPr>
        <w:spacing w:after="0" w:line="1" w:lineRule="exact"/>
        <w:rPr>
          <w:rFonts w:ascii="Arial" w:cs="Arial" w:eastAsia="Arial" w:hAnsi="Arial"/>
          <w:sz w:val="21"/>
          <w:szCs w:val="21"/>
          <w:color w:val="auto"/>
          <w:vertAlign w:val="superscript"/>
        </w:rPr>
      </w:pPr>
    </w:p>
    <w:p>
      <w:pPr>
        <w:ind w:left="460" w:right="280" w:hanging="452"/>
        <w:spacing w:after="0" w:line="256" w:lineRule="auto"/>
        <w:tabs>
          <w:tab w:leader="none" w:pos="460" w:val="left"/>
        </w:tabs>
        <w:numPr>
          <w:ilvl w:val="0"/>
          <w:numId w:val="83"/>
        </w:numPr>
        <w:rPr>
          <w:rFonts w:ascii="Arial" w:cs="Arial" w:eastAsia="Arial" w:hAnsi="Arial"/>
          <w:sz w:val="21"/>
          <w:szCs w:val="21"/>
          <w:color w:val="auto"/>
          <w:vertAlign w:val="superscript"/>
        </w:rPr>
      </w:pPr>
      <w:r>
        <w:rPr>
          <w:rFonts w:ascii="Arial" w:cs="Arial" w:eastAsia="Arial" w:hAnsi="Arial"/>
          <w:sz w:val="17"/>
          <w:szCs w:val="17"/>
          <w:color w:val="auto"/>
        </w:rPr>
        <w:t>Primarily comprised of trading securities, mainly Swedish government debt securities, of $261 million as of December 31, 2011 and $220 million as of December 31, 2010. Of these securities, $212 million as of December 31, 2011 and $190 million as of December 31, 2010 are restricted assets to meet regulatory capital requirements primarily for NASDAQ OMX Stockholm’s clearing operations. This balance also includes our available-for-sale investment security in DFM of $18 million as of December 31, 2011 and $33 million as of December 31, 2010. See Note 5, “Investments,” for further discussion of our trading investment securities and available-for-sale investment security.</w:t>
      </w:r>
    </w:p>
    <w:p>
      <w:pPr>
        <w:spacing w:after="0" w:line="125" w:lineRule="exact"/>
        <w:rPr>
          <w:sz w:val="20"/>
          <w:szCs w:val="20"/>
          <w:color w:val="auto"/>
        </w:rPr>
      </w:pPr>
    </w:p>
    <w:p>
      <w:pPr>
        <w:ind w:right="4540"/>
        <w:spacing w:after="0" w:line="332" w:lineRule="auto"/>
        <w:rPr>
          <w:sz w:val="20"/>
          <w:szCs w:val="20"/>
          <w:color w:val="auto"/>
        </w:rPr>
      </w:pPr>
      <w:r>
        <w:rPr>
          <w:rFonts w:ascii="Arial" w:cs="Arial" w:eastAsia="Arial" w:hAnsi="Arial"/>
          <w:sz w:val="18"/>
          <w:szCs w:val="18"/>
          <w:b w:val="1"/>
          <w:bCs w:val="1"/>
          <w:color w:val="auto"/>
        </w:rPr>
        <w:t xml:space="preserve">Open Clearing Contracts at NASDAQ OMX Commodities and NASDAQ OMX Stockholm </w:t>
      </w:r>
      <w:r>
        <w:rPr>
          <w:rFonts w:ascii="Arial" w:cs="Arial" w:eastAsia="Arial" w:hAnsi="Arial"/>
          <w:sz w:val="18"/>
          <w:szCs w:val="18"/>
          <w:b w:val="1"/>
          <w:bCs w:val="1"/>
          <w:i w:val="1"/>
          <w:iCs w:val="1"/>
          <w:color w:val="auto"/>
        </w:rPr>
        <w:t>Derivative Positions, at Fair Value</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Through our clearing operations in the derivative markets with NASDAQ OMX Commodities and NASDAQ OMX Stockholm, we are the legal counterparty for each derivative position traded and thereby guarantee the fulfillment of each contract. We also act as the counterparty for certain trades on OTC derivative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60"/>
          </w:cols>
          <w:pgMar w:left="240" w:top="460" w:right="29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contracts. The derivatives are not used by NASDAQ OMX Commodities or NASDAQ OMX Stockholm for the purpose of trading on their own behalf. As the legal counterparty of each transaction, NASDAQ OMX Commodities and NASDAQ OMX Stockholm bear the counterparty risk between the purchaser and seller in the contract. The counterparty risks are measured using models that are agreed to with the Financial Supervisory Authority of the applicable country, which requires us to provide minimum guarantees and maintain certain levels of regulatory capital.</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structure and operations of NASDAQ OMX Commodities and NASDAQ OMX Stockholm differ from most other clearinghouses. NASDAQ OMX Commodities and NASDAQ OMX Stockholm are not member-owned organizations, do not maintain a guarantee fund to which members contribute and do not enforce loss sharing assessments amongst members. In addition, unlike most other clearinghouses, they do not record any margin deposits and guarantee funds in the Consolidated Balance Sheets, as all risks and rewards of collateral ownership, including interest, belong to the counterparty. Market participants must provide collateral to cover the daily margin call as needed, which is in addition to the initial collateral placed when entering into the transaction. Acceptable collateral is cash and eligible securities in a pledged bank account and/or an on-demand guarantee. All collateral is maintained at a third-party custodian bank for the benefit of the clearing members and is accessible by NASDAQ OMX in the event of default. In addition, market participants must meet certain minimum financial standards to mitigate the risk if they become unable to satisfy their obligations. For NASDAQ OMX Commodities, trading on the contracts can take place up until the delivery period which can occur over a period of several years. For NASDAQ OMX Stockholm, following the completion of a transaction, settlement primarily takes place between parties by net cash settlement or with the exchange of securities and funds. For those transactions where there is an exchange of securities and funds, the transfer of ownership is registered and the securities are stored on the owner’s behalf.</w:t>
      </w:r>
    </w:p>
    <w:p>
      <w:pPr>
        <w:spacing w:after="0" w:line="11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 of these derivative contracts with NASDAQ OMX Commodities and NASDAQ OMX Stockholm is reported gross in the Consolidated Balance Sheets as a receivable pertaining to the purchasing party and a payable pertaining to the selling party. Such receivables and payables attributable to outstanding derivative positions have been netted to the extent that such a legal offset right exists and, at the same time, that it is our intention to settle these items. Our derivative positions, at fair value in the Consolidated Balance Sheets were $1,566 million at December 31, 2011 and $4,037 million at December 31, 2010. See “Collateral Received for Clearing Operations, Guarantees Issued and Credit Facilities Available,” of Note 17, “Commitments, Contingencies and Guarantees,” for further discussion of our guarantees on the fulfillment of these contracts and collateral received.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fair value of our outstanding derivative positions at December 31, 2011 and 2010 prior to netting:</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Commodity forwards and options</w:t>
      </w:r>
      <w:r>
        <w:rPr>
          <w:rFonts w:ascii="Arial" w:cs="Arial" w:eastAsia="Arial" w:hAnsi="Arial"/>
          <w:sz w:val="10"/>
          <w:szCs w:val="10"/>
          <w:color w:val="auto"/>
        </w:rPr>
        <w:t>(1) (2)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Fixed-income options and futures</w:t>
      </w:r>
      <w:r>
        <w:rPr>
          <w:rFonts w:ascii="Arial" w:cs="Arial" w:eastAsia="Arial" w:hAnsi="Arial"/>
          <w:sz w:val="10"/>
          <w:szCs w:val="10"/>
          <w:color w:val="auto"/>
        </w:rPr>
        <w:t>(2)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futures</w:t>
      </w:r>
      <w:r>
        <w:rPr>
          <w:rFonts w:ascii="Arial" w:cs="Arial" w:eastAsia="Arial" w:hAnsi="Arial"/>
          <w:sz w:val="11"/>
          <w:szCs w:val="11"/>
          <w:color w:val="auto"/>
        </w:rPr>
        <w:t>(2)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Index options and futures</w:t>
      </w:r>
      <w:r>
        <w:rPr>
          <w:rFonts w:ascii="Arial" w:cs="Arial" w:eastAsia="Arial" w:hAnsi="Arial"/>
          <w:sz w:val="11"/>
          <w:szCs w:val="11"/>
          <w:color w:val="auto"/>
        </w:rPr>
        <w:t>(2) (3)</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6"/>
              </w:rPr>
              <w:t>December 31, 2011</w:t>
            </w:r>
          </w:p>
        </w:tc>
        <w:tc>
          <w:tcPr>
            <w:tcW w:w="14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8"/>
              </w:rPr>
              <w:t>December 31, 2010</w:t>
            </w:r>
          </w:p>
        </w:tc>
      </w:tr>
      <w:tr>
        <w:trPr>
          <w:trHeight w:val="142"/>
        </w:trPr>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9"/>
              </w:rPr>
              <w:t>Asset</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c>
          <w:tcPr>
            <w:tcW w:w="4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Asset</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r>
      <w:tr>
        <w:trPr>
          <w:trHeight w:val="134"/>
        </w:trPr>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3"/>
          </w:tcPr>
          <w:p>
            <w:pPr>
              <w:jc w:val="right"/>
              <w:ind w:right="278"/>
              <w:spacing w:after="0" w:line="134"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w w:val="87"/>
              </w:rPr>
              <w:t>$1,152</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272</w:t>
            </w: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197</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23"/>
        </w:trPr>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1,758</w:t>
            </w:r>
          </w:p>
        </w:tc>
        <w:tc>
          <w:tcPr>
            <w:tcW w:w="4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4,460</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4,460</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-728345</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-454025</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-162560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360" w:space="720"/>
            <w:col w:w="3280"/>
          </w:cols>
          <w:pgMar w:left="240" w:top="459" w:right="299" w:bottom="1440" w:gutter="0" w:footer="0" w:header="0"/>
          <w:type w:val="continuous"/>
        </w:sectPr>
      </w:pPr>
    </w:p>
    <w:p>
      <w:pPr>
        <w:ind w:left="460" w:right="120" w:hanging="452"/>
        <w:spacing w:after="0" w:line="228"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forward contracts using standard valuation models that are based on market-based observable inputs including LIBOR rates and the spot price of the underlying instrument.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360"/>
          </w:cols>
          <w:pgMar w:left="240" w:top="459" w:right="29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80" w:hanging="452"/>
        <w:spacing w:after="0" w:line="228" w:lineRule="auto"/>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option contracts using standard valuation models that are based on market-based observable inputs including implied volatility, interest rates and the spot price of the underlying instrument.</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future contracts based upon quoted market prices and average quoted market yields.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and Repurchase Agreements, at Contract Value</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Through our clearing operations in the resale and repurchase markets with NASDAQ OMX Stockholm, we are the legal counterparty for each resale and repurchase contract traded and thereby guarantee the fulfillment of each contract. We only clear these transactions once a bilateral contract between members has been entered into whereby the two members have agreed on all terms in the transaction. The resale and repurchase agreements are not used for financing purposes by NASDAQ OMX Stockholm. As the legal counterparty of each transaction, NASDAQ OMX Stockholm bears the counterparty risk between the purchaser and seller in the resale and repurchase agreement.</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structure and operations for the resale and repurchase market are similar to the derivative markets for NASDAQ OMX Commodities and NASDAQ OMX Stockholm. As discussed above in “Derivative Positions, at Fair Value,” NASDAQ OMX Commodities and NASDAQ OMX Stockholm are not member-owned organizations, do not maintain a guarantee fund to which members contribute and do not enforce loss sharing assessments amongst members. In addition, unlike most other clearinghouses, they do not record any margin deposits and guarantee funds in the Consolidated Balance Sheets, as all risks and rewards of collateral ownership, including interest, belong to the counterparty. For resale and repurchase agreements, collateral is not held by NASDAQ OMX Stockholm. All resale and repurchase clearing activities are transacted under our clearing member agreements that give us the right, in the event of default, to liquidate collateral pledged between the clearing members and to offset receivables and payables with the same counterparty.</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Pledged collateral, which is transferred through NASDAQ OMX Stockholm at initiation of the bilateral contract between the two clearing member counterparties, primarily consists of Swedish government debt securities. Market participants must meet certain minimum financial standards to mitigate the risk if they become unable to satisfy their obligations. In the event that one of the participants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participants to provide additional margin as needed, which is valued on a daily basis and is maintained at a third-party custodian bank for the benefit of the clearing members and is accessible by NASDAQ OMX Stockholm in the event of default.</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record resale and repurchase agreements at contract value plus interest gross in the Consolidated Balance Sheets as a receivable pertaining to the purchasing party and a payable pertaining to the selling party. Such receivables and payables attributable to outstanding resale and repurchase agreements have been netted to the extent that such a legal offset right exists and, at the same time, that it is our intention to settle these items. Our resale and repurchase agreements, at contract value in the Consolidated Balance Sheets, were $3,745 million at December 31, 2011 and $3,441 million at December 31, 2010. The resale and repurchase agreements are recorded at their contractual amounts plus interest which approximates fair value, as the fair value of these items is not materially sensitive to shifts in market interest rates because of the short-term nature of these instruments and/or variable interest rates or to credit risk because the resale and repurchase agreements are fully collateralized. The resale and repurchase agreements generally mature in less than 30 days. See “Collateral Received for Clearing Operations, Guarantees Issued and Credit Facilities Available,” of Note 17, “Commitments, Contingencies and Guarantees,” for further discussion of our guarantees on the fulfillment of these contracts and collateral received.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 on a Recurring Basis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non-current restricted cash, accounts payable and accrued expenses, Section 31 fees payable to SEC, accrued personnel costs, and certain other current liabilities.</w:t>
      </w:r>
    </w:p>
    <w:p>
      <w:pPr>
        <w:spacing w:after="0" w:line="13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We also consider our debt obligations to be financial instruments. Based on borrowing rates currently available to us for debt with similar terms and maturities and a Black-Scholes valuation technique that is utilized to calculate the convertible option value for the 3.75% convertible notes and the 2013 Convertible Notes, the fair value of our debt utilizing discounted cash flow analyses was $2.3 billion at December 31, 2011 and $2.4 billion at December 31, 2010. For further discussion of our debt obligations, see Note 8, “Debt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 and Hedging Activities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ordinary course of business, we may enter into various types of derivative contracts. These derivative contracts include:</w:t>
      </w:r>
    </w:p>
    <w:p>
      <w:pPr>
        <w:spacing w:after="0" w:line="77" w:lineRule="exact"/>
        <w:rPr>
          <w:sz w:val="20"/>
          <w:szCs w:val="20"/>
          <w:color w:val="auto"/>
        </w:rPr>
      </w:pPr>
    </w:p>
    <w:p>
      <w:pPr>
        <w:ind w:left="780" w:right="2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Futures and foreign currency forward contracts </w:t>
      </w:r>
      <w:r>
        <w:rPr>
          <w:rFonts w:ascii="Arial" w:cs="Arial" w:eastAsia="Arial" w:hAnsi="Arial"/>
          <w:sz w:val="18"/>
          <w:szCs w:val="18"/>
          <w:color w:val="auto"/>
        </w:rPr>
        <w:t>which are commitments to buy or sell at a future date a financial instrument, commodity or currency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contracted price and may be settled in cash or through delivery.</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contracts </w:t>
      </w:r>
      <w:r>
        <w:rPr>
          <w:rFonts w:ascii="Arial" w:cs="Arial" w:eastAsia="Arial" w:hAnsi="Arial"/>
          <w:sz w:val="18"/>
          <w:szCs w:val="18"/>
          <w:color w:val="auto"/>
        </w:rPr>
        <w:t>which are agreements between two parties to exchange one stream of future interest payments for another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principal amount over a set period of time.</w:t>
      </w:r>
    </w:p>
    <w:p>
      <w:pPr>
        <w:spacing w:after="0" w:line="37"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option contracts </w:t>
      </w:r>
      <w:r>
        <w:rPr>
          <w:rFonts w:ascii="Arial" w:cs="Arial" w:eastAsia="Arial" w:hAnsi="Arial"/>
          <w:sz w:val="16"/>
          <w:szCs w:val="16"/>
          <w:color w:val="auto"/>
        </w:rPr>
        <w:t>which give the purchaser, for a fee, the right, but not the obligation, to buy or sell within a limited time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currency at a contracted price that may also be settled in cash, based on differentials between specified indices or prices.</w:t>
      </w:r>
    </w:p>
    <w:p>
      <w:pPr>
        <w:spacing w:after="0" w:line="7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NASDAQ OMX may use these derivative financial instruments to manage exposure to various market risks, primarily foreign currency exchange rate fluctuations and changes in interest rates on our variable rate debt. Such instruments are an integral component of our market risk and related asset/liability management strategy and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Depending on market conditions, we may use foreign currency future, forward and option contracts to limit our exposure to foreign currency exchange rate fluctuations on contracted revenue streams (hedged item) relating to our Market Technology sales. When the contracted revenue streams meet the definition of a firm commitment, these derivative contracts may be designated as fair value hedges if the applicable hedge criteria are met. Changes in fair value on the derivatives and the related hedged items are recognized in the Consolidated Statements of Income. As of December 31, 2011 and 2010, there were no outstanding fair value hedges.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third quarter of 2008, we entered into interest rate swap agreements that effectively converted $200 million of our senior secured credit facilities in place as of December 31, 2009, which was floating rate debt, to a fixed rate basis through August 2011, thus reducing the impact of interest rate changes on future interest expense. As of December 31, 2009, these interest rate swaps were in a net liability position of $9 million and were recorded in other non-current liabilities in the Consolidated Balance Sheets. In the first quarter of 2010,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connection with the repayment of our senior secured credit facilities in place as of December 31, 2009, we terminated our interest rate swaps and reclassified into earnings the unrealized loss of $9 million which was included in accumulated other comprehensive loss in the Consolidated Balance Sheets at December 31, 2009. This loss is included in general, administrative and other expense in the Consolidated Statements of Income for the year ended December 31, 2010.</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derivative contracts used to manage interest rate risk are measured at fair value and are recorded in assets or liabilities as appropriate with the offset in accumulated other comprehensive loss within NASDAQ OMX stockholders’ equity in the Consolidated Balance Sheets. Any hedge ineffectiveness would impact earnings through interest expense. There was no material hedge ineffectiveness recorded in earnings for the years ended December 31, 2011, 2010 and 2009. As of December 31, 2011 and 2010, there were no outstanding cash flow hedges.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8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 As of December 31, 2011 and 2010, there were no outstanding net investment hedges.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NASDAQ OMX may also enter into economic hedges that either do not qualify or are not designated for hedge accounting treatment. This type of hedge is undertaken when hedge accounting requirements cannot be achieved or management decides not to apply hedge accounting.</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did not enter into any material economic hedges that did not qualify or were not designated for hedge accounting during the years ended December 31, 2011, 2010 and 2009. As of December 31, 2011 and 2010, the fair value amounts of our derivative instruments was immaterial.</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presents the fair value amounts and balance sheet location of our derivative instruments prior to netting as of December 31, 2009.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87"/>
              </w:rPr>
              <w:t>December 31, 2009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Asset</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Liability</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flow hedges</w:t>
            </w: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4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60" w:type="dxa"/>
            <w:vAlign w:val="bottom"/>
            <w:gridSpan w:val="2"/>
          </w:tcPr>
          <w:p>
            <w:pPr>
              <w:jc w:val="right"/>
              <w:ind w:right="3900"/>
              <w:spacing w:after="0"/>
              <w:rPr>
                <w:sz w:val="20"/>
                <w:szCs w:val="20"/>
                <w:color w:val="auto"/>
              </w:rPr>
            </w:pPr>
            <w:r>
              <w:rPr>
                <w:rFonts w:ascii="Arial" w:cs="Arial" w:eastAsia="Arial" w:hAnsi="Arial"/>
                <w:sz w:val="18"/>
                <w:szCs w:val="18"/>
                <w:color w:val="auto"/>
              </w:rPr>
              <w:t>F-67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Included in other non-current liabilities in the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Included in other current liabilities in the Consolidated Balance Sheets.</w:t>
      </w:r>
    </w:p>
    <w:p>
      <w:pPr>
        <w:spacing w:after="0" w:line="136" w:lineRule="exact"/>
        <w:rPr>
          <w:rFonts w:ascii="Arial" w:cs="Arial" w:eastAsia="Arial" w:hAnsi="Arial"/>
          <w:sz w:val="22"/>
          <w:szCs w:val="22"/>
          <w:color w:val="auto"/>
          <w:vertAlign w:val="superscript"/>
        </w:rPr>
      </w:pPr>
    </w:p>
    <w:p>
      <w:pPr>
        <w:ind w:left="280" w:hanging="267"/>
        <w:spacing w:after="0"/>
        <w:tabs>
          <w:tab w:leader="none" w:pos="28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future minimum lease payments under non-cancelable operating leases (net of sublease income)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Lease</w:t>
            </w:r>
          </w:p>
        </w:tc>
      </w:tr>
      <w:tr>
        <w:trPr>
          <w:trHeight w:val="161"/>
        </w:trPr>
        <w:tc>
          <w:tcPr>
            <w:tcW w:w="78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Commitments</w:t>
            </w:r>
          </w:p>
        </w:tc>
        <w:tc>
          <w:tcPr>
            <w:tcW w:w="620" w:type="dxa"/>
            <w:vAlign w:val="bottom"/>
          </w:tcPr>
          <w:p>
            <w:pPr>
              <w:spacing w:after="0"/>
              <w:rPr>
                <w:sz w:val="14"/>
                <w:szCs w:val="14"/>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Commitments</w:t>
            </w:r>
          </w:p>
        </w:tc>
      </w:tr>
      <w:tr>
        <w:trPr>
          <w:trHeight w:val="142"/>
        </w:trPr>
        <w:tc>
          <w:tcPr>
            <w:tcW w:w="78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left="17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532</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$4 million in 2011, $5 million in 2010 and $3 million in 2009) was $87 million in 2011, $78 million in 2010 and $72 million in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Contingencies and Guarantees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Received for Clearing Operations, Guarantees Issued and Credit Facilities Available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Received for Clearing Operations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Through our clearing operations in the derivative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The derivatives are not used by the above entities for the purpose of trading on their own behalf and the resale and repurchase agreements are not used for financing purposes by NASDAQ OMX Stockholm. The structure and operations of NASDAQ OMX Commodities and NASDAQ OMX Stockholm differ from other clearinghouses. See “Derivative Positions, at Fair Value,” and “Resale and Repurchase Agreements, at Contract Value,” of Note 14, “Fair Value of Financial Instruments,” for further discussion.</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require market participants at NASDAQ OMX Commodities and NASDAQ OMX Stockholm to provide collateral and meet certain minimum financial standards to mitigate the risk if they become unable to satisfy their obligations. Total customer pledged collateral with NASDAQ OMX Commodities and NASDAQ OMX Stockholm was $5.0 billion at December 31, 2011 and $8.7 billion at December 31, 2010. This pledged collateral is held by a third-party custodian bank for the benefit of the clearing members and is accessible by NASDAQ OMX in the event of default. NASDAQ OMX Commodities and NASDAQ OMX Stockholm do not receive any interest on these funds as the risks and rewards of collateral ownership, including interest, belong to the counterparty.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require market participants at IDCG and NOCC to meet certain minimum financial standards to mitigate the risk that they become unable to satisfy their obligations and to provide collateral to cover the daily margin call as needed. Customer pledged cash collateral held by IDCG and NOCC, which was $9 million at December 31, 2011 and $15 million at December 31, 2010, is included in restricted cash with an offsetting liability included in other current liabilities in the Consolidated Balance Sheets, as the risks and rewards of collateral ownership, including interest income, belong to IDCG and NOCC. Clearing member pledged cash collateral, included in IDCG’s guaranty fund, was $8 million at both December 31, 2011 and December 31, 2010. This cash is included in non-current restricted cash with an offsetting liability included in other non-current liabilities in the Consolidated Balance Sheets, as the risks and rewards of collateral ownership, including interest income, belong to IDCG.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Issued and Credit Facilities Available</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the collateral pledged by market participants discussed above, we have obtained financial guarantees and credit facilities which are guaranteed by us through counter indemnities, to provide further liquidity and default protection related to our clearing businesses. Financial guarantees issued to us totaled $4 million at December 31, 2011 and $5 million at December 31, 2010. At December 31, 2011, credit facilities, which are available in multiple currencies, primarily Swedish Krona and U.S. dollar, totaled $447 million ($206 million in available liquidity and $241 million to satisfy regulatory requirements), none of which was utilized. At December 31, 2010, these facilities totaled $440 million ($196 million in available liquidity and $244 million to satisfy regulatory requirements), none of which was utilized.</w:t>
      </w:r>
    </w:p>
    <w:p>
      <w:pPr>
        <w:spacing w:after="0" w:line="13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provided other guarantees of $17 million as of December 31, 2011 and $18 million as of December 31, 2010. These guarantees primarily related to obligations for our rental and leasing contracts. In addition, for certain Market Technology contracts, we have provided performance guarantees of $6 million as of December 31, 2011 and December 31, 2010 related to the delivery of software technology and support services. We have received financial guarantees from various financial institutions to support the above guarantees.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also provided a $25 million guarantee to our wholly-owned subsidiary, NOCC, to cover potential losses in the event of customer defaults, net of any collateral posted against such losses.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Agreements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our acquisitions of FTEN, SMARTS and Glide Technologies, we entered into escrow agreements to secure the payments of post-closing adjustments and other closing conditions. At December 31, 2011, these escrow agreements provide for future payments of $29 million and are included in other current liabilities and other non-current liabilities in the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Activities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8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includes Access Services, as well as our Market Data business, which are interrelated because the Transaction Services businesses generate the quote and trade information that we sell to market participants and data distributors. Market Services also includes our Broker Services business, which offers technology and customized securities administration solutions to financial participants in the Nordic markets.</w:t>
      </w:r>
    </w:p>
    <w:p>
      <w:pPr>
        <w:spacing w:after="0" w:line="13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Issuer Services segment includes our Global Listing Services and Global Index Group businesses. The companies listed on The NASDAQ Stock Market and our Nordic and Baltic exchanges represent a diverse array of industries. This diversity of companies listed on NASDAQ OMX markets allows us to develop and license NASDAQ OMX branded indexes, associated derivatives, and financial products as part of our Global Index Group. The Global Listing Services business also includes our Corporate Solutions business, which generates revenues through our shareholder, directors, newswire, and other services.</w:t>
      </w:r>
    </w:p>
    <w:p>
      <w:pPr>
        <w:spacing w:after="0" w:line="8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Market Technology segment is the world’s leading technology solutions provider and partner to exchanges, clearing organizations and central securities depositories. Our technology business is also the sales channel for our complete global offering to other marketplaces. Market Technology provides technology solutions for trading, clearing, settlement and information dissemination, and also offers facility management integration, surveillance solutions, and advisory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management allocates resources, assesses performance and manages these businesses as three separate segments. We evaluate the performance of our segments based on several factors, of which the primary financial measure is income before income taxes.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 operating performance. These amounts include, but are not limited to, amounts related to mergers, strategic initiatives, long-term asset impairment, and financing activities. See below for further discussion.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2011, 2010 and 2009.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Issuer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Technology</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2,886</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(1,748)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5"/>
        </w:trPr>
        <w:tc>
          <w:tcPr>
            <w:tcW w:w="5100" w:type="dxa"/>
            <w:vAlign w:val="bottom"/>
            <w:gridSpan w:val="2"/>
          </w:tcPr>
          <w:p>
            <w:pPr>
              <w:spacing w:after="0"/>
              <w:rPr>
                <w:sz w:val="20"/>
                <w:szCs w:val="20"/>
                <w:color w:val="auto"/>
              </w:rPr>
            </w:pPr>
            <w:r>
              <w:rPr>
                <w:rFonts w:ascii="Arial" w:cs="Arial" w:eastAsia="Arial" w:hAnsi="Arial"/>
                <w:sz w:val="18"/>
                <w:szCs w:val="18"/>
                <w:color w:val="auto"/>
              </w:rPr>
              <w:t>Revenues less transaction rebates, brokerage, clearance and</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12,145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(1,675)</w:t>
            </w:r>
          </w:p>
        </w:tc>
        <w:tc>
          <w:tcPr>
            <w:tcW w:w="80" w:type="dxa"/>
            <w:vAlign w:val="bottom"/>
          </w:tcPr>
          <w:p>
            <w:pPr>
              <w:spacing w:after="0"/>
              <w:rPr>
                <w:sz w:val="19"/>
                <w:szCs w:val="19"/>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(54)</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14,331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2,934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(1,958)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5"/>
        </w:trPr>
        <w:tc>
          <w:tcPr>
            <w:tcW w:w="5100" w:type="dxa"/>
            <w:vAlign w:val="bottom"/>
            <w:gridSpan w:val="2"/>
          </w:tcPr>
          <w:p>
            <w:pPr>
              <w:spacing w:after="0"/>
              <w:rPr>
                <w:sz w:val="20"/>
                <w:szCs w:val="20"/>
                <w:color w:val="auto"/>
              </w:rPr>
            </w:pPr>
            <w:r>
              <w:rPr>
                <w:rFonts w:ascii="Arial" w:cs="Arial" w:eastAsia="Arial" w:hAnsi="Arial"/>
                <w:sz w:val="18"/>
                <w:szCs w:val="18"/>
                <w:color w:val="auto"/>
              </w:rPr>
              <w:t>Revenues less transaction rebates, brokerage, clearance and</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35"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Total assets decreased $2.1 billion at December 31, 2011 as compared to December 31, 2010 primarily due to a decrease in open clearing contracts reflecting decreases in derivative positions, at fair value, partially offset by increases in resale agreements, at contract value within our Market Services segment. The decrease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140"/>
        <w:spacing w:after="0" w:line="280" w:lineRule="auto"/>
        <w:rPr>
          <w:sz w:val="20"/>
          <w:szCs w:val="20"/>
          <w:color w:val="auto"/>
        </w:rPr>
      </w:pPr>
      <w:r>
        <w:rPr>
          <w:rFonts w:ascii="Arial" w:cs="Arial" w:eastAsia="Arial" w:hAnsi="Arial"/>
          <w:sz w:val="16"/>
          <w:szCs w:val="16"/>
          <w:color w:val="auto"/>
        </w:rPr>
        <w:t>in derivative positions, at fair value primarily reflects significant reductions in price levels within our commodities markets, fewer open positions and decreased volatility within our derivative markets, as well as currency rate fluctuations. The increase in resale agreements, at contract value was primarily due to the mix of contracts outstanding between our clearing members, which allowed us to net or offset less of these contracts against one another at December 31, 2011 compared to December 31, 2010, partially offset by lower volume and currency rate fluctuations. Total assets increased $5.5 billion at December 31, 2010 as compared to December 31, 2009 primarily due to an increase in open clearing contracts reflecting increases in derivative positions, at fair value as well as increases in resale agreements, at contract value within our Market Services segment. The increase in derivative positions, at fair value primarily reflects increased activity and higher price levels on derivative positions in the energy market. The increase for resale agreements, at contract value reflects our new clearing business launched in 2010.</w:t>
      </w:r>
    </w:p>
    <w:p>
      <w:pPr>
        <w:ind w:left="460" w:hanging="452"/>
        <w:spacing w:after="0" w:line="221"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The 2011 corporate items and eliminations primarily include:</w:t>
      </w:r>
    </w:p>
    <w:p>
      <w:pPr>
        <w:spacing w:after="0" w:line="62" w:lineRule="exact"/>
        <w:rPr>
          <w:rFonts w:ascii="Arial" w:cs="Arial" w:eastAsia="Arial" w:hAnsi="Arial"/>
          <w:sz w:val="22"/>
          <w:szCs w:val="22"/>
          <w:color w:val="auto"/>
          <w:vertAlign w:val="superscript"/>
        </w:rPr>
      </w:pPr>
    </w:p>
    <w:p>
      <w:pPr>
        <w:ind w:left="1260" w:right="40" w:hanging="455"/>
        <w:spacing w:after="0" w:line="259" w:lineRule="auto"/>
        <w:tabs>
          <w:tab w:leader="none" w:pos="12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Merger and strategic initiative costs of $38 million primarily related to costs incurred for advisors, bank commitment fees, legal and other professional services related to our joint proposal to acquire NYSE Euronext, as well as costs related to our acquisition of Glide Technologies in October 2011;</w:t>
      </w:r>
    </w:p>
    <w:p>
      <w:pPr>
        <w:spacing w:after="0" w:line="45" w:lineRule="exact"/>
        <w:rPr>
          <w:rFonts w:ascii="Arial" w:cs="Arial" w:eastAsia="Arial" w:hAnsi="Arial"/>
          <w:sz w:val="18"/>
          <w:szCs w:val="18"/>
          <w:color w:val="auto"/>
        </w:rPr>
      </w:pPr>
    </w:p>
    <w:p>
      <w:pPr>
        <w:ind w:left="1260" w:right="380" w:hanging="455"/>
        <w:spacing w:after="0" w:line="268" w:lineRule="auto"/>
        <w:tabs>
          <w:tab w:leader="none" w:pos="12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Debt extinguishment and refinancing charges of $31 million. See “2.50% Convertible Senior Notes,” and “2011 Credit Facility,” of Note 8, “Debt Obligations,” for further discussion;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 asset impairment charge of $18 million. See “Available-for-Sale Investment Security,” of Note 5, “Investments,” for further discussion.</w:t>
      </w:r>
    </w:p>
    <w:p>
      <w:pPr>
        <w:spacing w:after="0" w:line="96"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The 2010 corporate items and eliminations primarily include:</w:t>
      </w:r>
    </w:p>
    <w:p>
      <w:pPr>
        <w:spacing w:after="0" w:line="61" w:lineRule="exact"/>
        <w:rPr>
          <w:rFonts w:ascii="Arial" w:cs="Arial" w:eastAsia="Arial" w:hAnsi="Arial"/>
          <w:sz w:val="22"/>
          <w:szCs w:val="22"/>
          <w:color w:val="auto"/>
          <w:vertAlign w:val="superscript"/>
        </w:rPr>
      </w:pPr>
    </w:p>
    <w:p>
      <w:pPr>
        <w:ind w:left="1260" w:right="460" w:hanging="455"/>
        <w:spacing w:after="0" w:line="306" w:lineRule="auto"/>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Debt extinguishment and refinancing charges of $40 million. which included the write-off of the remaining unamortized balance of debt issuance costs incurred in conjunction with our senior secured credit facilities in place as of December 31, 2009 of $28 million, costs to terminate our float-to-fixed interest rate swaps previously designated as a cash flow hedge of $9 million and other costs of $3 million; and</w:t>
      </w:r>
    </w:p>
    <w:p>
      <w:pPr>
        <w:spacing w:after="0" w:line="12" w:lineRule="exact"/>
        <w:rPr>
          <w:rFonts w:ascii="Arial" w:cs="Arial" w:eastAsia="Arial" w:hAnsi="Arial"/>
          <w:sz w:val="16"/>
          <w:szCs w:val="16"/>
          <w:color w:val="auto"/>
        </w:rPr>
      </w:pPr>
    </w:p>
    <w:p>
      <w:pPr>
        <w:ind w:left="1260" w:right="520" w:hanging="455"/>
        <w:spacing w:after="0" w:line="268" w:lineRule="auto"/>
        <w:tabs>
          <w:tab w:leader="none" w:pos="12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$11 million related to loss on divestiture of businesses as a result of our decision to close the businesses of both NEURO ($6 million) and Agora-X ($5 million).</w:t>
      </w:r>
    </w:p>
    <w:p>
      <w:pPr>
        <w:spacing w:after="0" w:line="6"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The 2009 corporate items and eliminations primarily include:</w:t>
      </w:r>
    </w:p>
    <w:p>
      <w:pPr>
        <w:spacing w:after="0" w:line="61" w:lineRule="exact"/>
        <w:rPr>
          <w:rFonts w:ascii="Arial" w:cs="Arial" w:eastAsia="Arial" w:hAnsi="Arial"/>
          <w:sz w:val="22"/>
          <w:szCs w:val="22"/>
          <w:color w:val="auto"/>
          <w:vertAlign w:val="superscript"/>
        </w:rPr>
      </w:pPr>
    </w:p>
    <w:p>
      <w:pPr>
        <w:ind w:left="1260" w:hanging="455"/>
        <w:spacing w:after="0" w:line="256" w:lineRule="auto"/>
        <w:tabs>
          <w:tab w:leader="none" w:pos="12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loss from unconsolidated investees, net of $107 million which is mainly comprised of $87 million related to impairment charges recorded on our equity method investments in NASDAQ Dubai ($82 million) and Agora-X ($5 million) and a loss of $19 million on the sale of our 25.25% share capital in Orc. See “Investment in NASDAQ Dubai,” and “Impairment of Agora-X,” as well as “Investment in Orc Software,” of Note 5, “Investments,” for further discussion;</w:t>
      </w:r>
    </w:p>
    <w:p>
      <w:pPr>
        <w:spacing w:after="0" w:line="48" w:lineRule="exact"/>
        <w:rPr>
          <w:rFonts w:ascii="Arial" w:cs="Arial" w:eastAsia="Arial" w:hAnsi="Arial"/>
          <w:sz w:val="18"/>
          <w:szCs w:val="18"/>
          <w:color w:val="auto"/>
        </w:rPr>
      </w:pPr>
    </w:p>
    <w:p>
      <w:pPr>
        <w:ind w:left="1260" w:hanging="455"/>
        <w:spacing w:after="0"/>
        <w:tabs>
          <w:tab w:leader="none" w:pos="12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debt conversion expense of $25 million related to an inducement for the conversion of our 3.75% convertible notes;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loss of $5 million on the sale of an available-for-sale investment security in Oslo, which was acquired as part of our business combination with</w:t>
      </w:r>
    </w:p>
    <w:p>
      <w:pPr>
        <w:spacing w:after="0" w:line="38"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OMX AB.</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2011, 2010 and 2009. Revenues are classified based upon the location of the customer. Property and equipment information is based on the physical location of the assets.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Property and</w:t>
            </w:r>
          </w:p>
        </w:tc>
      </w:tr>
      <w:tr>
        <w:trPr>
          <w:trHeight w:val="149"/>
        </w:trPr>
        <w:tc>
          <w:tcPr>
            <w:tcW w:w="9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Equipment,</w:t>
            </w:r>
          </w:p>
        </w:tc>
      </w:t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Revenues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r>
      <w:tr>
        <w:trPr>
          <w:trHeight w:val="142"/>
        </w:trPr>
        <w:tc>
          <w:tcPr>
            <w:tcW w:w="9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2,707</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22"/>
        </w:trPr>
        <w:tc>
          <w:tcPr>
            <w:tcW w:w="92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3,438</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2,564</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22"/>
        </w:trPr>
        <w:tc>
          <w:tcPr>
            <w:tcW w:w="92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3,197</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2,744</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22"/>
        </w:trPr>
        <w:tc>
          <w:tcPr>
            <w:tcW w:w="92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3,411</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2011, 2010 and 2009.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Reserve for Bad Debts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to income</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Recoveries of amounts previously written-off</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Charges for which reserves were provided</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40" w:type="dxa"/>
            <w:vAlign w:val="bottom"/>
            <w:vMerge w:val="restart"/>
          </w:tcPr>
          <w:p>
            <w:pPr>
              <w:jc w:val="right"/>
              <w:ind w:right="2952"/>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vMerge w:val="restart"/>
          </w:tcPr>
          <w:p>
            <w:pPr>
              <w:ind w:left="880"/>
              <w:spacing w:after="0"/>
              <w:rPr>
                <w:sz w:val="20"/>
                <w:szCs w:val="20"/>
                <w:color w:val="auto"/>
              </w:rPr>
            </w:pPr>
            <w:r>
              <w:rPr>
                <w:rFonts w:ascii="Arial" w:cs="Arial" w:eastAsia="Arial" w:hAnsi="Arial"/>
                <w:sz w:val="18"/>
                <w:szCs w:val="18"/>
                <w:color w:val="auto"/>
                <w:w w:val="90"/>
              </w:rPr>
              <w:t>Restated Certificate of Incorporation of NASDAQ OMX (incorporated herein by reference to Exhibit 3.1 to the Quarterly Report on Form 10-</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Q 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Certificate of Designation of Series A Convertible Preferred Stock of NASDAQ OMX (incorporated herein by reference to Exhibit 3.1.8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the 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By-Laws of NASDAQ OMX (incorporated herein by reference to Exhibit 3.2 to the Current Report on Form 8-K filed on December 9, 2011).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30, 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Capital Partners IV, L.P., H&amp;F Executive Fund IV, L.P., H&amp;F International Partners IV-A, L.P., and H&amp;F International Partners IV-B, L.P.,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Silver Lake Partners TSA, L.P., Silver Lake Investors, L.P., VAB Investors, LLC and Integral Capital Partners VI, L.P.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reference to Exhibit 4.5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Registration Rights Agreement, dated as of April 22, 2005, among Nasdaq, Hellman &amp; Friedman Capital Partners IV, L.P., H&amp;F Executive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Fund IV, L.P., H&amp;F International Partners IV-A, L.P., and H&amp;F International Partners IV-B, L.P., Silver Lake Partners TSA, L.P., Silver Lake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Investors, L.P., VAB Investors, LLC and Integral Capital Partners VI, L.P. (incorporated herein by reference to Exhibit 4.4 to the Current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Indenture, dated as February 26, 2008, between Nasdaq and The Bank of New York (incorporated herein by reference to Exhibit 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Form of 2.50% Convertible Senior Note due 2013 (incorporated herein by reference to Exhibit 4.2 to the Current Report on Form 8-K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Registration Rights Agreement, dated February 26, 2008, among The NASDAQ OMX Group, Inc., J.P. Morgan Securities Inc. and Banc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5"/>
              </w:rPr>
              <w:t>America Securities LLC (incorporated herein by reference to Exhibit 4.3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The NASDAQ OMX Group Inc.’s Stockholders’ Agreement, dated as of February 27, 2008, between The NASDAQ OMX Group, Inc. and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7"/>
              </w:rPr>
              <w:t>Borse Dubai Limited (incorporated herein by reference to Exhibit 10.2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First Amendment to The NASDAQ OMX Group Inc.’s Stockholders’ Agreement, dated as of February 19, 2009, between The NASDAQ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OMX Group, Inc. and Borse Dubai Limited (incorporated herein by reference to Exhibit 4.10.1 to the Annual Report on Form 10-K for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2008 filed on February 26,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Registration Rights Agreement, dated as of February 27, 2008, among The NASDAQ OMX Group, Inc., Borse Dubai Limited and Borse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Dubai Nasdaq Share Trust (incorporated herein by reference to Exhibit 10.3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First Amendment to Registration Rights Agreement, dated as of February 19, 2009, among The NASDAQ OMX Group, Inc., Borse Dubai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2008 filed on February 26, 2009).</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Number</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4.9</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Indenture, dated as of January 15, 2010, between NASDAQ OMX and Wells Fargo Bank, National Association, as Trustee (incorporated herein</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 to Exhibit 4.1 to the Current Report on Form 8-K filed on January 19, 2010).</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4.10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First Supplemental Indenture, dated as of January 15, 2010, among NASDAQ OMX and Wells Fargo Bank, National Association, as Trustee</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4.11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Supplemental Indenture, dated as of December 17, 2010, among NASDAQ OMX and Wells Fargo Bank, National Association, as</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Trustee (incorporated herein by reference to Exhibit 4.1 to the Current Report on Form 8-K filed on December 21, 2010).</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4.12</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NASDAQ Stockholders’ Agreement, dated as of December 16, 2010, between The NASDAQ OMX Group, Inc. and Investor AB (incorporated</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herein by reference to Exhibit 4.12 to the Annual Report on Form 10-K for the year ended December 31, 2010 filed on February 24,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Amended and Restated Board Compensation Policy, effective as of May 26, 2011 (incorporated herein by reference to Exhibit 10.1 to the</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2011 filed on August 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The NASDAQ OMX Group, Inc. 2010 Executive Corporate Incentive Plan, effective as of January 1, 2010 (incorporated herein by reference to</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 to the Quarterly Report on Form 10-Q for the quarter ended June 30, 2010 filed on August 4, 2010).*</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NASDAQ OMX Non-Qualified Stock Option Award Certificate (incorporated herein by reference to Exhibit 10.3 to the Annual Report</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10-K for the year ended December 31, 2010 filed on February 24,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NASDAQ OMX Restricted Unit Award Certificate (employees) (incorporated herein by reference to Exhibit 10.4 to the Annual Report</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10-K for the year ended December 31, 2010 filed on February 24,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10.5</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Form of NASDAQ OMX Restricted Stock Unit Award Certificate (directors) (incorporated herein by reference to Exhibit 10.2 to the Quarterly</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10-Q for the quarter ended June 30, 2011 filed on August 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10.6</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NASDAQ OMX Performance Share Unit Agreement (incorporated herein by reference to Exhibit 10.6 to the Annual Report on Form</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10-K for the year ended December 31, 2010 filed on February 24, 2011).*</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Amended and Restated Supplemental Executive Retirement Plan, dated as of December 17, 2008 (incorporated herein by reference to Exhibit</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10.6 to the Annual Report on Form 10-K for the year ended December 31, 2008 filed on February 26, 2009).*</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w w:val="83"/>
              </w:rPr>
              <w:t>10.7.1</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No. 1 to Amended and Restated Supplemental Executive Retirement Plan, effective as of December 31, 2008 (incorporated herein</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by reference to Exhibit 10.6.1 to the Annual Report on Form 10-K for the year ended December 31, 2008 filed on February 26, 2009).*</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The NASDAQ OMX Group, Inc. Supplemental Employer Retirement Contribution Plan, dated as of December 17, 2008 (incorporated herein</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by reference to Exhibit 10.7 to the Annual Report on Form 10-K for the year ended December 31, 2008 filed on February 26, 2009).*</w:t>
            </w:r>
          </w:p>
        </w:tc>
      </w:tr>
      <w:tr>
        <w:trPr>
          <w:trHeight w:val="318"/>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Employment Agreement by and between Nasdaq and Robert Greifeld, effective as of January 1, 2007 (incorporated herein by reference to</w:t>
            </w:r>
          </w:p>
        </w:tc>
      </w:tr>
      <w:tr>
        <w:trPr>
          <w:trHeight w:val="222"/>
        </w:trPr>
        <w:tc>
          <w:tcPr>
            <w:tcW w:w="82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10.5 to the Annual Report on Form 10-K for the year ended December 31, 2006 filed on February 28, 2007).*</w:t>
            </w: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Number</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0" w:type="dxa"/>
            <w:vAlign w:val="bottom"/>
          </w:tcPr>
          <w:p>
            <w:pPr>
              <w:jc w:val="right"/>
              <w:ind w:right="252"/>
              <w:spacing w:after="0"/>
              <w:rPr>
                <w:sz w:val="20"/>
                <w:szCs w:val="20"/>
                <w:color w:val="auto"/>
              </w:rPr>
            </w:pPr>
            <w:r>
              <w:rPr>
                <w:rFonts w:ascii="Arial" w:cs="Arial" w:eastAsia="Arial" w:hAnsi="Arial"/>
                <w:sz w:val="18"/>
                <w:szCs w:val="18"/>
                <w:color w:val="auto"/>
                <w:w w:val="99"/>
              </w:rPr>
              <w:t>10.9.1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Amendment to Employment Agreement by and between NASDAQ OMX and Robert Greifeld, effective as of December 31, 2008 (incorporated</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herein by reference to Exhibit 10.8.1 to the Annual Report on Form 10-K for the year ended December 31, 2008 filed on February 26, 2009).*</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Nonqualified Stock Option Agreement between Nasdaq and Robert Greifeld reflecting December 13, 2006 grant (incorporated herein by</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reference to Exhibit 10.13 to the Annual Report on Form 10-K for the year ended December 31, 2007 filed on February 25, 2008).*</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Nonqualified Stock Option Agreement between NASDAQ OMX and Robert Greifeld reflecting June 30, 2009 grant (incorporated herein by</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reference to Exhibit 10.11 to the Annual Report on Form 10-K for the year ended December 31, 2009 filed on February 18, 2010).*</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2010 Performance Share Unit Agreement between NASDAQ OMX and Robert Greifeld (incorporated herein by reference to Exhibit 10.1 to the</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30, 2010 filed on November 3, 2010).*</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2011 Performance Share Unit Agreement between NASDAQ OMX and Robert Greifeld (incorporated herein by reference to Exhibit 10.1 to the</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30, 2011 filed on November 4, 2011).*</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Amended and Restated Letter Agreement, effective as of December 31, 2008, between NASDAQ OMX and Certain Executive Officers</w:t>
            </w:r>
          </w:p>
        </w:tc>
      </w:tr>
      <w:tr>
        <w:trPr>
          <w:trHeight w:val="216"/>
        </w:trPr>
        <w:tc>
          <w:tcPr>
            <w:tcW w:w="86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(incorporated herein by reference to Exhibit 10.12 to the Annual Report on Form 10-K for the year ended December 31, 2008 filed on</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February 26, 2009).*</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Employment Agreement between Nasdaq and Edward Knight, effective as of December 29, 2000 (incorporated herein by reference to Exhibit</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10.14 to the Annual Report on Form 10-K for the year ended December 31, 2002 filed on March 31, 2003).*</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w w:val="83"/>
              </w:rPr>
              <w:t>10.15.1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First Amendment to Employment Agreement between Nasdaq and Edward Knight, effective February 1, 2002 (incorporated herein by reference</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to Exhibit 10.14.1 to the Annual Report on Form 10-K for the year ended December 31, 2002 filed on March 31, 2003).*</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w w:val="83"/>
              </w:rPr>
              <w:t>10.15.2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Second Amendment to Employment Agreement between NASDAQ OMX and Edward Knight, effective as of December 31, 2008 (incorporated</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herein by reference to Exhibit 10.13.2 to the Annual Report on Form 10-K for the year ended December 31, 2008 filed on February 26, 2009).*</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Employment Agreement, dated as of June 24, 2008, between OMX AB and Hans-Ole Jochumsen (incorporated herein by reference to Exhibit</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10.18 to the Annual Report on Form 10-K for the year ended December 31, 2009 filed on February 18, 2010).*</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10.17</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Credit Agreement, dated as of December 17, 2010, among NASDAQ OMX, the Lenders party thereto, J.P. Morgan Chase Bank, N.A., as</w:t>
            </w:r>
          </w:p>
        </w:tc>
      </w:tr>
      <w:tr>
        <w:trPr>
          <w:trHeight w:val="216"/>
        </w:trPr>
        <w:tc>
          <w:tcPr>
            <w:tcW w:w="86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administrative agent, and J.P. Morgan Securities LLC, as Sole Lead Arranger and Sole Lead Bookrunning Manager (incorporated herein by</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reference to Exhibit 10.21 to the Annual Report on Form 10-K for the year ended December 31, 2010 filed on February 24, 2011).</w:t>
            </w:r>
          </w:p>
        </w:tc>
      </w:tr>
      <w:tr>
        <w:trPr>
          <w:trHeight w:val="318"/>
        </w:trPr>
        <w:tc>
          <w:tcPr>
            <w:tcW w:w="860" w:type="dxa"/>
            <w:vAlign w:val="bottom"/>
          </w:tcPr>
          <w:p>
            <w:pPr>
              <w:jc w:val="right"/>
              <w:ind w:right="252"/>
              <w:spacing w:after="0"/>
              <w:rPr>
                <w:sz w:val="20"/>
                <w:szCs w:val="20"/>
                <w:color w:val="auto"/>
              </w:rPr>
            </w:pPr>
            <w:r>
              <w:rPr>
                <w:rFonts w:ascii="Arial" w:cs="Arial" w:eastAsia="Arial" w:hAnsi="Arial"/>
                <w:sz w:val="18"/>
                <w:szCs w:val="18"/>
                <w:color w:val="auto"/>
              </w:rPr>
              <w:t>10.18</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Credit Agreement, dated as of September 19, 2011, among NASDAQ OMX, Bank of America, N.A., Merrill Lynch, Pierce, Fenner &amp; Smith</w:t>
            </w:r>
          </w:p>
        </w:tc>
      </w:tr>
      <w:tr>
        <w:trPr>
          <w:trHeight w:val="222"/>
        </w:trPr>
        <w:tc>
          <w:tcPr>
            <w:tcW w:w="86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J.P. Morgan Securities, Inc., Nordea Bank AB (publ.), Merchant Banking, Skandinaviska Enskilda Banken AB (publ.) UBS</w:t>
            </w:r>
          </w:p>
        </w:tc>
      </w:tr>
    </w:tbl>
    <w:p>
      <w:pPr>
        <w:ind w:left="1260" w:right="260"/>
        <w:spacing w:after="0" w:line="261" w:lineRule="auto"/>
        <w:rPr>
          <w:sz w:val="20"/>
          <w:szCs w:val="20"/>
          <w:color w:val="auto"/>
        </w:rPr>
      </w:pPr>
      <w:r>
        <w:rPr>
          <w:rFonts w:ascii="Arial" w:cs="Arial" w:eastAsia="Arial" w:hAnsi="Arial"/>
          <w:sz w:val="18"/>
          <w:szCs w:val="18"/>
          <w:color w:val="auto"/>
        </w:rPr>
        <w:t>Securities LLC and Wells Fargo Securities, LLC (incorporated herein by reference to Exhibit 4.1 to the Current Report on Form 8-K filed on September 22, 2011).</w:t>
      </w:r>
    </w:p>
    <w:p>
      <w:pPr>
        <w:spacing w:after="0" w:line="84" w:lineRule="exact"/>
        <w:rPr>
          <w:sz w:val="20"/>
          <w:szCs w:val="20"/>
          <w:color w:val="auto"/>
        </w:rPr>
      </w:pPr>
    </w:p>
    <w:p>
      <w:pPr>
        <w:ind w:left="1260" w:right="120" w:hanging="840"/>
        <w:spacing w:after="0" w:line="268" w:lineRule="auto"/>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Number</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978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9780" w:type="dxa"/>
            <w:vAlign w:val="bottom"/>
          </w:tcPr>
          <w:p>
            <w:pPr>
              <w:ind w:left="280"/>
              <w:spacing w:after="0"/>
              <w:rPr>
                <w:sz w:val="20"/>
                <w:szCs w:val="20"/>
                <w:color w:val="auto"/>
              </w:rPr>
            </w:pPr>
            <w:r>
              <w:rPr>
                <w:rFonts w:ascii="Arial" w:cs="Arial" w:eastAsia="Arial" w:hAnsi="Arial"/>
                <w:sz w:val="18"/>
                <w:szCs w:val="18"/>
                <w:color w:val="auto"/>
              </w:rPr>
              <w:t>List of all subsidiaries.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9780" w:type="dxa"/>
            <w:vAlign w:val="bottom"/>
          </w:tcPr>
          <w:p>
            <w:pPr>
              <w:ind w:left="2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24.1</w:t>
            </w:r>
          </w:p>
        </w:tc>
        <w:tc>
          <w:tcPr>
            <w:tcW w:w="97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9780" w:type="dxa"/>
            <w:vAlign w:val="bottom"/>
          </w:tcPr>
          <w:p>
            <w:pPr>
              <w:ind w:left="280"/>
              <w:spacing w:after="0"/>
              <w:rPr>
                <w:sz w:val="20"/>
                <w:szCs w:val="20"/>
                <w:color w:val="auto"/>
              </w:rPr>
            </w:pPr>
            <w:r>
              <w:rPr>
                <w:rFonts w:ascii="Arial" w:cs="Arial" w:eastAsia="Arial" w:hAnsi="Arial"/>
                <w:sz w:val="18"/>
                <w:szCs w:val="18"/>
                <w:color w:val="auto"/>
                <w:w w:val="89"/>
              </w:rPr>
              <w:t>Certification of Chief Executive Officer and President pursuant to Section 302 of the Sarbanes-Oxley Act of 2002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9780" w:type="dxa"/>
            <w:vAlign w:val="bottom"/>
          </w:tcPr>
          <w:p>
            <w:pPr>
              <w:ind w:left="280"/>
              <w:spacing w:after="0"/>
              <w:rPr>
                <w:sz w:val="20"/>
                <w:szCs w:val="20"/>
                <w:color w:val="auto"/>
              </w:rPr>
            </w:pPr>
            <w:r>
              <w:rPr>
                <w:rFonts w:ascii="Arial" w:cs="Arial" w:eastAsia="Arial" w:hAnsi="Arial"/>
                <w:sz w:val="18"/>
                <w:szCs w:val="18"/>
                <w:color w:val="auto"/>
                <w:w w:val="90"/>
              </w:rPr>
              <w:t>Certification of Chief Financial Officer and Executive Vice President, Corporate Strategy pursuant to Section 302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101.INS</w:t>
            </w:r>
          </w:p>
        </w:tc>
        <w:tc>
          <w:tcPr>
            <w:tcW w:w="9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7"/>
              </w:rPr>
              <w:t>101.SCH</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1"/>
              </w:rPr>
              <w:t>101.CAL</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0"/>
              </w:rPr>
              <w:t>101.DEF</w:t>
            </w:r>
          </w:p>
        </w:tc>
        <w:tc>
          <w:tcPr>
            <w:tcW w:w="9780" w:type="dxa"/>
            <w:vAlign w:val="bottom"/>
          </w:tcPr>
          <w:p>
            <w:pPr>
              <w:ind w:left="2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2"/>
              </w:rPr>
              <w:t>101.LAB</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8"/>
              </w:rPr>
              <w:t>101.PRE</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460" w:hanging="452"/>
        <w:spacing w:after="0" w:line="302"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following materials from The NASDAQ OMX Group, Inc. Annual Report on Form 10-K for the year ended December 31, 2011, formatted in XBRL (eXtensible Business Reporting Language); (i) Consolidated Statements of Income for the years ended December 31, 2011, 2010 and 2009; (ii) Consolidated Balance Sheets at December 31, 2011 and December 31, 2010; (iii) Consolidated Statements of Comprehensive Income for the years ended December 31, 2011, 2010 and 2009; (iv) Consolidated Statements of Changes in Equity for the years ended December 31, 2011, 2010 and 2009:</w:t>
      </w:r>
    </w:p>
    <w:p>
      <w:pPr>
        <w:spacing w:after="0" w:line="2" w:lineRule="exact"/>
        <w:rPr>
          <w:rFonts w:ascii="Arial" w:cs="Arial" w:eastAsia="Arial" w:hAnsi="Arial"/>
          <w:sz w:val="15"/>
          <w:szCs w:val="15"/>
          <w:color w:val="auto"/>
        </w:rPr>
      </w:pPr>
    </w:p>
    <w:p>
      <w:pPr>
        <w:ind w:left="460" w:right="80"/>
        <w:spacing w:after="0" w:line="295" w:lineRule="auto"/>
        <w:rPr>
          <w:rFonts w:ascii="Arial" w:cs="Arial" w:eastAsia="Arial" w:hAnsi="Arial"/>
          <w:sz w:val="15"/>
          <w:szCs w:val="15"/>
          <w:color w:val="auto"/>
        </w:rPr>
      </w:pPr>
      <w:r>
        <w:rPr>
          <w:rFonts w:ascii="Arial" w:cs="Arial" w:eastAsia="Arial" w:hAnsi="Arial"/>
          <w:sz w:val="16"/>
          <w:szCs w:val="16"/>
          <w:color w:val="auto"/>
        </w:rPr>
        <w:t>(v) Consolidated Statements of Cash Flows for the years ended December 31, 2011, 2010 and 2009; and (vi) notes to consolidated financial statements.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02"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580" w:hanging="452"/>
        <w:spacing w:after="0" w:line="464" w:lineRule="auto"/>
        <w:tabs>
          <w:tab w:leader="none" w:pos="449" w:val="left"/>
        </w:tabs>
        <w:numPr>
          <w:ilvl w:val="0"/>
          <w:numId w:val="93"/>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sectPr>
          <w:pgSz w:w="11900" w:h="16838" w:orient="portrait"/>
          <w:cols w:equalWidth="0" w:num="1">
            <w:col w:w="11240"/>
          </w:cols>
          <w:pgMar w:left="240" w:top="459" w:right="4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38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6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Pre-tax income from continuing operations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$ 571</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color w:val="auto"/>
                <w:w w:val="88"/>
              </w:rPr>
              <w:t>(2)</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$ 522</w:t>
            </w:r>
          </w:p>
        </w:tc>
        <w:tc>
          <w:tcPr>
            <w:tcW w:w="64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1"/>
                <w:szCs w:val="11"/>
                <w:color w:val="auto"/>
                <w:w w:val="88"/>
              </w:rPr>
              <w:t>(2)</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$ 388</w:t>
            </w:r>
          </w:p>
        </w:tc>
        <w:tc>
          <w:tcPr>
            <w:tcW w:w="620" w:type="dxa"/>
            <w:vAlign w:val="bottom"/>
            <w:tcBorders>
              <w:top w:val="single" w:sz="8" w:color="CCEEFF"/>
            </w:tcBorders>
            <w:shd w:val="clear" w:color="auto" w:fill="CCEEFF"/>
          </w:tcPr>
          <w:p>
            <w:pPr>
              <w:jc w:val="right"/>
              <w:ind w:right="424"/>
              <w:spacing w:after="0"/>
              <w:rPr>
                <w:sz w:val="20"/>
                <w:szCs w:val="20"/>
                <w:color w:val="auto"/>
              </w:rPr>
            </w:pPr>
            <w:r>
              <w:rPr>
                <w:rFonts w:ascii="Arial" w:cs="Arial" w:eastAsia="Arial" w:hAnsi="Arial"/>
                <w:sz w:val="11"/>
                <w:szCs w:val="11"/>
                <w:color w:val="auto"/>
                <w:w w:val="88"/>
              </w:rPr>
              <w:t>(2)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$ 511</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color w:val="auto"/>
                <w:w w:val="88"/>
              </w:rPr>
              <w:t>(2)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Add: fixed charges</w:t>
            </w:r>
          </w:p>
        </w:tc>
        <w:tc>
          <w:tcPr>
            <w:tcW w:w="780" w:type="dxa"/>
            <w:vAlign w:val="bottom"/>
            <w:gridSpan w:val="2"/>
          </w:tcPr>
          <w:p>
            <w:pPr>
              <w:jc w:val="right"/>
              <w:ind w:right="324"/>
              <w:spacing w:after="0"/>
              <w:rPr>
                <w:sz w:val="20"/>
                <w:szCs w:val="20"/>
                <w:color w:val="auto"/>
              </w:rPr>
            </w:pPr>
            <w:r>
              <w:rPr>
                <w:rFonts w:ascii="Arial" w:cs="Arial" w:eastAsia="Arial" w:hAnsi="Arial"/>
                <w:sz w:val="18"/>
                <w:szCs w:val="18"/>
                <w:color w:val="auto"/>
              </w:rPr>
              <w:t>135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40" w:type="dxa"/>
            <w:vAlign w:val="bottom"/>
          </w:tcPr>
          <w:p>
            <w:pPr>
              <w:spacing w:after="0"/>
              <w:rPr>
                <w:sz w:val="18"/>
                <w:szCs w:val="18"/>
                <w:color w:val="auto"/>
              </w:rPr>
            </w:pPr>
          </w:p>
        </w:tc>
        <w:tc>
          <w:tcPr>
            <w:tcW w:w="1020" w:type="dxa"/>
            <w:vAlign w:val="bottom"/>
            <w:gridSpan w:val="2"/>
          </w:tcPr>
          <w:p>
            <w:pPr>
              <w:jc w:val="right"/>
              <w:ind w:right="564"/>
              <w:spacing w:after="0"/>
              <w:rPr>
                <w:sz w:val="20"/>
                <w:szCs w:val="20"/>
                <w:color w:val="auto"/>
              </w:rPr>
            </w:pPr>
            <w:r>
              <w:rPr>
                <w:rFonts w:ascii="Arial" w:cs="Arial" w:eastAsia="Arial" w:hAnsi="Arial"/>
                <w:sz w:val="18"/>
                <w:szCs w:val="18"/>
                <w:color w:val="auto"/>
              </w:rPr>
              <w:t>118</w:t>
            </w:r>
          </w:p>
        </w:tc>
        <w:tc>
          <w:tcPr>
            <w:tcW w:w="800" w:type="dxa"/>
            <w:vAlign w:val="bottom"/>
            <w:gridSpan w:val="3"/>
          </w:tcPr>
          <w:p>
            <w:pPr>
              <w:jc w:val="right"/>
              <w:ind w:right="324"/>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Pre-tax income before fixed charges</w:t>
            </w:r>
          </w:p>
        </w:tc>
        <w:tc>
          <w:tcPr>
            <w:tcW w:w="7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706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506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(3)</w:t>
            </w:r>
          </w:p>
        </w:tc>
        <w:tc>
          <w:tcPr>
            <w:tcW w:w="7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118</w:t>
            </w:r>
          </w:p>
        </w:tc>
        <w:tc>
          <w:tcPr>
            <w:tcW w:w="800" w:type="dxa"/>
            <w:vAlign w:val="bottom"/>
            <w:gridSpan w:val="3"/>
            <w:shd w:val="clear" w:color="auto" w:fill="CCEEFF"/>
          </w:tcPr>
          <w:p>
            <w:pPr>
              <w:jc w:val="right"/>
              <w:ind w:right="324"/>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8"/>
                <w:szCs w:val="18"/>
                <w:color w:val="auto"/>
              </w:rPr>
              <w:t>Total fixed charges</w:t>
            </w: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780" w:type="dxa"/>
            <w:vAlign w:val="bottom"/>
            <w:gridSpan w:val="2"/>
          </w:tcPr>
          <w:p>
            <w:pPr>
              <w:jc w:val="right"/>
              <w:ind w:right="324"/>
              <w:spacing w:after="0"/>
              <w:rPr>
                <w:sz w:val="20"/>
                <w:szCs w:val="20"/>
                <w:color w:val="auto"/>
              </w:rPr>
            </w:pPr>
            <w:r>
              <w:rPr>
                <w:rFonts w:ascii="Arial" w:cs="Arial" w:eastAsia="Arial" w:hAnsi="Arial"/>
                <w:sz w:val="18"/>
                <w:szCs w:val="18"/>
                <w:color w:val="auto"/>
              </w:rPr>
              <w:t>135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40" w:type="dxa"/>
            <w:vAlign w:val="bottom"/>
          </w:tcPr>
          <w:p>
            <w:pPr>
              <w:spacing w:after="0"/>
              <w:rPr>
                <w:sz w:val="19"/>
                <w:szCs w:val="19"/>
                <w:color w:val="auto"/>
              </w:rPr>
            </w:pPr>
          </w:p>
        </w:tc>
        <w:tc>
          <w:tcPr>
            <w:tcW w:w="1020" w:type="dxa"/>
            <w:vAlign w:val="bottom"/>
            <w:gridSpan w:val="2"/>
          </w:tcPr>
          <w:p>
            <w:pPr>
              <w:jc w:val="right"/>
              <w:ind w:right="564"/>
              <w:spacing w:after="0"/>
              <w:rPr>
                <w:sz w:val="20"/>
                <w:szCs w:val="20"/>
                <w:color w:val="auto"/>
              </w:rPr>
            </w:pPr>
            <w:r>
              <w:rPr>
                <w:rFonts w:ascii="Arial" w:cs="Arial" w:eastAsia="Arial" w:hAnsi="Arial"/>
                <w:sz w:val="18"/>
                <w:szCs w:val="18"/>
                <w:color w:val="auto"/>
              </w:rPr>
              <w:t>118</w:t>
            </w:r>
          </w:p>
        </w:tc>
        <w:tc>
          <w:tcPr>
            <w:tcW w:w="800" w:type="dxa"/>
            <w:vAlign w:val="bottom"/>
            <w:gridSpan w:val="3"/>
          </w:tcPr>
          <w:p>
            <w:pPr>
              <w:jc w:val="right"/>
              <w:ind w:right="324"/>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780" w:type="dxa"/>
            <w:vAlign w:val="bottom"/>
            <w:gridSpan w:val="2"/>
          </w:tcPr>
          <w:p>
            <w:pPr>
              <w:jc w:val="right"/>
              <w:ind w:right="324"/>
              <w:spacing w:after="0"/>
              <w:rPr>
                <w:sz w:val="20"/>
                <w:szCs w:val="20"/>
                <w:color w:val="auto"/>
              </w:rPr>
            </w:pPr>
            <w:r>
              <w:rPr>
                <w:rFonts w:ascii="Arial" w:cs="Arial" w:eastAsia="Arial" w:hAnsi="Arial"/>
                <w:sz w:val="18"/>
                <w:szCs w:val="18"/>
                <w:color w:val="auto"/>
                <w:w w:val="84"/>
              </w:rPr>
              <w:t>$ 135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$ 117</w:t>
            </w:r>
          </w:p>
        </w:tc>
        <w:tc>
          <w:tcPr>
            <w:tcW w:w="640" w:type="dxa"/>
            <w:vAlign w:val="bottom"/>
          </w:tcPr>
          <w:p>
            <w:pPr>
              <w:spacing w:after="0"/>
              <w:rPr>
                <w:sz w:val="19"/>
                <w:szCs w:val="19"/>
                <w:color w:val="auto"/>
              </w:rPr>
            </w:pPr>
          </w:p>
        </w:tc>
        <w:tc>
          <w:tcPr>
            <w:tcW w:w="1020" w:type="dxa"/>
            <w:vAlign w:val="bottom"/>
            <w:gridSpan w:val="2"/>
          </w:tcPr>
          <w:p>
            <w:pPr>
              <w:jc w:val="right"/>
              <w:ind w:right="564"/>
              <w:spacing w:after="0"/>
              <w:rPr>
                <w:sz w:val="20"/>
                <w:szCs w:val="20"/>
                <w:color w:val="auto"/>
              </w:rPr>
            </w:pPr>
            <w:r>
              <w:rPr>
                <w:rFonts w:ascii="Arial" w:cs="Arial" w:eastAsia="Arial" w:hAnsi="Arial"/>
                <w:sz w:val="18"/>
                <w:szCs w:val="18"/>
                <w:color w:val="auto"/>
                <w:w w:val="84"/>
              </w:rPr>
              <w:t>$ 118</w:t>
            </w:r>
          </w:p>
        </w:tc>
        <w:tc>
          <w:tcPr>
            <w:tcW w:w="800" w:type="dxa"/>
            <w:vAlign w:val="bottom"/>
            <w:gridSpan w:val="3"/>
          </w:tcPr>
          <w:p>
            <w:pPr>
              <w:jc w:val="right"/>
              <w:ind w:right="324"/>
              <w:spacing w:after="0"/>
              <w:rPr>
                <w:sz w:val="20"/>
                <w:szCs w:val="20"/>
                <w:color w:val="auto"/>
              </w:rPr>
            </w:pPr>
            <w:r>
              <w:rPr>
                <w:rFonts w:ascii="Arial" w:cs="Arial" w:eastAsia="Arial" w:hAnsi="Arial"/>
                <w:sz w:val="18"/>
                <w:szCs w:val="18"/>
                <w:color w:val="auto"/>
                <w:w w:val="88"/>
              </w:rPr>
              <w:t>$ 111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5.23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4.29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79"/>
              </w:rPr>
              <w:t>11.88</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780" w:type="dxa"/>
            <w:vAlign w:val="bottom"/>
            <w:gridSpan w:val="2"/>
          </w:tcPr>
          <w:p>
            <w:pPr>
              <w:jc w:val="right"/>
              <w:ind w:right="324"/>
              <w:spacing w:after="0"/>
              <w:rPr>
                <w:sz w:val="20"/>
                <w:szCs w:val="20"/>
                <w:color w:val="auto"/>
              </w:rPr>
            </w:pPr>
            <w:r>
              <w:rPr>
                <w:rFonts w:ascii="Arial" w:cs="Arial" w:eastAsia="Arial" w:hAnsi="Arial"/>
                <w:sz w:val="18"/>
                <w:szCs w:val="18"/>
                <w:color w:val="auto"/>
              </w:rPr>
              <w:t>5.23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640" w:type="dxa"/>
            <w:vAlign w:val="bottom"/>
          </w:tcPr>
          <w:p>
            <w:pPr>
              <w:spacing w:after="0"/>
              <w:rPr>
                <w:sz w:val="19"/>
                <w:szCs w:val="19"/>
                <w:color w:val="auto"/>
              </w:rPr>
            </w:pPr>
          </w:p>
        </w:tc>
        <w:tc>
          <w:tcPr>
            <w:tcW w:w="1020" w:type="dxa"/>
            <w:vAlign w:val="bottom"/>
            <w:gridSpan w:val="2"/>
          </w:tcPr>
          <w:p>
            <w:pPr>
              <w:jc w:val="right"/>
              <w:ind w:right="564"/>
              <w:spacing w:after="0"/>
              <w:rPr>
                <w:sz w:val="20"/>
                <w:szCs w:val="20"/>
                <w:color w:val="auto"/>
              </w:rPr>
            </w:pPr>
            <w:r>
              <w:rPr>
                <w:rFonts w:ascii="Arial" w:cs="Arial" w:eastAsia="Arial" w:hAnsi="Arial"/>
                <w:sz w:val="18"/>
                <w:szCs w:val="18"/>
                <w:color w:val="auto"/>
              </w:rPr>
              <w:t>4.29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24"/>
              <w:spacing w:after="0"/>
              <w:rPr>
                <w:sz w:val="20"/>
                <w:szCs w:val="20"/>
                <w:color w:val="auto"/>
              </w:rPr>
            </w:pPr>
            <w:r>
              <w:rPr>
                <w:rFonts w:ascii="Arial" w:cs="Arial" w:eastAsia="Arial" w:hAnsi="Arial"/>
                <w:sz w:val="18"/>
                <w:szCs w:val="18"/>
                <w:color w:val="auto"/>
                <w:w w:val="79"/>
              </w:rPr>
              <w:t>11.88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22"/>
          <w:szCs w:val="22"/>
          <w:color w:val="auto"/>
          <w:vertAlign w:val="superscript"/>
        </w:rPr>
      </w:pPr>
      <w:r>
        <w:rPr>
          <w:rFonts w:ascii="Arial" w:cs="Arial" w:eastAsia="Arial" w:hAnsi="Arial"/>
          <w:sz w:val="18"/>
          <w:szCs w:val="18"/>
          <w:color w:val="auto"/>
        </w:rPr>
        <w:t>We completed the following acquisitions in 2008, 2010 and 2011:</w:t>
      </w:r>
    </w:p>
    <w:p>
      <w:pPr>
        <w:spacing w:after="0" w:line="61" w:lineRule="exact"/>
        <w:rPr>
          <w:rFonts w:ascii="Arial" w:cs="Arial" w:eastAsia="Arial" w:hAnsi="Arial"/>
          <w:sz w:val="22"/>
          <w:szCs w:val="22"/>
          <w:color w:val="auto"/>
          <w:vertAlign w:val="superscript"/>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OMX, February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PHLX, July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BSX, August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Certain subsidiaries of Nord Pool, October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assets of North American Energy Credit and Clearing Corp., March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derivatives trading market through the purchase of the remaining business of Nord Pool, May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SMARTS, August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FTEN,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ZVM, December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Glide Technologies, October 2011;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business of RapiData, December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-2303780</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ind w:left="460" w:right="60"/>
        <w:spacing w:after="0" w:line="274" w:lineRule="auto"/>
        <w:rPr>
          <w:sz w:val="20"/>
          <w:szCs w:val="20"/>
          <w:color w:val="auto"/>
        </w:rPr>
      </w:pPr>
      <w:r>
        <w:rPr>
          <w:rFonts w:ascii="Arial" w:cs="Arial" w:eastAsia="Arial" w:hAnsi="Arial"/>
          <w:sz w:val="16"/>
          <w:szCs w:val="16"/>
          <w:color w:val="auto"/>
        </w:rPr>
        <w:t>Additionally, we purchased a majority stake in IDCG in December 2008 and a 22% equity interest in EMCF in January 2009. The financial results of these transactions are included in the computation of ratio of earnings to fixed charges beginning on the date of each acquisition or strategic initiative.</w:t>
      </w:r>
    </w:p>
    <w:p>
      <w:pPr>
        <w:spacing w:after="0" w:line="12" w:lineRule="exact"/>
        <w:rPr>
          <w:sz w:val="20"/>
          <w:szCs w:val="20"/>
          <w:color w:val="auto"/>
        </w:rPr>
      </w:pPr>
    </w:p>
    <w:p>
      <w:pPr>
        <w:ind w:left="460" w:right="280" w:hanging="452"/>
        <w:spacing w:after="0" w:line="228" w:lineRule="auto"/>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2011, 2010, 2009 and 2008 pre-tax income from continuing operations is before equity in earnings of 50%-or-less-owned companies and adjustment for noncontrolling interests.</w:t>
      </w:r>
    </w:p>
    <w:p>
      <w:pPr>
        <w:spacing w:after="0" w:line="1" w:lineRule="exact"/>
        <w:rPr>
          <w:rFonts w:ascii="Arial" w:cs="Arial" w:eastAsia="Arial" w:hAnsi="Arial"/>
          <w:sz w:val="22"/>
          <w:szCs w:val="22"/>
          <w:color w:val="auto"/>
          <w:vertAlign w:val="superscript"/>
        </w:rPr>
      </w:pPr>
    </w:p>
    <w:p>
      <w:pPr>
        <w:ind w:left="460" w:right="280" w:hanging="452"/>
        <w:spacing w:after="0" w:line="225" w:lineRule="auto"/>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Consists of interest expense on all debt obligations (including amortization of deferred financing costs) and the portion of operating lease rental expense that is representative of the interest factor.</w:t>
      </w:r>
    </w:p>
    <w:p>
      <w:pPr>
        <w:ind w:left="460" w:hanging="452"/>
        <w:spacing w:after="0" w:line="205" w:lineRule="auto"/>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Includes costs of $4 million associated with Nasdaq’s 2007 cost reductions.</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7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Boston Options Exchange Regulation, LLC (organized in Delaware)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Exchange Access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Execution Access,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FINRA/NASDAQ Trade Reporting Facility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FTEN FinTech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FTEN,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International Derivatives Clearing Group,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International Derivatives Clearinghouse,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International Derivatives EBOT,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International Derivatives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International Market Initiatives,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BX,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Commodities Clearing Company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Corporate Solutions,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Event Technologies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Futures Exchange, Inc.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Information,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PHLX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OMX (San Francisco) Insurance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OM Technology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OMX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SMARTS Group, Inc.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NASDAQ OMX Group Educational Foundation, Inc. (incorporated in Delaware) (non-profit)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Urban Labs LLC (organized in Delaware)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Subsidiaries*</w:t>
      </w:r>
    </w:p>
    <w:p>
      <w:pPr>
        <w:spacing w:after="0" w:line="16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 NASDAQ OMX Vilnius (organized in Lithuania)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eCSD Expert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Eesti Väärtpaberikeskus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Latvijas Centralais depozitarijs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OMX Registrikeskus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ectPr>
          <w:pgSz w:w="11900" w:h="16838" w:orient="portrait"/>
          <w:cols w:equalWidth="0" w:num="1">
            <w:col w:w="11420"/>
          </w:cols>
          <w:pgMar w:left="240" w:top="125" w:right="239" w:bottom="1440" w:gutter="0" w:footer="0" w:header="0"/>
        </w:sectPr>
      </w:pPr>
    </w:p>
    <w:bookmarkStart w:id="186" w:name="page187"/>
    <w:bookmarkEnd w:id="186"/>
    <w:p>
      <w:pPr>
        <w:ind w:left="452" w:hanging="452"/>
        <w:spacing w:after="0"/>
        <w:tabs>
          <w:tab w:leader="none" w:pos="452"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“Central Depository of Armenia” Open Joint Stock Company (organized in Armenia)</w:t>
      </w:r>
    </w:p>
    <w:p>
      <w:pPr>
        <w:spacing w:after="0" w:line="38" w:lineRule="exact"/>
        <w:rPr>
          <w:rFonts w:ascii="Arial" w:cs="Arial" w:eastAsia="Arial" w:hAnsi="Arial"/>
          <w:sz w:val="16"/>
          <w:szCs w:val="16"/>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Clearing Control CC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Eignarhaldsfelagid Verdbrefathing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Findata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FTEN Europe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Glide Technologies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Lithuanian Central Securities Depositary (organized in Lithuania)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Mamato Motion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International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“NASDAQ OMX Armenia” Open Joint Stock Company (organized in Armenia)</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Australia Holding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Broker Services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Copenhagen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Derivatives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Europe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Helsinki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Holding Danmark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Iceland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NLX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Nordic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Oslo ASA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Riga, AS (organized in Latvia)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Stockholm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Tallinn AS (organized in Estonia)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NASDAQ OMX Technology Support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Nord Pool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Capital Insurance AG (organized in Switzerland)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Pte Ltd (organized in Singapore)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Canada Inc. (organized in Canada)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Energy Systems AS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(Ireland) Ltd (organized in Ireland)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Italy Srl (organized in Italy)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Japan Ltd (organized in Japan)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Technology (UK)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Treasury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Treasury Euro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Quietus Advice K &amp; W nr 505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SMARTS (Asia)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SMARTS Broker Compliance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SMARTS Group Europe Ltd (organized in U.K.)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SMARTS Group Holdings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SMARTS Market Surveillance Pty Ltd (organized in Australia)</w:t>
      </w:r>
    </w:p>
    <w:p>
      <w:pPr>
        <w:sectPr>
          <w:pgSz w:w="11900" w:h="16838" w:orient="portrait"/>
          <w:cols w:equalWidth="0" w:num="1">
            <w:col w:w="10211"/>
          </w:cols>
          <w:pgMar w:left="248" w:top="280" w:right="1440" w:bottom="1440" w:gutter="0" w:footer="0" w:header="0"/>
        </w:sectPr>
      </w:pPr>
    </w:p>
    <w:bookmarkStart w:id="187" w:name="page188"/>
    <w:bookmarkEnd w:id="187"/>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Stockholms Fondbörs AB (organized in Sweden)</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Verdbrefaskraning Islands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Zoom Vision Mamato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Zoom Vision Mamato ApS (organized in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52" w:hanging="452"/>
        <w:spacing w:after="0"/>
        <w:tabs>
          <w:tab w:leader="none" w:pos="45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list of subsidiaries does not include foreign branches of particular subsidiaries.</w:t>
      </w:r>
    </w:p>
    <w:p>
      <w:pPr>
        <w:sectPr>
          <w:pgSz w:w="11900" w:h="16838" w:orient="portrait"/>
          <w:cols w:equalWidth="0" w:num="1">
            <w:col w:w="10211"/>
          </w:cols>
          <w:pgMar w:left="248" w:top="280"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ind w:left="20" w:right="3460" w:firstLine="3460"/>
        <w:spacing w:after="0" w:line="426"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S-3 No. 333-164284) of The NASDAQ OMX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S-8 No. 333-167724) pertaining to The NASDAQ OMX Group, Inc. Employee Stock Purchase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S-8 No. 333-167723) pertaining to The NASDAQ OMX Group, Inc. Equity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reports dated February 24, 2012, with respect to the consolidated financial statements and schedule of The NASDAQ OMX Group, Inc. and the effectiveness of internal control over financial reporting of The NASDAQ OMX Group, Inc. included in this Annual Report (Form 10-K) of The NASDAQ OMX Group, Inc. for the year ended December 31, 2011.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ectPr>
          <w:pgSz w:w="11900" w:h="16838" w:orient="portrait"/>
          <w:cols w:equalWidth="0" w:num="1">
            <w:col w:w="11420"/>
          </w:cols>
          <w:pgMar w:left="240" w:top="125" w:right="239" w:bottom="1440" w:gutter="0" w:footer="0" w:header="0"/>
        </w:sectPr>
      </w:pPr>
    </w:p>
    <w:bookmarkStart w:id="189" w:name="page190"/>
    <w:bookmarkEnd w:id="189"/>
    <w:p>
      <w:pPr>
        <w:ind w:left="10520"/>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Urban Bäckström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Börje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Birgitta Kantola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Hans Munk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2011,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Greifeld</w:t>
            </w:r>
          </w:p>
        </w:tc>
      </w:tr>
      <w:tr>
        <w:trPr>
          <w:trHeight w:val="208"/>
        </w:trPr>
        <w:tc>
          <w:tcPr>
            <w:tcW w:w="7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Robert Greifeld</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2012</w:t>
      </w:r>
    </w:p>
    <w:p>
      <w:pPr>
        <w:sectPr>
          <w:pgSz w:w="11900" w:h="16838" w:orient="portrait"/>
          <w:cols w:equalWidth="0" w:num="1">
            <w:col w:w="11420"/>
          </w:cols>
          <w:pgMar w:left="240" w:top="1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Lee Shavel, certify that:</w:t>
      </w:r>
    </w:p>
    <w:p>
      <w:pPr>
        <w:spacing w:after="0" w:line="77" w:lineRule="exact"/>
        <w:rPr>
          <w:sz w:val="20"/>
          <w:szCs w:val="20"/>
          <w:color w:val="auto"/>
        </w:rPr>
      </w:pPr>
    </w:p>
    <w:p>
      <w:pPr>
        <w:ind w:left="640" w:hanging="17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Lee Shavel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Lee Shavel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-125730</wp:posOffset>
            </wp:positionV>
            <wp:extent cx="25215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Chief Financial Officer and Executive Vice President,</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Strategy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2012</w:t>
      </w:r>
    </w:p>
    <w:p>
      <w:pPr>
        <w:sectPr>
          <w:pgSz w:w="11900" w:h="16838" w:orient="portrait"/>
          <w:cols w:equalWidth="0" w:num="1">
            <w:col w:w="11420"/>
          </w:cols>
          <w:pgMar w:left="240" w:top="125"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connection with the Annual Report on Form 10-K of The NASDAQ OMX Group, Inc. (the “Company”) for the year ended December 31, 2011 as filed with the Securities and Exchange Commission on the date hereof (the “Report”), Robert Greifeld, as Chief Executive Officer and President of the Company, and Lee Shavel, as Chief Financial Officer and Executive Vice President, Corporate Strategy of the Company, each hereby certifies, pursuant to 18 U.S.C. § 1350, as adopted pursuant to § 906 of the Sarbanes-Oxley Act of 2002, that, to the best of his knowledge:</w:t>
      </w:r>
    </w:p>
    <w:p>
      <w:pPr>
        <w:spacing w:after="0" w:line="18" w:lineRule="exact"/>
        <w:rPr>
          <w:sz w:val="20"/>
          <w:szCs w:val="20"/>
          <w:color w:val="auto"/>
        </w:rPr>
      </w:pPr>
    </w:p>
    <w:p>
      <w:pPr>
        <w:ind w:left="1140" w:hanging="237"/>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Greifeld</w:t>
            </w:r>
          </w:p>
        </w:tc>
      </w:tr>
      <w:tr>
        <w:trPr>
          <w:trHeight w:val="208"/>
        </w:trPr>
        <w:tc>
          <w:tcPr>
            <w:tcW w:w="6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Greifeld</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February 24, 2012</w:t>
            </w: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Lee Shavel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Lee Shavel</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Financial Officer and Executive Vice President,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Corporate Strategy</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February 24, 2012</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lvl w:ilvl="1">
      <w:lvlJc w:val="left"/>
      <w:lvlText w:val="•"/>
      <w:numFmt w:val="bullet"/>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2"/>
    </w:lvl>
  </w:abstractNum>
  <w:abstractNum w:abstractNumId="35">
    <w:nsid w:val="A0382C5"/>
    <w:multiLevelType w:val="hybridMultilevel"/>
    <w:lvl w:ilvl="0">
      <w:lvlJc w:val="left"/>
      <w:lvlText w:val="%1"/>
      <w:numFmt w:val="lowerRoman"/>
      <w:start w:val="1"/>
    </w:lvl>
    <w:lvl w:ilvl="1">
      <w:lvlJc w:val="left"/>
      <w:lvlText w:val="(%2)"/>
      <w:numFmt w:val="lowerRoman"/>
      <w:start w:val="1"/>
    </w:lvl>
  </w:abstractNum>
  <w:abstractNum w:abstractNumId="36">
    <w:nsid w:val="8F2B15E"/>
    <w:multiLevelType w:val="hybridMultilevel"/>
    <w:lvl w:ilvl="0">
      <w:lvlJc w:val="left"/>
      <w:lvlText w:val="(%1)"/>
      <w:numFmt w:val="lowerRoman"/>
      <w:start w:val="5"/>
    </w:lvl>
    <w:lvl w:ilvl="1">
      <w:lvlJc w:val="left"/>
      <w:lvlText w:val="%2"/>
      <w:numFmt w:val="lowerRoman"/>
      <w:start w:val="1"/>
    </w:lvl>
  </w:abstractNum>
  <w:abstractNum w:abstractNumId="37">
    <w:nsid w:val="1A32234B"/>
    <w:multiLevelType w:val="hybridMultilevel"/>
    <w:lvl w:ilvl="0">
      <w:lvlJc w:val="left"/>
      <w:lvlText w:val="(%1)"/>
      <w:numFmt w:val="lowerRoman"/>
      <w:start w:val="1"/>
    </w:lvl>
  </w:abstractNum>
  <w:abstractNum w:abstractNumId="38">
    <w:nsid w:val="3B0FD379"/>
    <w:multiLevelType w:val="hybridMultilevel"/>
    <w:lvl w:ilvl="0">
      <w:lvlJc w:val="left"/>
      <w:lvlText w:val="%1"/>
      <w:numFmt w:val="lowerRoman"/>
      <w:start w:val="1"/>
    </w:lvl>
    <w:lvl w:ilvl="1">
      <w:lvlJc w:val="left"/>
      <w:lvlText w:val="(%2)"/>
      <w:numFmt w:val="lowerRoman"/>
      <w:start w:val="1"/>
    </w:lvl>
  </w:abstractNum>
  <w:abstractNum w:abstractNumId="39">
    <w:nsid w:val="68EB2F63"/>
    <w:multiLevelType w:val="hybridMultilevel"/>
    <w:lvl w:ilvl="0">
      <w:lvlJc w:val="left"/>
      <w:lvlText w:val="(%1)"/>
      <w:numFmt w:val="lowerRoman"/>
      <w:start w:val="7"/>
    </w:lvl>
    <w:lvl w:ilvl="1">
      <w:lvlJc w:val="left"/>
      <w:lvlText w:val="%2"/>
      <w:numFmt w:val="lowerRoman"/>
      <w:start w:val="1"/>
    </w:lvl>
  </w:abstractNum>
  <w:abstractNum w:abstractNumId="40">
    <w:nsid w:val="4962813B"/>
    <w:multiLevelType w:val="hybridMultilevel"/>
    <w:lvl w:ilvl="0">
      <w:lvlJc w:val="left"/>
      <w:lvlText w:val="(%1)"/>
      <w:numFmt w:val="lowerRoman"/>
      <w:start w:val="11"/>
    </w:lvl>
    <w:lvl w:ilvl="1">
      <w:lvlJc w:val="left"/>
      <w:lvlText w:val="%2"/>
      <w:numFmt w:val="lowerRoman"/>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1)"/>
      <w:numFmt w:val="decimal"/>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lvl w:ilvl="1">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lvl w:ilvl="1">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11"/>
    </w:lvl>
  </w:abstractNum>
  <w:abstractNum w:abstractNumId="60">
    <w:nsid w:val="2DF6D648"/>
    <w:multiLevelType w:val="hybridMultilevel"/>
    <w:lvl w:ilvl="0">
      <w:lvlJc w:val="left"/>
      <w:lvlText w:val="**"/>
      <w:numFmt w:val="bullet"/>
      <w:start w:val="1"/>
    </w:lvl>
    <w:lvl w:ilvl="1">
      <w:lvlJc w:val="left"/>
      <w:lvlText w:val="(%2)"/>
      <w:numFmt w:val="lowerRoman"/>
      <w:start w:val="2"/>
    </w:lvl>
  </w:abstractNum>
  <w:abstractNum w:abstractNumId="61">
    <w:nsid w:val="46B7D447"/>
    <w:multiLevelType w:val="hybridMultilevel"/>
    <w:lvl w:ilvl="0">
      <w:lvlJc w:val="left"/>
      <w:lvlText w:val="**"/>
      <w:numFmt w:val="bullet"/>
      <w:start w:val="1"/>
    </w:lvl>
    <w:lvl w:ilvl="1">
      <w:lvlJc w:val="left"/>
      <w:lvlText w:val="(%2)"/>
      <w:numFmt w:val="lowerRoman"/>
      <w:start w:val="5"/>
    </w:lvl>
  </w:abstractNum>
  <w:abstractNum w:abstractNumId="62">
    <w:nsid w:val="4A2AC315"/>
    <w:multiLevelType w:val="hybridMultilevel"/>
    <w:lvl w:ilvl="0">
      <w:lvlJc w:val="left"/>
      <w:lvlText w:val="(%1)"/>
      <w:numFmt w:val="lowerLetter"/>
      <w:start w:val="2"/>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1)"/>
      <w:numFmt w:val="decimal"/>
      <w:start w:val="1"/>
    </w:lvl>
  </w:abstractNum>
  <w:abstractNum w:abstractNumId="68">
    <w:nsid w:val="26F324BA"/>
    <w:multiLevelType w:val="hybridMultilevel"/>
    <w:lvl w:ilvl="0">
      <w:lvlJc w:val="left"/>
      <w:lvlText w:val="%1."/>
      <w:numFmt w:val="decimal"/>
      <w:start w:val="4"/>
    </w:lvl>
  </w:abstractNum>
  <w:abstractNum w:abstractNumId="69">
    <w:nsid w:val="7F01579B"/>
    <w:multiLevelType w:val="hybridMultilevel"/>
    <w:lvl w:ilvl="0">
      <w:lvlJc w:val="left"/>
      <w:lvlText w:val="%1."/>
      <w:numFmt w:val="decimal"/>
      <w:start w:val="5"/>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1)"/>
      <w:numFmt w:val="decimal"/>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1)"/>
      <w:numFmt w:val="decimal"/>
      <w:start w:val="1"/>
    </w:lvl>
  </w:abstractNum>
  <w:abstractNum w:abstractNumId="78">
    <w:nsid w:val="6FC75AF8"/>
    <w:multiLevelType w:val="hybridMultilevel"/>
    <w:lvl w:ilvl="0">
      <w:lvlJc w:val="left"/>
      <w:lvlText w:val="%1."/>
      <w:numFmt w:val="decimal"/>
      <w:start w:val="12"/>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1)"/>
      <w:numFmt w:val="decimal"/>
      <w:start w:val="2"/>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1)"/>
      <w:numFmt w:val="decimal"/>
      <w:start w:val="1"/>
    </w:lvl>
    <w:lvl w:ilvl="1">
      <w:lvlJc w:val="left"/>
      <w:lvlText w:val="%2."/>
      <w:numFmt w:val="decimal"/>
      <w:start w:val="16"/>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decimal"/>
      <w:start w:val="2"/>
    </w:lvl>
    <w:lvl w:ilvl="1">
      <w:lvlJc w:val="left"/>
      <w:lvlText w:val="•"/>
      <w:numFmt w:val="bullet"/>
      <w:start w:val="1"/>
    </w:lvl>
  </w:abstractNum>
  <w:abstractNum w:abstractNumId="89">
    <w:nsid w:val="9DAF632"/>
    <w:multiLevelType w:val="hybridMultilevel"/>
    <w:lvl w:ilvl="0">
      <w:lvlJc w:val="left"/>
      <w:lvlText w:val="%1"/>
      <w:numFmt w:val="decimal"/>
      <w:start w:val="1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1)"/>
      <w:numFmt w:val="lowerLetter"/>
      <w:start w:val="2"/>
    </w:lvl>
  </w:abstractNum>
  <w:abstractNum w:abstractNumId="93">
    <w:nsid w:val="1D545C4D"/>
    <w:multiLevelType w:val="hybridMultilevel"/>
    <w:lvl w:ilvl="0">
      <w:lvlJc w:val="left"/>
      <w:lvlText w:val="(%1)"/>
      <w:numFmt w:val="decimal"/>
      <w:start w:val="1"/>
    </w:lvl>
    <w:lvl w:ilvl="1">
      <w:lvlJc w:val="left"/>
      <w:lvlText w:val="•"/>
      <w:numFmt w:val="bullet"/>
      <w:start w:val="1"/>
    </w:lvl>
  </w:abstractNum>
  <w:abstractNum w:abstractNumId="94">
    <w:nsid w:val="59ADEA3D"/>
    <w:multiLevelType w:val="hybridMultilevel"/>
    <w:lvl w:ilvl="0">
      <w:lvlJc w:val="left"/>
      <w:lvlText w:val="(%1)"/>
      <w:numFmt w:val="decimal"/>
      <w:start w:val="2"/>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7"/>
    </w:lvl>
  </w:abstractNum>
  <w:abstractNum w:abstractNumId="98">
    <w:nsid w:val="97E1B4E"/>
    <w:multiLevelType w:val="hybridMultilevel"/>
    <w:lvl w:ilvl="0">
      <w:lvlJc w:val="left"/>
      <w:lvlText w:val="%1."/>
      <w:numFmt w:val="decimal"/>
      <w:start w:val="6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decimal"/>
      <w:start w:val="1"/>
    </w:lvl>
  </w:abstractNum>
  <w:abstractNum w:abstractNumId="104">
    <w:nsid w:val="23D86AAC"/>
    <w:multiLevelType w:val="hybridMultilevel"/>
    <w:lvl w:ilvl="0">
      <w:lvlJc w:val="left"/>
      <w:lvlText w:val="(%1)"/>
      <w:numFmt w:val="decimal"/>
      <w:start w:val="1"/>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1)"/>
      <w:numFmt w:val="decimal"/>
      <w:start w:val="1"/>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1"/>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decimal"/>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2019-12-09T14:08:46Z</dcterms:created>
  <dcterms:modified xsi:type="dcterms:W3CDTF">2019-12-09T14:08:46Z</dcterms:modified>
</cp:coreProperties>
</file>