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wp:posOffset>
            </wp:positionH>
            <wp:positionV relativeFrom="paragraph">
              <wp:posOffset>329565</wp:posOffset>
            </wp:positionV>
            <wp:extent cx="6920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wp:posOffset>
            </wp:positionH>
            <wp:positionV relativeFrom="paragraph">
              <wp:posOffset>-175895</wp:posOffset>
            </wp:positionV>
            <wp:extent cx="6920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4880"/>
        <w:spacing w:after="0"/>
        <w:rPr>
          <w:sz w:val="20"/>
          <w:szCs w:val="20"/>
          <w:color w:val="auto"/>
        </w:rPr>
      </w:pPr>
      <w:r>
        <w:rPr>
          <w:rFonts w:ascii="Arial" w:cs="Arial" w:eastAsia="Arial" w:hAnsi="Arial"/>
          <w:sz w:val="11"/>
          <w:szCs w:val="11"/>
          <w:b w:val="1"/>
          <w:bCs w:val="1"/>
          <w:color w:val="auto"/>
        </w:rPr>
        <w:t>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0" w:lineRule="exact"/>
        <w:rPr>
          <w:sz w:val="24"/>
          <w:szCs w:val="24"/>
          <w:color w:val="auto"/>
        </w:rPr>
      </w:pPr>
    </w:p>
    <w:p>
      <w:pPr>
        <w:ind w:left="4360" w:right="3060" w:hanging="4271"/>
        <w:spacing w:after="0" w:line="439" w:lineRule="auto"/>
        <w:tabs>
          <w:tab w:leader="none" w:pos="43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spacing w:after="0" w:line="232" w:lineRule="exact"/>
        <w:rPr>
          <w:sz w:val="24"/>
          <w:szCs w:val="24"/>
          <w:color w:val="auto"/>
        </w:rPr>
      </w:pPr>
    </w:p>
    <w:p>
      <w:pPr>
        <w:ind w:left="4040" w:right="2700" w:hanging="3951"/>
        <w:spacing w:after="0" w:line="417" w:lineRule="auto"/>
        <w:tabs>
          <w:tab w:leader="none" w:pos="43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jc w:val="center"/>
        <w:spacing w:after="0"/>
        <w:rPr>
          <w:sz w:val="20"/>
          <w:szCs w:val="20"/>
          <w:color w:val="auto"/>
        </w:rPr>
      </w:pPr>
      <w:r>
        <w:rPr>
          <w:rFonts w:ascii="Arial" w:cs="Arial" w:eastAsia="Arial" w:hAnsi="Arial"/>
          <w:sz w:val="14"/>
          <w:szCs w:val="14"/>
          <w:b w:val="1"/>
          <w:bCs w:val="1"/>
          <w:color w:val="auto"/>
        </w:rPr>
        <w:t>Commission file number: 000-32651</w:t>
      </w:r>
    </w:p>
    <w:p>
      <w:pPr>
        <w:spacing w:after="0" w:line="22" w:lineRule="exact"/>
        <w:rPr>
          <w:sz w:val="24"/>
          <w:szCs w:val="24"/>
          <w:color w:val="auto"/>
        </w:rPr>
      </w:pPr>
    </w:p>
    <w:p>
      <w:pPr>
        <w:ind w:left="4760"/>
        <w:spacing w:after="0"/>
        <w:rPr>
          <w:sz w:val="20"/>
          <w:szCs w:val="20"/>
          <w:color w:val="auto"/>
        </w:rPr>
      </w:pPr>
      <w:r>
        <w:rPr>
          <w:rFonts w:ascii="Arial" w:cs="Arial" w:eastAsia="Arial" w:hAnsi="Arial"/>
          <w:sz w:val="11"/>
          <w:szCs w:val="11"/>
          <w:b w:val="1"/>
          <w:bCs w:val="1"/>
          <w:color w:val="auto"/>
        </w:rPr>
        <w:t>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Nasdaq,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520" w:type="dxa"/>
            <w:vAlign w:val="bottom"/>
            <w:gridSpan w:val="2"/>
          </w:tcPr>
          <w:p>
            <w:pPr>
              <w:jc w:val="center"/>
              <w:ind w:right="608"/>
              <w:spacing w:after="0"/>
              <w:rPr>
                <w:sz w:val="20"/>
                <w:szCs w:val="20"/>
                <w:color w:val="auto"/>
              </w:rPr>
            </w:pPr>
            <w:r>
              <w:rPr>
                <w:rFonts w:ascii="Arial" w:cs="Arial" w:eastAsia="Arial" w:hAnsi="Arial"/>
                <w:sz w:val="13"/>
                <w:szCs w:val="13"/>
                <w:b w:val="1"/>
                <w:bCs w:val="1"/>
                <w:color w:val="auto"/>
                <w:w w:val="91"/>
              </w:rPr>
              <w:t>Delaware</w:t>
            </w:r>
          </w:p>
        </w:tc>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52-1165937</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40" w:type="dxa"/>
            <w:vAlign w:val="bottom"/>
            <w:gridSpan w:val="3"/>
          </w:tcPr>
          <w:p>
            <w:pPr>
              <w:jc w:val="center"/>
              <w:ind w:left="1672"/>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tcPr>
          <w:p>
            <w:pPr>
              <w:jc w:val="center"/>
              <w:ind w:left="294"/>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940" w:type="dxa"/>
            <w:vAlign w:val="bottom"/>
            <w:gridSpan w:val="3"/>
          </w:tcPr>
          <w:p>
            <w:pPr>
              <w:jc w:val="center"/>
              <w:ind w:left="1672"/>
              <w:spacing w:after="0"/>
              <w:rPr>
                <w:sz w:val="20"/>
                <w:szCs w:val="20"/>
                <w:color w:val="auto"/>
              </w:rPr>
            </w:pPr>
            <w:r>
              <w:rPr>
                <w:rFonts w:ascii="Arial" w:cs="Arial" w:eastAsia="Arial" w:hAnsi="Arial"/>
                <w:sz w:val="13"/>
                <w:szCs w:val="13"/>
                <w:b w:val="1"/>
                <w:bCs w:val="1"/>
                <w:color w:val="auto"/>
                <w:w w:val="89"/>
              </w:rPr>
              <w:t>Incorporation or Organization)</w:t>
            </w: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left="294"/>
              <w:spacing w:after="0"/>
              <w:rPr>
                <w:sz w:val="20"/>
                <w:szCs w:val="20"/>
                <w:color w:val="auto"/>
              </w:rPr>
            </w:pPr>
            <w:r>
              <w:rPr>
                <w:rFonts w:ascii="Arial" w:cs="Arial" w:eastAsia="Arial" w:hAnsi="Arial"/>
                <w:sz w:val="13"/>
                <w:szCs w:val="13"/>
                <w:b w:val="1"/>
                <w:bCs w:val="1"/>
                <w:color w:val="auto"/>
                <w:w w:val="89"/>
              </w:rPr>
              <w:t>Identification No.)</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9"/>
        </w:trPr>
        <w:tc>
          <w:tcPr>
            <w:tcW w:w="3940" w:type="dxa"/>
            <w:vAlign w:val="bottom"/>
            <w:gridSpan w:val="3"/>
          </w:tcPr>
          <w:p>
            <w:pPr>
              <w:jc w:val="center"/>
              <w:ind w:left="1652"/>
              <w:spacing w:after="0"/>
              <w:rPr>
                <w:sz w:val="20"/>
                <w:szCs w:val="20"/>
                <w:color w:val="auto"/>
              </w:rPr>
            </w:pPr>
            <w:r>
              <w:rPr>
                <w:rFonts w:ascii="Arial" w:cs="Arial" w:eastAsia="Arial" w:hAnsi="Arial"/>
                <w:sz w:val="13"/>
                <w:szCs w:val="13"/>
                <w:b w:val="1"/>
                <w:bCs w:val="1"/>
                <w:color w:val="auto"/>
                <w:w w:val="90"/>
              </w:rPr>
              <w:t>One Liberty Plaza, New York, New York</w:t>
            </w: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14"/>
              <w:spacing w:after="0"/>
              <w:rPr>
                <w:sz w:val="20"/>
                <w:szCs w:val="20"/>
                <w:color w:val="auto"/>
              </w:rPr>
            </w:pPr>
            <w:r>
              <w:rPr>
                <w:rFonts w:ascii="Arial" w:cs="Arial" w:eastAsia="Arial" w:hAnsi="Arial"/>
                <w:sz w:val="13"/>
                <w:szCs w:val="13"/>
                <w:b w:val="1"/>
                <w:bCs w:val="1"/>
                <w:color w:val="auto"/>
              </w:rPr>
              <w:t>10006</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940" w:type="dxa"/>
            <w:vAlign w:val="bottom"/>
            <w:gridSpan w:val="3"/>
          </w:tcPr>
          <w:p>
            <w:pPr>
              <w:jc w:val="center"/>
              <w:ind w:left="1672"/>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left="574"/>
              <w:spacing w:after="0"/>
              <w:rPr>
                <w:sz w:val="20"/>
                <w:szCs w:val="20"/>
                <w:color w:val="auto"/>
              </w:rPr>
            </w:pPr>
            <w:r>
              <w:rPr>
                <w:rFonts w:ascii="Arial" w:cs="Arial" w:eastAsia="Arial" w:hAnsi="Arial"/>
                <w:sz w:val="13"/>
                <w:szCs w:val="13"/>
                <w:b w:val="1"/>
                <w:bCs w:val="1"/>
                <w:color w:val="auto"/>
                <w:w w:val="90"/>
              </w:rPr>
              <w:t>(Zip Code)</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+1 212 401 8700</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42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20" w:type="dxa"/>
            <w:vAlign w:val="bottom"/>
            <w:gridSpan w:val="5"/>
          </w:tcPr>
          <w:p>
            <w:pPr>
              <w:jc w:val="center"/>
              <w:ind w:right="1677"/>
              <w:spacing w:after="0"/>
              <w:rPr>
                <w:sz w:val="20"/>
                <w:szCs w:val="20"/>
                <w:color w:val="auto"/>
              </w:rPr>
            </w:pPr>
            <w:r>
              <w:rPr>
                <w:rFonts w:ascii="Arial" w:cs="Arial" w:eastAsia="Arial" w:hAnsi="Arial"/>
                <w:sz w:val="14"/>
                <w:szCs w:val="14"/>
                <w:b w:val="1"/>
                <w:bCs w:val="1"/>
                <w:color w:val="auto"/>
                <w:w w:val="92"/>
              </w:rPr>
              <w:t>Common Stock, $.01 par value per share</w:t>
            </w:r>
          </w:p>
        </w:tc>
        <w:tc>
          <w:tcPr>
            <w:tcW w:w="376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95"/>
              </w:rPr>
              <w:t>The Nasdaq Stock Market</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60" w:type="dxa"/>
            <w:vAlign w:val="bottom"/>
            <w:gridSpan w:val="4"/>
          </w:tcPr>
          <w:p>
            <w:pPr>
              <w:jc w:val="center"/>
              <w:ind w:right="694"/>
              <w:spacing w:after="0" w:line="145" w:lineRule="exact"/>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520" w:type="dxa"/>
            <w:vAlign w:val="bottom"/>
            <w:gridSpan w:val="5"/>
          </w:tcPr>
          <w:p>
            <w:pPr>
              <w:ind w:left="66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130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280" w:type="dxa"/>
            <w:vAlign w:val="bottom"/>
          </w:tcPr>
          <w:p>
            <w:pPr>
              <w:spacing w:after="0"/>
              <w:rPr>
                <w:sz w:val="14"/>
                <w:szCs w:val="14"/>
                <w:color w:val="auto"/>
              </w:rPr>
            </w:pPr>
          </w:p>
        </w:tc>
        <w:tc>
          <w:tcPr>
            <w:tcW w:w="2180" w:type="dxa"/>
            <w:vAlign w:val="bottom"/>
            <w:gridSpan w:val="2"/>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3"/>
        </w:trPr>
        <w:tc>
          <w:tcPr>
            <w:tcW w:w="8820" w:type="dxa"/>
            <w:vAlign w:val="bottom"/>
            <w:gridSpan w:val="6"/>
          </w:tcPr>
          <w:p>
            <w:pPr>
              <w:ind w:left="660"/>
              <w:spacing w:after="0" w:line="161" w:lineRule="exact"/>
              <w:rPr>
                <w:sz w:val="20"/>
                <w:szCs w:val="20"/>
                <w:color w:val="auto"/>
              </w:rPr>
            </w:pPr>
            <w:r>
              <w:rPr>
                <w:rFonts w:ascii="Arial" w:cs="Arial" w:eastAsia="Arial" w:hAnsi="Arial"/>
                <w:sz w:val="14"/>
                <w:szCs w:val="14"/>
                <w:color w:val="auto"/>
                <w:w w:val="96"/>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w w:val="96"/>
              </w:rPr>
              <w:t>☐</w:t>
            </w:r>
          </w:p>
        </w:tc>
        <w:tc>
          <w:tcPr>
            <w:tcW w:w="280" w:type="dxa"/>
            <w:vAlign w:val="bottom"/>
          </w:tcPr>
          <w:p>
            <w:pPr>
              <w:ind w:left="20"/>
              <w:spacing w:after="0"/>
              <w:rPr>
                <w:sz w:val="20"/>
                <w:szCs w:val="20"/>
                <w:color w:val="auto"/>
              </w:rPr>
            </w:pPr>
            <w:r>
              <w:rPr>
                <w:rFonts w:ascii="Arial" w:cs="Arial" w:eastAsia="Arial" w:hAnsi="Arial"/>
                <w:sz w:val="14"/>
                <w:szCs w:val="14"/>
                <w:color w:val="auto"/>
              </w:rPr>
              <w:t>No</w:t>
            </w:r>
          </w:p>
        </w:tc>
        <w:tc>
          <w:tcPr>
            <w:tcW w:w="2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1280" w:type="dxa"/>
            <w:vAlign w:val="bottom"/>
            <w:gridSpan w:val="9"/>
          </w:tcPr>
          <w:p>
            <w:pPr>
              <w:ind w:left="660"/>
              <w:spacing w:after="0" w:line="141" w:lineRule="exact"/>
              <w:rPr>
                <w:sz w:val="20"/>
                <w:szCs w:val="20"/>
                <w:color w:val="auto"/>
              </w:rPr>
            </w:pPr>
            <w:r>
              <w:rPr>
                <w:rFonts w:ascii="Arial" w:cs="Arial" w:eastAsia="Arial" w:hAnsi="Arial"/>
                <w:sz w:val="14"/>
                <w:szCs w:val="14"/>
                <w:color w:val="auto"/>
                <w:w w:val="93"/>
              </w:rPr>
              <w:t>Indicate by check mark whether the registrant (1) has filed all reports required to be filed by Section 13 or 15(d) of the Securities Exchange Act of 1934 during the preceding 12 months</w:t>
            </w:r>
          </w:p>
        </w:tc>
        <w:tc>
          <w:tcPr>
            <w:tcW w:w="0" w:type="dxa"/>
            <w:vAlign w:val="bottom"/>
          </w:tcPr>
          <w:p>
            <w:pPr>
              <w:spacing w:after="0"/>
              <w:rPr>
                <w:sz w:val="1"/>
                <w:szCs w:val="1"/>
                <w:color w:val="auto"/>
              </w:rPr>
            </w:pPr>
          </w:p>
        </w:tc>
      </w:tr>
      <w:tr>
        <w:trPr>
          <w:trHeight w:val="209"/>
        </w:trPr>
        <w:tc>
          <w:tcPr>
            <w:tcW w:w="8820" w:type="dxa"/>
            <w:vAlign w:val="bottom"/>
            <w:gridSpan w:val="6"/>
          </w:tcPr>
          <w:p>
            <w:pPr>
              <w:spacing w:after="0"/>
              <w:rPr>
                <w:sz w:val="20"/>
                <w:szCs w:val="20"/>
                <w:color w:val="auto"/>
              </w:rPr>
            </w:pPr>
            <w:r>
              <w:rPr>
                <w:rFonts w:ascii="Arial" w:cs="Arial" w:eastAsia="Arial" w:hAnsi="Arial"/>
                <w:sz w:val="14"/>
                <w:szCs w:val="14"/>
                <w:color w:val="auto"/>
                <w:w w:val="93"/>
              </w:rPr>
              <w:t>(or for such shorter period that the registrant was required to file such reports), and (2) has been subject to such filing requirements for the past 90 days.</w:t>
            </w:r>
          </w:p>
        </w:tc>
        <w:tc>
          <w:tcPr>
            <w:tcW w:w="280" w:type="dxa"/>
            <w:vAlign w:val="bottom"/>
          </w:tcPr>
          <w:p>
            <w:pPr>
              <w:ind w:left="60"/>
              <w:spacing w:after="0"/>
              <w:rPr>
                <w:sz w:val="20"/>
                <w:szCs w:val="20"/>
                <w:color w:val="auto"/>
              </w:rPr>
            </w:pPr>
            <w:r>
              <w:rPr>
                <w:rFonts w:ascii="Arial" w:cs="Arial" w:eastAsia="Arial" w:hAnsi="Arial"/>
                <w:sz w:val="14"/>
                <w:szCs w:val="14"/>
                <w:color w:val="auto"/>
                <w:w w:val="82"/>
              </w:rPr>
              <w:t>Yes</w:t>
            </w:r>
          </w:p>
        </w:tc>
        <w:tc>
          <w:tcPr>
            <w:tcW w:w="2180" w:type="dxa"/>
            <w:vAlign w:val="bottom"/>
            <w:gridSpan w:val="2"/>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60" w:firstLine="648"/>
        <w:spacing w:after="0" w:line="255"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p>
    <w:p>
      <w:pPr>
        <w:ind w:firstLine="648"/>
        <w:spacing w:after="0" w:line="17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180" w:firstLine="648"/>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99"/>
        </w:trPr>
        <w:tc>
          <w:tcPr>
            <w:tcW w:w="2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08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2940" w:type="dxa"/>
            <w:vAlign w:val="bottom"/>
          </w:tcPr>
          <w:p>
            <w:pPr>
              <w:ind w:left="760"/>
              <w:spacing w:after="0"/>
              <w:rPr>
                <w:sz w:val="20"/>
                <w:szCs w:val="20"/>
                <w:color w:val="auto"/>
              </w:rPr>
            </w:pPr>
            <w:r>
              <w:rPr>
                <w:rFonts w:ascii="Arial" w:cs="Arial" w:eastAsia="Arial" w:hAnsi="Arial"/>
                <w:sz w:val="13"/>
                <w:szCs w:val="13"/>
                <w:color w:val="auto"/>
              </w:rPr>
              <w:t>Accelerated filer</w:t>
            </w:r>
          </w:p>
        </w:tc>
        <w:tc>
          <w:tcPr>
            <w:tcW w:w="9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2180" w:type="dxa"/>
            <w:vAlign w:val="bottom"/>
          </w:tcPr>
          <w:p>
            <w:pPr>
              <w:spacing w:after="0"/>
              <w:rPr>
                <w:sz w:val="20"/>
                <w:szCs w:val="20"/>
                <w:color w:val="auto"/>
              </w:rPr>
            </w:pPr>
            <w:r>
              <w:rPr>
                <w:rFonts w:ascii="Arial" w:cs="Arial" w:eastAsia="Arial" w:hAnsi="Arial"/>
                <w:sz w:val="13"/>
                <w:szCs w:val="13"/>
                <w:color w:val="auto"/>
              </w:rPr>
              <w:t>Non-accelerated filer</w:t>
            </w:r>
          </w:p>
        </w:tc>
        <w:tc>
          <w:tcPr>
            <w:tcW w:w="4080" w:type="dxa"/>
            <w:vAlign w:val="bottom"/>
          </w:tcPr>
          <w:p>
            <w:pPr>
              <w:ind w:left="80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2940" w:type="dxa"/>
            <w:vAlign w:val="bottom"/>
          </w:tcPr>
          <w:p>
            <w:pPr>
              <w:ind w:left="760"/>
              <w:spacing w:after="0"/>
              <w:rPr>
                <w:sz w:val="20"/>
                <w:szCs w:val="20"/>
                <w:color w:val="auto"/>
              </w:rPr>
            </w:pPr>
            <w:r>
              <w:rPr>
                <w:rFonts w:ascii="Arial" w:cs="Arial" w:eastAsia="Arial" w:hAnsi="Arial"/>
                <w:sz w:val="13"/>
                <w:szCs w:val="13"/>
                <w:color w:val="auto"/>
              </w:rPr>
              <w:t>Smaller reporting company</w:t>
            </w:r>
          </w:p>
        </w:tc>
        <w:tc>
          <w:tcPr>
            <w:tcW w:w="9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408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294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ind w:right="100" w:firstLine="648"/>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60"/>
        <w:spacing w:after="0" w:line="161" w:lineRule="exact"/>
        <w:tabs>
          <w:tab w:leader="none" w:pos="7320" w:val="left"/>
          <w:tab w:leader="none" w:pos="7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ind w:right="640" w:firstLine="648"/>
        <w:spacing w:after="0" w:line="281" w:lineRule="auto"/>
        <w:rPr>
          <w:sz w:val="20"/>
          <w:szCs w:val="20"/>
          <w:color w:val="auto"/>
        </w:rPr>
      </w:pPr>
      <w:r>
        <w:rPr>
          <w:rFonts w:ascii="Arial" w:cs="Arial" w:eastAsia="Arial" w:hAnsi="Arial"/>
          <w:sz w:val="13"/>
          <w:szCs w:val="13"/>
          <w:color w:val="auto"/>
        </w:rPr>
        <w:t>As of June 30, 2017, the aggregate market value of the registrant’s common stock held by non-affiliates of the registrant was approximately $8.3 billion (this amount represents approximately 116.7 million shares of Nasdaq, Inc.’s common stock based on the last reported sales price of $71.49 of the common stock on The Nasdaq Stock Market on such date).</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3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86"/>
              </w:rPr>
              <w:t>Class</w:t>
            </w:r>
          </w:p>
        </w:tc>
        <w:tc>
          <w:tcPr>
            <w:tcW w:w="3260" w:type="dxa"/>
            <w:vAlign w:val="bottom"/>
          </w:tcPr>
          <w:p>
            <w:pPr>
              <w:spacing w:after="0"/>
              <w:rPr>
                <w:sz w:val="12"/>
                <w:szCs w:val="12"/>
                <w:color w:val="auto"/>
              </w:rPr>
            </w:pPr>
          </w:p>
        </w:tc>
        <w:tc>
          <w:tcPr>
            <w:tcW w:w="452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88"/>
              </w:rPr>
              <w:t>Outstanding at February 21, 2018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20" w:type="dxa"/>
            <w:vAlign w:val="bottom"/>
            <w:gridSpan w:val="5"/>
          </w:tcPr>
          <w:p>
            <w:pPr>
              <w:jc w:val="center"/>
              <w:spacing w:after="0"/>
              <w:rPr>
                <w:sz w:val="20"/>
                <w:szCs w:val="20"/>
                <w:color w:val="auto"/>
              </w:rPr>
            </w:pPr>
            <w:r>
              <w:rPr>
                <w:rFonts w:ascii="Arial" w:cs="Arial" w:eastAsia="Arial" w:hAnsi="Arial"/>
                <w:sz w:val="13"/>
                <w:szCs w:val="13"/>
                <w:color w:val="auto"/>
                <w:w w:val="86"/>
              </w:rPr>
              <w:t>Common Stock, $.01 par value per share</w:t>
            </w:r>
          </w:p>
        </w:tc>
        <w:tc>
          <w:tcPr>
            <w:tcW w:w="220" w:type="dxa"/>
            <w:vAlign w:val="bottom"/>
          </w:tcPr>
          <w:p>
            <w:pPr>
              <w:spacing w:after="0"/>
              <w:rPr>
                <w:sz w:val="16"/>
                <w:szCs w:val="16"/>
                <w:color w:val="auto"/>
              </w:rPr>
            </w:pPr>
          </w:p>
        </w:tc>
        <w:tc>
          <w:tcPr>
            <w:tcW w:w="4300" w:type="dxa"/>
            <w:vAlign w:val="bottom"/>
            <w:gridSpan w:val="4"/>
            <w:vMerge w:val="restart"/>
          </w:tcPr>
          <w:p>
            <w:pPr>
              <w:jc w:val="center"/>
              <w:ind w:right="2480"/>
              <w:spacing w:after="0"/>
              <w:rPr>
                <w:sz w:val="20"/>
                <w:szCs w:val="20"/>
                <w:color w:val="auto"/>
              </w:rPr>
            </w:pPr>
            <w:r>
              <w:rPr>
                <w:rFonts w:ascii="Arial" w:cs="Arial" w:eastAsia="Arial" w:hAnsi="Arial"/>
                <w:sz w:val="13"/>
                <w:szCs w:val="13"/>
                <w:color w:val="auto"/>
                <w:w w:val="85"/>
              </w:rPr>
              <w:t>166,560,632 shares</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820" w:type="dxa"/>
            <w:vAlign w:val="bottom"/>
            <w:gridSpan w:val="5"/>
          </w:tcPr>
          <w:p>
            <w:pPr>
              <w:jc w:val="right"/>
              <w:ind w:right="128"/>
              <w:spacing w:after="0" w:line="115" w:lineRule="exact"/>
              <w:rPr>
                <w:sz w:val="20"/>
                <w:szCs w:val="20"/>
                <w:color w:val="auto"/>
              </w:rPr>
            </w:pPr>
            <w:r>
              <w:rPr>
                <w:rFonts w:ascii="Arial" w:cs="Arial" w:eastAsia="Arial" w:hAnsi="Arial"/>
                <w:sz w:val="11"/>
                <w:szCs w:val="11"/>
                <w:b w:val="1"/>
                <w:bCs w:val="1"/>
                <w:color w:val="auto"/>
              </w:rPr>
              <w:t>____________________________________</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80" w:type="dxa"/>
            <w:vAlign w:val="bottom"/>
            <w:gridSpan w:val="6"/>
          </w:tcPr>
          <w:p>
            <w:pPr>
              <w:ind w:left="460"/>
              <w:spacing w:after="0"/>
              <w:rPr>
                <w:sz w:val="20"/>
                <w:szCs w:val="20"/>
                <w:color w:val="auto"/>
              </w:rPr>
            </w:pPr>
            <w:r>
              <w:rPr>
                <w:rFonts w:ascii="Arial" w:cs="Arial" w:eastAsia="Arial" w:hAnsi="Arial"/>
                <w:sz w:val="14"/>
                <w:szCs w:val="14"/>
                <w:b w:val="1"/>
                <w:bCs w:val="1"/>
                <w:color w:val="auto"/>
              </w:rPr>
              <w:t>DOCUMENTS INCORPORATED BY REFERENCE</w:t>
            </w:r>
          </w:p>
        </w:tc>
        <w:tc>
          <w:tcPr>
            <w:tcW w:w="0" w:type="dxa"/>
            <w:vAlign w:val="bottom"/>
          </w:tcPr>
          <w:p>
            <w:pPr>
              <w:spacing w:after="0"/>
              <w:rPr>
                <w:sz w:val="1"/>
                <w:szCs w:val="1"/>
                <w:color w:val="auto"/>
              </w:rPr>
            </w:pPr>
          </w:p>
        </w:tc>
      </w:tr>
      <w:tr>
        <w:trPr>
          <w:trHeight w:val="282"/>
        </w:trPr>
        <w:tc>
          <w:tcPr>
            <w:tcW w:w="2560" w:type="dxa"/>
            <w:vAlign w:val="bottom"/>
          </w:tcPr>
          <w:p>
            <w:pPr>
              <w:spacing w:after="0"/>
              <w:rPr>
                <w:sz w:val="24"/>
                <w:szCs w:val="24"/>
                <w:color w:val="auto"/>
              </w:rPr>
            </w:pPr>
          </w:p>
        </w:tc>
        <w:tc>
          <w:tcPr>
            <w:tcW w:w="4260" w:type="dxa"/>
            <w:vAlign w:val="bottom"/>
            <w:gridSpan w:val="4"/>
          </w:tcPr>
          <w:p>
            <w:pPr>
              <w:jc w:val="center"/>
              <w:ind w:right="3628"/>
              <w:spacing w:after="0"/>
              <w:rPr>
                <w:sz w:val="20"/>
                <w:szCs w:val="20"/>
                <w:color w:val="auto"/>
              </w:rPr>
            </w:pPr>
            <w:r>
              <w:rPr>
                <w:rFonts w:ascii="Arial" w:cs="Arial" w:eastAsia="Arial" w:hAnsi="Arial"/>
                <w:sz w:val="13"/>
                <w:szCs w:val="13"/>
                <w:b w:val="1"/>
                <w:bCs w:val="1"/>
                <w:color w:val="auto"/>
                <w:w w:val="88"/>
              </w:rPr>
              <w:t>Document</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6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89"/>
              </w:rPr>
              <w:t>Parts Into Which Incorporated</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tcBorders>
              <w:bottom w:val="single" w:sz="8" w:color="auto"/>
            </w:tcBorders>
            <w:gridSpan w:val="5"/>
          </w:tcPr>
          <w:p>
            <w:pPr>
              <w:jc w:val="center"/>
              <w:ind w:right="1068"/>
              <w:spacing w:after="0"/>
              <w:rPr>
                <w:sz w:val="20"/>
                <w:szCs w:val="20"/>
                <w:color w:val="auto"/>
              </w:rPr>
            </w:pPr>
            <w:r>
              <w:rPr>
                <w:rFonts w:ascii="Arial" w:cs="Arial" w:eastAsia="Arial" w:hAnsi="Arial"/>
                <w:sz w:val="14"/>
                <w:szCs w:val="14"/>
                <w:color w:val="auto"/>
                <w:w w:val="94"/>
              </w:rPr>
              <w:t>Certain portions of the Definitive Proxy Statement for the 2018 Annual Meeting of Stockholders</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3"/>
          </w:tcPr>
          <w:p>
            <w:pPr>
              <w:jc w:val="center"/>
              <w:ind w:right="2000"/>
              <w:spacing w:after="0"/>
              <w:rPr>
                <w:sz w:val="20"/>
                <w:szCs w:val="20"/>
                <w:color w:val="auto"/>
              </w:rPr>
            </w:pPr>
            <w:r>
              <w:rPr>
                <w:rFonts w:ascii="Arial" w:cs="Arial" w:eastAsia="Arial" w:hAnsi="Arial"/>
                <w:sz w:val="14"/>
                <w:szCs w:val="14"/>
                <w:color w:val="auto"/>
              </w:rPr>
              <w:t>Part III</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0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w w:val="90"/>
              </w:rPr>
              <w:t>Nasdaq, Inc.</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4"/>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9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7">
              <w:r>
                <w:rPr>
                  <w:rFonts w:ascii="Arial" w:cs="Arial" w:eastAsia="Arial" w:hAnsi="Arial"/>
                  <w:sz w:val="18"/>
                  <w:szCs w:val="18"/>
                  <w:color w:val="0000EE"/>
                  <w:w w:val="84"/>
                </w:rPr>
                <w:t>Business</w:t>
              </w:r>
            </w:hyperlink>
          </w:p>
        </w:tc>
        <w:tc>
          <w:tcPr>
            <w:tcW w:w="9140" w:type="dxa"/>
            <w:vAlign w:val="bottom"/>
            <w:gridSpan w:val="19"/>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888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Unresolved Staff Comments</w:t>
              </w:r>
            </w:hyperlink>
          </w:p>
        </w:tc>
        <w:tc>
          <w:tcPr>
            <w:tcW w:w="77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77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588"/>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172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332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542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7"/>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Changes in and Disagreements with Accountants on Accounting and Financial Disclosure</w:t>
              </w:r>
            </w:hyperlink>
          </w:p>
        </w:tc>
        <w:tc>
          <w:tcPr>
            <w:tcW w:w="3300" w:type="dxa"/>
            <w:vAlign w:val="bottom"/>
            <w:gridSpan w:val="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3300" w:type="dxa"/>
            <w:vAlign w:val="bottom"/>
            <w:gridSpan w:val="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802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588"/>
        </w:trPr>
        <w:tc>
          <w:tcPr>
            <w:tcW w:w="92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4"/>
                <w:szCs w:val="24"/>
                <w:color w:val="auto"/>
              </w:rPr>
            </w:pPr>
          </w:p>
        </w:tc>
        <w:tc>
          <w:tcPr>
            <w:tcW w:w="570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Certain Relationships and Related Transactions, and Director Independence</w:t>
              </w:r>
            </w:hyperlink>
          </w:p>
        </w:tc>
        <w:tc>
          <w:tcPr>
            <w:tcW w:w="2500" w:type="dxa"/>
            <w:vAlign w:val="bottom"/>
            <w:gridSpan w:val="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43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588"/>
        </w:trPr>
        <w:tc>
          <w:tcPr>
            <w:tcW w:w="92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40" w:type="dxa"/>
            <w:vAlign w:val="bottom"/>
            <w:gridSpan w:val="11"/>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Exhibits, Financial Statement Schedules</w:t>
              </w:r>
            </w:hyperlink>
          </w:p>
        </w:tc>
        <w:tc>
          <w:tcPr>
            <w:tcW w:w="684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color w:val="auto"/>
              </w:rPr>
              <w:t>Item 16.</w:t>
            </w:r>
          </w:p>
        </w:tc>
        <w:tc>
          <w:tcPr>
            <w:tcW w:w="2940" w:type="dxa"/>
            <w:vAlign w:val="bottom"/>
            <w:gridSpan w:val="1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Form 10-K Summary</w:t>
              </w:r>
            </w:hyperlink>
          </w:p>
        </w:tc>
        <w:tc>
          <w:tcPr>
            <w:tcW w:w="684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736"/>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jc w:val="center"/>
              <w:ind w:right="4640"/>
              <w:spacing w:after="0"/>
              <w:rPr>
                <w:sz w:val="20"/>
                <w:szCs w:val="20"/>
                <w:color w:val="auto"/>
              </w:rPr>
            </w:pPr>
            <w:r>
              <w:rPr>
                <w:rFonts w:ascii="Arial" w:cs="Arial" w:eastAsia="Arial" w:hAnsi="Arial"/>
                <w:sz w:val="18"/>
                <w:szCs w:val="18"/>
                <w:color w:val="auto"/>
              </w:rPr>
              <w:t>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306"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Form 10-K, unless otherwise specified:</w:t>
      </w:r>
    </w:p>
    <w:p>
      <w:pPr>
        <w:spacing w:after="0" w:line="9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“we,” “us” and “our” refer to Nasdaq, Inc.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Baltic” refers to collectively, Nasdaq Tallinn AS, Nasdaq Riga, AS, and AB Nasdaq Vilnius.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BX” refers to the cash equity exchange operated by Nasdaq BX, Inc.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BX Options” refers to the options exchange operated by Nasdaq BX, Inc.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Clearing” refers to the clearing operations conducted by Nasdaq Clearing AB.</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GEMX” refers to the options exchange operated by Nasdaq GEMX, LLC.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ISE” refers to the options exchange operated by Nasdaq ISE, LLC.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MRX” refers to the options exchange operated by Nasdaq MRX, LLC.</w:t>
      </w:r>
    </w:p>
    <w:p>
      <w:pPr>
        <w:spacing w:after="0" w:line="9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Nordic” refers to collectively, Nasdaq Clearing AB, Nasdaq Stockholm AB, Nasdaq Copenhagen A/S, Nasdaq Helsinki Ltd, and Nasdaq Iceland hf.</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PHLX” refers to the options exchange operated by Nasdaq PHLX LLC.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PSX” refers to the cash equity exchange operated by Nasdaq PHLX LLC.</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Nasdaq Options Market” refers to the options exchange operated by The Nasdaq Stock Market LLC.</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Nasdaq Stock Market” refers to the cash equity exchange operated by The Nasdaq Stock Market LLC.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6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Nasdaq also provides as a tool for the reader the following list of abbreviations and acronyms that are used throughout this Annual Report on Form 10-K.</w:t>
      </w:r>
    </w:p>
    <w:p>
      <w:pPr>
        <w:sectPr>
          <w:pgSz w:w="11900" w:h="16838" w:orient="portrait"/>
          <w:cols w:equalWidth="0" w:num="1">
            <w:col w:w="11420"/>
          </w:cols>
          <w:pgMar w:left="240" w:top="445"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401(k) Plan: Voluntary Defined Contribution Savings Plan</w:t>
      </w:r>
    </w:p>
    <w:p>
      <w:pPr>
        <w:spacing w:after="0" w:line="185" w:lineRule="exact"/>
        <w:rPr>
          <w:sz w:val="20"/>
          <w:szCs w:val="20"/>
          <w:color w:val="auto"/>
        </w:rPr>
      </w:pPr>
    </w:p>
    <w:p>
      <w:pPr>
        <w:jc w:val="both"/>
        <w:ind w:left="180" w:right="20" w:hanging="161"/>
        <w:spacing w:after="0" w:line="277" w:lineRule="auto"/>
        <w:rPr>
          <w:sz w:val="20"/>
          <w:szCs w:val="20"/>
          <w:color w:val="auto"/>
        </w:rPr>
      </w:pPr>
      <w:r>
        <w:rPr>
          <w:rFonts w:ascii="Arial" w:cs="Arial" w:eastAsia="Arial" w:hAnsi="Arial"/>
          <w:sz w:val="18"/>
          <w:szCs w:val="18"/>
          <w:color w:val="auto"/>
        </w:rPr>
        <w:t>2016 Credit Facility: $400 million senior unsecured term loan facility which matures on November 25, 2019</w:t>
      </w:r>
    </w:p>
    <w:p>
      <w:pPr>
        <w:spacing w:after="0" w:line="130" w:lineRule="exact"/>
        <w:rPr>
          <w:sz w:val="20"/>
          <w:szCs w:val="20"/>
          <w:color w:val="auto"/>
        </w:rPr>
      </w:pPr>
    </w:p>
    <w:p>
      <w:pPr>
        <w:jc w:val="both"/>
        <w:ind w:left="180" w:right="20" w:hanging="161"/>
        <w:spacing w:after="0" w:line="277" w:lineRule="auto"/>
        <w:rPr>
          <w:sz w:val="20"/>
          <w:szCs w:val="20"/>
          <w:color w:val="auto"/>
        </w:rPr>
      </w:pPr>
      <w:r>
        <w:rPr>
          <w:rFonts w:ascii="Arial" w:cs="Arial" w:eastAsia="Arial" w:hAnsi="Arial"/>
          <w:sz w:val="18"/>
          <w:szCs w:val="18"/>
          <w:color w:val="auto"/>
        </w:rPr>
        <w:t>2017 Credit Facility: $1 billion senior unsecured revolving credit facility which matures on April 25, 2022</w:t>
      </w:r>
    </w:p>
    <w:p>
      <w:pPr>
        <w:spacing w:after="0" w:line="130" w:lineRule="exact"/>
        <w:rPr>
          <w:sz w:val="20"/>
          <w:szCs w:val="20"/>
          <w:color w:val="auto"/>
        </w:rPr>
      </w:pPr>
    </w:p>
    <w:p>
      <w:pPr>
        <w:jc w:val="both"/>
        <w:ind w:left="180" w:hanging="161"/>
        <w:spacing w:after="0" w:line="264" w:lineRule="auto"/>
        <w:rPr>
          <w:sz w:val="20"/>
          <w:szCs w:val="20"/>
          <w:color w:val="auto"/>
        </w:rPr>
      </w:pPr>
      <w:r>
        <w:rPr>
          <w:rFonts w:ascii="Arial" w:cs="Arial" w:eastAsia="Arial" w:hAnsi="Arial"/>
          <w:sz w:val="18"/>
          <w:szCs w:val="18"/>
          <w:color w:val="auto"/>
        </w:rPr>
        <w:t>2019 Notes: $500 million aggregate principal amount of senior unsecured floating rate notes due March 22, 2019 with an interest rate equal to the three-month U.S. dollar LIBOR plus 0.39%</w:t>
      </w:r>
    </w:p>
    <w:p>
      <w:pPr>
        <w:spacing w:after="0" w:line="141"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2020 Notes: $600 million aggregate principal amount of 5.55% senior unsecured notes due January 15, 2020</w:t>
      </w:r>
    </w:p>
    <w:p>
      <w:pPr>
        <w:spacing w:after="0" w:line="130"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2021 Notes: €600 million aggregate principal amount of 3.875% senior unsecured notes due June 7, 2021</w:t>
      </w:r>
    </w:p>
    <w:p>
      <w:pPr>
        <w:spacing w:after="0" w:line="130"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2023 Notes: €600 million aggregate principal amount of 1.75% senior unsecured notes due May 19, 2023</w:t>
      </w:r>
    </w:p>
    <w:p>
      <w:pPr>
        <w:spacing w:after="0" w:line="130"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2024 Notes: $500 million aggregate principal amount of 4.25% senior unsecured notes due June 1, 2024</w:t>
      </w:r>
    </w:p>
    <w:p>
      <w:pPr>
        <w:spacing w:after="0" w:line="130"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2026 Notes: $500 million aggregate principal amount of 3.85% senior unsecured notes due June 30,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ASU: Accounting Standards Update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ATS: Alternative Trading System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BWise: BWise Beheer B.V. and its subsidiaries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CCP: Central Counterparty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CFTC: U.S. Commodity Futures Trading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 Designated Examining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DWA: Dorsey, Wright &amp; Associates, LLC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EMIR: European Market Infrastructure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Equity Plan: Nasdaq Equity Incentive Plan</w:t>
      </w:r>
    </w:p>
    <w:p>
      <w:pPr>
        <w:spacing w:after="0" w:line="18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eSpeed: Certain assets and certain liabilities of the eSpeed business that were acquired or assumed from BGC Partners, Inc. and certain of its affiliates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ESPP: Nasdaq Employee Stock Purchase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ETF: Exchange Traded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ETP: Exchange Traded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eVestment: eVestment, Inc.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Exchange Act: Securities Exchange Act of 1934,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FASB: Financial Accounting Standards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FICC: Fixed Income and Commodities Trading and Clearing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FINRA: Financial Industry Regulatory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IPO: Initial Public Offering</w:t>
      </w:r>
    </w:p>
    <w:p>
      <w:pPr>
        <w:spacing w:after="0" w:line="36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45"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7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5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720" w:type="dxa"/>
            <w:vAlign w:val="bottom"/>
            <w:gridSpan w:val="2"/>
          </w:tcPr>
          <w:p>
            <w:pPr>
              <w:spacing w:after="0"/>
              <w:rPr>
                <w:sz w:val="20"/>
                <w:szCs w:val="20"/>
                <w:color w:val="auto"/>
              </w:rPr>
            </w:pPr>
            <w:r>
              <w:rPr>
                <w:rFonts w:ascii="Arial" w:cs="Arial" w:eastAsia="Arial" w:hAnsi="Arial"/>
                <w:sz w:val="18"/>
                <w:szCs w:val="18"/>
                <w:color w:val="auto"/>
              </w:rPr>
              <w:t>ISE: U.S. Exchange Holdings, Inc. and its subsidiaries</w:t>
            </w:r>
          </w:p>
        </w:tc>
        <w:tc>
          <w:tcPr>
            <w:tcW w:w="5700" w:type="dxa"/>
            <w:vAlign w:val="bottom"/>
          </w:tcPr>
          <w:p>
            <w:pPr>
              <w:ind w:left="100"/>
              <w:spacing w:after="0"/>
              <w:rPr>
                <w:sz w:val="20"/>
                <w:szCs w:val="20"/>
                <w:color w:val="auto"/>
              </w:rPr>
            </w:pPr>
            <w:r>
              <w:rPr>
                <w:rFonts w:ascii="Arial" w:cs="Arial" w:eastAsia="Arial" w:hAnsi="Arial"/>
                <w:sz w:val="18"/>
                <w:szCs w:val="18"/>
                <w:color w:val="auto"/>
              </w:rPr>
              <w:t>SecondMarket: SecondMarket Solutions, Inc.</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LIBOR: London Interbank Offered Rate</w:t>
            </w:r>
          </w:p>
        </w:tc>
        <w:tc>
          <w:tcPr>
            <w:tcW w:w="5700" w:type="dxa"/>
            <w:vAlign w:val="bottom"/>
          </w:tcPr>
          <w:p>
            <w:pPr>
              <w:ind w:left="100"/>
              <w:spacing w:after="0"/>
              <w:rPr>
                <w:sz w:val="20"/>
                <w:szCs w:val="20"/>
                <w:color w:val="auto"/>
              </w:rPr>
            </w:pPr>
            <w:r>
              <w:rPr>
                <w:rFonts w:ascii="Arial" w:cs="Arial" w:eastAsia="Arial" w:hAnsi="Arial"/>
                <w:sz w:val="18"/>
                <w:szCs w:val="18"/>
                <w:color w:val="auto"/>
              </w:rPr>
              <w:t>SERP: Supplemental Executive Retirement Plan</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MiFID II: Update to the Markets in Financial Instruments Directive</w:t>
            </w:r>
          </w:p>
        </w:tc>
        <w:tc>
          <w:tcPr>
            <w:tcW w:w="5700" w:type="dxa"/>
            <w:vAlign w:val="bottom"/>
          </w:tcPr>
          <w:p>
            <w:pPr>
              <w:ind w:left="100"/>
              <w:spacing w:after="0"/>
              <w:rPr>
                <w:sz w:val="20"/>
                <w:szCs w:val="20"/>
                <w:color w:val="auto"/>
              </w:rPr>
            </w:pPr>
            <w:r>
              <w:rPr>
                <w:rFonts w:ascii="Arial" w:cs="Arial" w:eastAsia="Arial" w:hAnsi="Arial"/>
                <w:sz w:val="18"/>
                <w:szCs w:val="18"/>
                <w:color w:val="auto"/>
              </w:rPr>
              <w:t>SFSA: Swedish Financial Supervisory Authority</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MiFIR: Markets in Financial Instruments Regulation</w:t>
            </w:r>
          </w:p>
        </w:tc>
        <w:tc>
          <w:tcPr>
            <w:tcW w:w="5700" w:type="dxa"/>
            <w:vAlign w:val="bottom"/>
          </w:tcPr>
          <w:p>
            <w:pPr>
              <w:ind w:left="100"/>
              <w:spacing w:after="0"/>
              <w:rPr>
                <w:sz w:val="20"/>
                <w:szCs w:val="20"/>
                <w:color w:val="auto"/>
              </w:rPr>
            </w:pPr>
            <w:r>
              <w:rPr>
                <w:rFonts w:ascii="Arial" w:cs="Arial" w:eastAsia="Arial" w:hAnsi="Arial"/>
                <w:sz w:val="18"/>
                <w:szCs w:val="18"/>
                <w:color w:val="auto"/>
              </w:rPr>
              <w:t>SMARTS: SMARTS Group Holdings Pty</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MTF: Multilateral Trading Facility</w:t>
            </w:r>
          </w:p>
        </w:tc>
        <w:tc>
          <w:tcPr>
            <w:tcW w:w="5700" w:type="dxa"/>
            <w:vAlign w:val="bottom"/>
          </w:tcPr>
          <w:p>
            <w:pPr>
              <w:ind w:left="100"/>
              <w:spacing w:after="0"/>
              <w:rPr>
                <w:sz w:val="20"/>
                <w:szCs w:val="20"/>
                <w:color w:val="auto"/>
              </w:rPr>
            </w:pPr>
            <w:r>
              <w:rPr>
                <w:rFonts w:ascii="Arial" w:cs="Arial" w:eastAsia="Arial" w:hAnsi="Arial"/>
                <w:sz w:val="18"/>
                <w:szCs w:val="18"/>
                <w:color w:val="auto"/>
              </w:rPr>
              <w:t>S&amp;P: Standard &amp; Poor’s</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NFX: Nasdaq Futures, Inc.</w:t>
            </w:r>
          </w:p>
        </w:tc>
        <w:tc>
          <w:tcPr>
            <w:tcW w:w="5700" w:type="dxa"/>
            <w:vAlign w:val="bottom"/>
          </w:tcPr>
          <w:p>
            <w:pPr>
              <w:ind w:left="100"/>
              <w:spacing w:after="0"/>
              <w:rPr>
                <w:sz w:val="20"/>
                <w:szCs w:val="20"/>
                <w:color w:val="auto"/>
              </w:rPr>
            </w:pPr>
            <w:r>
              <w:rPr>
                <w:rFonts w:ascii="Arial" w:cs="Arial" w:eastAsia="Arial" w:hAnsi="Arial"/>
                <w:sz w:val="18"/>
                <w:szCs w:val="18"/>
                <w:color w:val="auto"/>
              </w:rPr>
              <w:t>S&amp;P 500: S&amp;P 500 Stock Index</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NPM: The Nasdaq Private Market, LLC</w:t>
            </w:r>
          </w:p>
        </w:tc>
        <w:tc>
          <w:tcPr>
            <w:tcW w:w="5700" w:type="dxa"/>
            <w:vAlign w:val="bottom"/>
          </w:tcPr>
          <w:p>
            <w:pPr>
              <w:ind w:left="100"/>
              <w:spacing w:after="0"/>
              <w:rPr>
                <w:sz w:val="20"/>
                <w:szCs w:val="20"/>
                <w:color w:val="auto"/>
              </w:rPr>
            </w:pPr>
            <w:r>
              <w:rPr>
                <w:rFonts w:ascii="Arial" w:cs="Arial" w:eastAsia="Arial" w:hAnsi="Arial"/>
                <w:sz w:val="18"/>
                <w:szCs w:val="18"/>
                <w:color w:val="auto"/>
              </w:rPr>
              <w:t>SRO: Self-regulatory Organization</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NSCC: National Securities Clearing Corporation</w:t>
            </w:r>
          </w:p>
        </w:tc>
        <w:tc>
          <w:tcPr>
            <w:tcW w:w="5700" w:type="dxa"/>
            <w:vAlign w:val="bottom"/>
          </w:tcPr>
          <w:p>
            <w:pPr>
              <w:ind w:left="100"/>
              <w:spacing w:after="0"/>
              <w:rPr>
                <w:sz w:val="20"/>
                <w:szCs w:val="20"/>
                <w:color w:val="auto"/>
              </w:rPr>
            </w:pPr>
            <w:r>
              <w:rPr>
                <w:rFonts w:ascii="Arial" w:cs="Arial" w:eastAsia="Arial" w:hAnsi="Arial"/>
                <w:sz w:val="18"/>
                <w:szCs w:val="18"/>
                <w:color w:val="auto"/>
              </w:rPr>
              <w:t>SSMA: Swedish Securities Markets Act 2007:528</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OCC: The Options Clearing Corporation</w:t>
            </w:r>
          </w:p>
        </w:tc>
        <w:tc>
          <w:tcPr>
            <w:tcW w:w="5700" w:type="dxa"/>
            <w:vAlign w:val="bottom"/>
          </w:tcPr>
          <w:p>
            <w:pPr>
              <w:ind w:left="100"/>
              <w:spacing w:after="0"/>
              <w:rPr>
                <w:sz w:val="20"/>
                <w:szCs w:val="20"/>
                <w:color w:val="auto"/>
              </w:rPr>
            </w:pPr>
            <w:r>
              <w:rPr>
                <w:rFonts w:ascii="Arial" w:cs="Arial" w:eastAsia="Arial" w:hAnsi="Arial"/>
                <w:sz w:val="18"/>
                <w:szCs w:val="18"/>
                <w:color w:val="auto"/>
              </w:rPr>
              <w:t>TSR: Total Shareholder Return</w:t>
            </w:r>
          </w:p>
        </w:tc>
        <w:tc>
          <w:tcPr>
            <w:tcW w:w="0" w:type="dxa"/>
            <w:vAlign w:val="bottom"/>
          </w:tcPr>
          <w:p>
            <w:pPr>
              <w:spacing w:after="0"/>
              <w:rPr>
                <w:sz w:val="1"/>
                <w:szCs w:val="1"/>
                <w:color w:val="auto"/>
              </w:rPr>
            </w:pPr>
          </w:p>
        </w:tc>
      </w:tr>
      <w:tr>
        <w:trPr>
          <w:trHeight w:val="392"/>
        </w:trPr>
        <w:tc>
          <w:tcPr>
            <w:tcW w:w="5720" w:type="dxa"/>
            <w:vAlign w:val="bottom"/>
            <w:gridSpan w:val="2"/>
          </w:tcPr>
          <w:p>
            <w:pPr>
              <w:spacing w:after="0"/>
              <w:rPr>
                <w:sz w:val="20"/>
                <w:szCs w:val="20"/>
                <w:color w:val="auto"/>
              </w:rPr>
            </w:pPr>
            <w:r>
              <w:rPr>
                <w:rFonts w:ascii="Arial" w:cs="Arial" w:eastAsia="Arial" w:hAnsi="Arial"/>
                <w:sz w:val="18"/>
                <w:szCs w:val="18"/>
                <w:color w:val="auto"/>
              </w:rPr>
              <w:t>OTC: Over-the-Counter</w:t>
            </w:r>
          </w:p>
        </w:tc>
        <w:tc>
          <w:tcPr>
            <w:tcW w:w="5700" w:type="dxa"/>
            <w:vAlign w:val="bottom"/>
          </w:tcPr>
          <w:p>
            <w:pPr>
              <w:ind w:left="100"/>
              <w:spacing w:after="0"/>
              <w:rPr>
                <w:sz w:val="20"/>
                <w:szCs w:val="20"/>
                <w:color w:val="auto"/>
              </w:rPr>
            </w:pPr>
            <w:r>
              <w:rPr>
                <w:rFonts w:ascii="Arial" w:cs="Arial" w:eastAsia="Arial" w:hAnsi="Arial"/>
                <w:sz w:val="18"/>
                <w:szCs w:val="18"/>
                <w:color w:val="auto"/>
              </w:rPr>
              <w:t>U.S. GAAP: U.S. Generally Accepted Accounting Principles</w:t>
            </w:r>
          </w:p>
        </w:tc>
        <w:tc>
          <w:tcPr>
            <w:tcW w:w="0" w:type="dxa"/>
            <w:vAlign w:val="bottom"/>
          </w:tcPr>
          <w:p>
            <w:pPr>
              <w:spacing w:after="0"/>
              <w:rPr>
                <w:sz w:val="1"/>
                <w:szCs w:val="1"/>
                <w:color w:val="auto"/>
              </w:rPr>
            </w:pPr>
          </w:p>
        </w:tc>
      </w:tr>
      <w:tr>
        <w:trPr>
          <w:trHeight w:val="377"/>
        </w:trPr>
        <w:tc>
          <w:tcPr>
            <w:tcW w:w="5720" w:type="dxa"/>
            <w:vAlign w:val="bottom"/>
            <w:gridSpan w:val="2"/>
          </w:tcPr>
          <w:p>
            <w:pPr>
              <w:spacing w:after="0"/>
              <w:rPr>
                <w:sz w:val="20"/>
                <w:szCs w:val="20"/>
                <w:color w:val="auto"/>
              </w:rPr>
            </w:pPr>
            <w:r>
              <w:rPr>
                <w:rFonts w:ascii="Arial" w:cs="Arial" w:eastAsia="Arial" w:hAnsi="Arial"/>
                <w:sz w:val="18"/>
                <w:szCs w:val="18"/>
                <w:color w:val="auto"/>
                <w:w w:val="95"/>
              </w:rPr>
              <w:t>Proxy Statement: Nasdaq’s Definitive Proxy Statement for the 2018 Annual</w:t>
            </w:r>
          </w:p>
        </w:tc>
        <w:tc>
          <w:tcPr>
            <w:tcW w:w="5700" w:type="dxa"/>
            <w:vAlign w:val="bottom"/>
          </w:tcPr>
          <w:p>
            <w:pPr>
              <w:ind w:left="100"/>
              <w:spacing w:after="0"/>
              <w:rPr>
                <w:sz w:val="20"/>
                <w:szCs w:val="20"/>
                <w:color w:val="auto"/>
              </w:rPr>
            </w:pPr>
            <w:r>
              <w:rPr>
                <w:rFonts w:ascii="Arial" w:cs="Arial" w:eastAsia="Arial" w:hAnsi="Arial"/>
                <w:sz w:val="18"/>
                <w:szCs w:val="18"/>
                <w:color w:val="auto"/>
              </w:rPr>
              <w:t>UTP: Unlisted Trading Privileges</w:t>
            </w:r>
          </w:p>
        </w:tc>
        <w:tc>
          <w:tcPr>
            <w:tcW w:w="0" w:type="dxa"/>
            <w:vAlign w:val="bottom"/>
          </w:tcPr>
          <w:p>
            <w:pPr>
              <w:spacing w:after="0"/>
              <w:rPr>
                <w:sz w:val="1"/>
                <w:szCs w:val="1"/>
                <w:color w:val="auto"/>
              </w:rPr>
            </w:pPr>
          </w:p>
        </w:tc>
      </w:tr>
      <w:tr>
        <w:trPr>
          <w:trHeight w:val="230"/>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Meeting of Stockholders</w:t>
            </w:r>
          </w:p>
        </w:tc>
        <w:tc>
          <w:tcPr>
            <w:tcW w:w="5700" w:type="dxa"/>
            <w:vAlign w:val="bottom"/>
            <w:vMerge w:val="restart"/>
          </w:tcPr>
          <w:p>
            <w:pPr>
              <w:ind w:left="100"/>
              <w:spacing w:after="0"/>
              <w:rPr>
                <w:sz w:val="20"/>
                <w:szCs w:val="20"/>
                <w:color w:val="auto"/>
              </w:rPr>
            </w:pPr>
            <w:r>
              <w:rPr>
                <w:rFonts w:ascii="Arial" w:cs="Arial" w:eastAsia="Arial" w:hAnsi="Arial"/>
                <w:sz w:val="18"/>
                <w:szCs w:val="18"/>
                <w:color w:val="auto"/>
                <w:w w:val="97"/>
              </w:rPr>
              <w:t>UTP Plan: Joint SRO Plan Governing the Collection, Consolidation, and</w:t>
            </w: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PSU: Performance Share Unit</w:t>
            </w:r>
          </w:p>
        </w:tc>
        <w:tc>
          <w:tcPr>
            <w:tcW w:w="5700" w:type="dxa"/>
            <w:vAlign w:val="bottom"/>
          </w:tcPr>
          <w:p>
            <w:pPr>
              <w:ind w:left="280"/>
              <w:spacing w:after="0"/>
              <w:rPr>
                <w:sz w:val="20"/>
                <w:szCs w:val="20"/>
                <w:color w:val="auto"/>
              </w:rPr>
            </w:pPr>
            <w:r>
              <w:rPr>
                <w:rFonts w:ascii="Arial" w:cs="Arial" w:eastAsia="Arial" w:hAnsi="Arial"/>
                <w:sz w:val="18"/>
                <w:szCs w:val="18"/>
                <w:color w:val="auto"/>
                <w:w w:val="99"/>
              </w:rPr>
              <w:t>Dissemination of Quotation and Transaction Information for Nasdaq-</w:t>
            </w:r>
          </w:p>
        </w:tc>
        <w:tc>
          <w:tcPr>
            <w:tcW w:w="0" w:type="dxa"/>
            <w:vAlign w:val="bottom"/>
          </w:tcPr>
          <w:p>
            <w:pPr>
              <w:spacing w:after="0"/>
              <w:rPr>
                <w:sz w:val="1"/>
                <w:szCs w:val="1"/>
                <w:color w:val="auto"/>
              </w:rPr>
            </w:pPr>
          </w:p>
        </w:tc>
      </w:tr>
      <w:tr>
        <w:trPr>
          <w:trHeight w:val="23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Regulation NMS: Regulation National Market System</w:t>
            </w:r>
          </w:p>
        </w:tc>
        <w:tc>
          <w:tcPr>
            <w:tcW w:w="5700" w:type="dxa"/>
            <w:vAlign w:val="bottom"/>
          </w:tcPr>
          <w:p>
            <w:pPr>
              <w:ind w:left="280"/>
              <w:spacing w:after="0"/>
              <w:rPr>
                <w:sz w:val="20"/>
                <w:szCs w:val="20"/>
                <w:color w:val="auto"/>
              </w:rPr>
            </w:pPr>
            <w:r>
              <w:rPr>
                <w:rFonts w:ascii="Arial" w:cs="Arial" w:eastAsia="Arial" w:hAnsi="Arial"/>
                <w:sz w:val="18"/>
                <w:szCs w:val="18"/>
                <w:color w:val="auto"/>
              </w:rPr>
              <w:t>Listed Securities Traded on Exchanges on a UTP Basis</w:t>
            </w:r>
          </w:p>
        </w:tc>
        <w:tc>
          <w:tcPr>
            <w:tcW w:w="0" w:type="dxa"/>
            <w:vAlign w:val="bottom"/>
          </w:tcPr>
          <w:p>
            <w:pPr>
              <w:spacing w:after="0"/>
              <w:rPr>
                <w:sz w:val="1"/>
                <w:szCs w:val="1"/>
                <w:color w:val="auto"/>
              </w:rPr>
            </w:pPr>
          </w:p>
        </w:tc>
      </w:tr>
      <w:tr>
        <w:trPr>
          <w:trHeight w:val="176"/>
        </w:trPr>
        <w:tc>
          <w:tcPr>
            <w:tcW w:w="5720" w:type="dxa"/>
            <w:vAlign w:val="bottom"/>
            <w:gridSpan w:val="2"/>
            <w:vMerge w:val="continue"/>
          </w:tcPr>
          <w:p>
            <w:pPr>
              <w:spacing w:after="0"/>
              <w:rPr>
                <w:sz w:val="15"/>
                <w:szCs w:val="15"/>
                <w:color w:val="auto"/>
              </w:rPr>
            </w:pPr>
          </w:p>
        </w:tc>
        <w:tc>
          <w:tcPr>
            <w:tcW w:w="5700" w:type="dxa"/>
            <w:vAlign w:val="bottom"/>
            <w:vMerge w:val="restart"/>
          </w:tcPr>
          <w:p>
            <w:pPr>
              <w:ind w:left="100"/>
              <w:spacing w:after="0"/>
              <w:rPr>
                <w:sz w:val="20"/>
                <w:szCs w:val="20"/>
                <w:color w:val="auto"/>
              </w:rPr>
            </w:pPr>
            <w:r>
              <w:rPr>
                <w:rFonts w:ascii="Arial" w:cs="Arial" w:eastAsia="Arial" w:hAnsi="Arial"/>
                <w:sz w:val="18"/>
                <w:szCs w:val="18"/>
                <w:color w:val="auto"/>
              </w:rPr>
              <w:t>VAT: Value Added Tax</w:t>
            </w:r>
          </w:p>
        </w:tc>
        <w:tc>
          <w:tcPr>
            <w:tcW w:w="0" w:type="dxa"/>
            <w:vAlign w:val="bottom"/>
          </w:tcPr>
          <w:p>
            <w:pPr>
              <w:spacing w:after="0"/>
              <w:rPr>
                <w:sz w:val="1"/>
                <w:szCs w:val="1"/>
                <w:color w:val="auto"/>
              </w:rPr>
            </w:pPr>
          </w:p>
        </w:tc>
      </w:tr>
      <w:tr>
        <w:trPr>
          <w:trHeight w:val="216"/>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Regulation SCI: Regulation Systems Compliance and Integrity</w:t>
            </w:r>
          </w:p>
        </w:tc>
        <w:tc>
          <w:tcPr>
            <w:tcW w:w="5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20" w:type="dxa"/>
            <w:vAlign w:val="bottom"/>
            <w:gridSpan w:val="2"/>
            <w:vMerge w:val="continue"/>
          </w:tcPr>
          <w:p>
            <w:pPr>
              <w:spacing w:after="0"/>
              <w:rPr>
                <w:sz w:val="15"/>
                <w:szCs w:val="15"/>
                <w:color w:val="auto"/>
              </w:rPr>
            </w:pPr>
          </w:p>
        </w:tc>
        <w:tc>
          <w:tcPr>
            <w:tcW w:w="5700" w:type="dxa"/>
            <w:vAlign w:val="bottom"/>
            <w:vMerge w:val="restart"/>
          </w:tcPr>
          <w:p>
            <w:pPr>
              <w:ind w:left="100"/>
              <w:spacing w:after="0"/>
              <w:rPr>
                <w:sz w:val="20"/>
                <w:szCs w:val="20"/>
                <w:color w:val="auto"/>
              </w:rPr>
            </w:pPr>
            <w:r>
              <w:rPr>
                <w:rFonts w:ascii="Arial" w:cs="Arial" w:eastAsia="Arial" w:hAnsi="Arial"/>
                <w:sz w:val="18"/>
                <w:szCs w:val="18"/>
                <w:color w:val="auto"/>
              </w:rPr>
              <w:t>VSOE: Vendor Specific Objective Evidence of Fair Value</w:t>
            </w:r>
          </w:p>
        </w:tc>
        <w:tc>
          <w:tcPr>
            <w:tcW w:w="0" w:type="dxa"/>
            <w:vAlign w:val="bottom"/>
          </w:tcPr>
          <w:p>
            <w:pPr>
              <w:spacing w:after="0"/>
              <w:rPr>
                <w:sz w:val="1"/>
                <w:szCs w:val="1"/>
                <w:color w:val="auto"/>
              </w:rPr>
            </w:pPr>
          </w:p>
        </w:tc>
      </w:tr>
      <w:tr>
        <w:trPr>
          <w:trHeight w:val="216"/>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SEC: U.S. Securities and Exchange Commission</w:t>
            </w:r>
          </w:p>
        </w:tc>
        <w:tc>
          <w:tcPr>
            <w:tcW w:w="5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20" w:type="dxa"/>
            <w:vAlign w:val="bottom"/>
            <w:gridSpan w:val="2"/>
            <w:vMerge w:val="continue"/>
          </w:tcPr>
          <w:p>
            <w:pPr>
              <w:spacing w:after="0"/>
              <w:rPr>
                <w:sz w:val="15"/>
                <w:szCs w:val="15"/>
                <w:color w:val="auto"/>
              </w:rPr>
            </w:pPr>
          </w:p>
        </w:tc>
        <w:tc>
          <w:tcPr>
            <w:tcW w:w="5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non-exclusive list of registered trademarks, registered service marks, or trademarks or service marks of Nasdaq or its subsidiaries,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and/or other countries or jurisdictions: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@TRADE®, ACES®, AT TRADE®, AT-TRADE®, AGGREGATION, TRANSPARENCY, CONTROL®, AUTO WORKUP®, AXE®, BOARDVANTAGE, BWISE®, BWISE BUSINESS IN CONTROL®, BWISE RAPID DEPLOYMENT SOLUTION®, BX VENTURE MARKET®, CANADIAN DIVIDEND ACHIEVERS®, CCBN®, CCN®, CCN NEWSNET DESIGN, CCNMATTHEWS®, CLICK XT®, CONDICO®, CYBER SECURITY®, D.A.L.I®, DEFENSE OF INTERNATIONAL MARKETS AND EXCHANGES SYMPOSIUM®, DIMES®, DIRECTORS DESK®, DIRECTORSDESK®, DIVIDEND ACHIEVERS®, DORSEY WRIGHT®, DREAM IT. DO IT.®, DWA®, DWA MATRIX®, EQQQ, E (design), E-</w:t>
      </w:r>
    </w:p>
    <w:p>
      <w:pPr>
        <w:spacing w:after="0" w:line="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SPEED®, ESPEED®, ESPEEDOMETER®, EXACTEQUITY®, EXIGO, FINQLOUD®, FINQLOUD REGULATORY RECORDS RETENTION® FIRST NORTH®, FONDSBØRSEN®, FTEN®, GENIUM®, GIDS®, GLOBE NEWSWIRE®, GO! POWERED BY MARKETWIRE®, HACK®, IGNITE YOUR AMBITION®, INET®, INTERNATIONAL SECURITIES EXCHANGE®, INVESTOR WORLD®, IPOWORLD®, ISE, ISE BIG DATA®, ISE FX OPTIONS®, ISE GEMINI®, ISE MOBILE PAYMENTS®, ISEE SELECT®, ISSUERWORLD®, ITCH®, KFXAKTIEINDEX®, LONGITUDE®, MARKET INTELLIGENCE DESK®, MARKET LINQUIDITY, MARKET MECHANICS®, MARKETSITE®, MARKETWIRE®, MARKETWIRE BEYOND WORDS®, MARKETWIRE RESONATE®, MARKETWIRE GO! ®, MARKETWIRED RESONATE®, MARKETWIRED®, MW®, MW MARKET WIRED®, MW MARKETWIRED THE POWER OF INFLUENCE®, MY CCBN®, MYMEDIAINFO®, NAREX®, NASDAQ®, NASDAQ 100 INDEX®, NASDAQ - FINANCIAL®, NASDAQ BIOTECHNOLOGY INDEX®, NASDAQ CANADA®, NASDAQ CANADA COMPOSITE INDEX®, NASDAQ CANADA INDEX®, NASDAQ CAPITAL MARKET®, NASDAQ COMPOSITE®, NASDAQ COMPOSITE INDEX®, NASDAQ COMPUTER INDEX®, NASDAQ DIVIDEND ACHIEVERS®, NASDAQ DUBAI®, NASDAQ DUBAI ACADEMY®, NASDAQ EUROPE®, NASDAQ EUROPE COMPOSITE INDEX®, NASDAQ FINANCIAL-100 INDEX®, NASDAQ FUTURES®, NASDAQ FX®, NASDAQ GLOBAL MARKET®, NASDAQ GLOBAL SELECT MARKET®, NASDAQ INDUSTRIAL INDEX®, NASDAQ INTERACT®, NASDAQ INTERNET INDEX®, NASDAQ IQ FUND®, NASDAQ IR INSIGHT®, NASDAQ JAPAN®, NASDAQ MARKET ANALYTIX®, NASDAQ MARKET CENTER®, NASDAQ MARKET FORCES®, NASDAQ MARKET VELOCITY®, NASDAQ MARKETSITE®, NASDAQ MAX®, NASDAQ MAX MARKET ANALYTIX®, NASDAQ OMX®, NASDAQ OMX GREEN ECONOMY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38"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INDEX®, NASDAQ OMX NORDIC®, NASDAQ PRIVATE MARKET®, NASDAQ Q-50 INDEX®, NASDAQ TELECOMMUNICATIONS INDEX®, NASDAQ TOTALVIEW®, NASDAQ TRADER®, NASDAQ TRANSPORTATION INDEX®, NASDAQ US ALL MARKET®, NASDAQ WORKSTATION®, NASDAQ WORKSTATION II®, NASDAQ WORLD®, NASDAQ-100®, NASDAQ-100 EUROPEAN FUND®, NASDAQ-100</w:t>
      </w:r>
    </w:p>
    <w:p>
      <w:pPr>
        <w:jc w:val="both"/>
        <w:spacing w:after="0" w:line="265" w:lineRule="auto"/>
        <w:rPr>
          <w:sz w:val="20"/>
          <w:szCs w:val="20"/>
          <w:color w:val="auto"/>
        </w:rPr>
      </w:pPr>
      <w:r>
        <w:rPr>
          <w:rFonts w:ascii="Arial" w:cs="Arial" w:eastAsia="Arial" w:hAnsi="Arial"/>
          <w:sz w:val="17"/>
          <w:szCs w:val="17"/>
          <w:color w:val="auto"/>
        </w:rPr>
        <w:t>EUROPEAN TRACKER®, NASDAQ-100 EUROPEAN TRACKER FUND®, NASDAQ-100 INDEX®, NASDAQ-100 INDEX EUROPEAN TRACKER FUND®, NASDAQ-100 INDEX TRACKING STOCK®, NDX®, NEWS RELEASE EXPRESS®, NFX®, NLX®, NOIS®, NORDIX®, NPM®, OMX®, OMX COPENHAGEN 20®, OMX HELSINKI 25®, OMX STIBOR FUTURE®, OMX STOCKHOLM 30®, OMX TECHNOLOGY®, OMXC25®, OMXH25®, OMXS30®, OMXS3FUT®, ON THE WIRE®, OTW®, PHILADELPHIA STOCK EXCHANGE®, PHLX®, PHLX XL®, PIXL®, PRECISE TRADE®, PRF®, Q THE NEXT GREAT THING®, QQQ®, QTARGET®, QVIEW®, R3®, RISKWAY®, RISKWRAPPER®, RISKXPOSURE®, RX®,</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S.A.X.E.S®, SECONDMARKET®, SIGNALXPRESS SX®, SMARTS®, SMARTSONLINE®, STINA®, STRUCTURED LIQUIDITY PROGRAM®, THE NASDAQ STOCK MARKET®, THE STOCK MARKET FOR THE NEXT 100 YEARS®, TOTAL EQUITY SOLUTION®, TRADEGUARD®, TX®, ULL®, ULTRA LOW LATENCY®, ULTRAFEED®, VX PROXY®, WIZER®, XDE®, XO DORSEY WRIGHT &amp; ASSOCIATES®, YLIALLE®, ÖVERUNDER®</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the extent a name, logo or design does not appear on the above list, such lack of appearance does not constitute a waiver of any intellectual property rights that Nasdaq has established in its product or service names or logos, or in product configurations or designs, all of which rights are expressly reserved.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FINRA® and TRADE REPORTING FACILITY® are registered trademarks of FINRA.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other trademarks and service marks used herein are the property of their respective owners.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IPOs is based on data generated internally by us, which includes best efforts underwritings; therefore, the data may not be comparable to other publicly-available IPO data. Data in this Annual Report on Form 10-K for new listings of equity securities on The Nasdaq Stock Market is based on data generated internally by us, which includes best efforts underwritings, issuers that switched from other listing venues, closed-end funds and ETPs. Data in this Annual Report on Form 10-K for IPOs and new listings of equity securities on the Nasdaq Nordic and Nasdaq Baltic exchanges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intends to use its website, ir.nasdaq.com, as a means for disclosing material non-public information and for complying with SEC Regulation FD and other disclosure obligations. These disclosures will be included on Nasdaq’s website under “Investor Relations.”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45"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The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identify forward-looking statements. These include, among others, statements relating to:</w:t>
      </w:r>
    </w:p>
    <w:p>
      <w:pPr>
        <w:spacing w:after="0" w:line="23" w:lineRule="exact"/>
        <w:rPr>
          <w:sz w:val="20"/>
          <w:szCs w:val="20"/>
          <w:color w:val="auto"/>
        </w:rPr>
      </w:pPr>
    </w:p>
    <w:p>
      <w:pPr>
        <w:ind w:left="1220" w:hanging="321"/>
        <w:spacing w:after="0"/>
        <w:tabs>
          <w:tab w:leader="none" w:pos="122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strategy, growth forecasts and 2018 outlook;</w:t>
      </w:r>
    </w:p>
    <w:p>
      <w:pPr>
        <w:spacing w:after="0" w:line="90" w:lineRule="exact"/>
        <w:rPr>
          <w:rFonts w:ascii="Arial" w:cs="Arial" w:eastAsia="Arial" w:hAnsi="Arial"/>
          <w:sz w:val="18"/>
          <w:szCs w:val="18"/>
          <w:i w:val="1"/>
          <w:iCs w:val="1"/>
          <w:color w:val="auto"/>
        </w:rPr>
      </w:pPr>
    </w:p>
    <w:p>
      <w:pPr>
        <w:ind w:left="1220" w:hanging="321"/>
        <w:spacing w:after="0"/>
        <w:tabs>
          <w:tab w:leader="none" w:pos="122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integration of acquired businesses, including accounting decisions relating thereto;</w:t>
      </w:r>
    </w:p>
    <w:p>
      <w:pPr>
        <w:spacing w:after="0" w:line="90" w:lineRule="exact"/>
        <w:rPr>
          <w:rFonts w:ascii="Arial" w:cs="Arial" w:eastAsia="Arial" w:hAnsi="Arial"/>
          <w:sz w:val="18"/>
          <w:szCs w:val="18"/>
          <w:i w:val="1"/>
          <w:iCs w:val="1"/>
          <w:color w:val="auto"/>
        </w:rPr>
      </w:pPr>
    </w:p>
    <w:p>
      <w:pPr>
        <w:ind w:left="1220" w:hanging="321"/>
        <w:spacing w:after="0"/>
        <w:tabs>
          <w:tab w:leader="none" w:pos="122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scope, nature or impact of acquisitions, divestitures, investments, joint ventures or other transactional activities;</w:t>
      </w:r>
    </w:p>
    <w:p>
      <w:pPr>
        <w:spacing w:after="0" w:line="90" w:lineRule="exact"/>
        <w:rPr>
          <w:rFonts w:ascii="Arial" w:cs="Arial" w:eastAsia="Arial" w:hAnsi="Arial"/>
          <w:sz w:val="18"/>
          <w:szCs w:val="18"/>
          <w:i w:val="1"/>
          <w:iCs w:val="1"/>
          <w:color w:val="auto"/>
        </w:rPr>
      </w:pPr>
    </w:p>
    <w:p>
      <w:pPr>
        <w:ind w:left="1220" w:hanging="321"/>
        <w:spacing w:after="0" w:line="277"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 including transactional activities and other strategic, restructuring, technology, de-leveraging and capital return initiatives;</w:t>
      </w:r>
    </w:p>
    <w:p>
      <w:pPr>
        <w:spacing w:after="0" w:line="8"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products, order backlog and services;</w:t>
      </w:r>
    </w:p>
    <w:p>
      <w:pPr>
        <w:spacing w:after="0" w:line="103"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pricing changes;</w:t>
      </w:r>
    </w:p>
    <w:p>
      <w:pPr>
        <w:spacing w:after="0" w:line="103"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tax matters;</w:t>
      </w:r>
    </w:p>
    <w:p>
      <w:pPr>
        <w:spacing w:after="0" w:line="103"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cost and availability of liquidity and capital; and</w:t>
      </w:r>
    </w:p>
    <w:p>
      <w:pPr>
        <w:spacing w:after="0" w:line="103"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any litigation, or any regulatory or government investigation or action, to which we are or could become a party.</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5" w:lineRule="exact"/>
        <w:rPr>
          <w:sz w:val="20"/>
          <w:szCs w:val="20"/>
          <w:color w:val="auto"/>
        </w:rPr>
      </w:pPr>
    </w:p>
    <w:p>
      <w:pPr>
        <w:ind w:left="1220" w:hanging="321"/>
        <w:spacing w:after="0"/>
        <w:tabs>
          <w:tab w:leader="none" w:pos="12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operating results may be lower than expected;</w:t>
      </w:r>
    </w:p>
    <w:p>
      <w:pPr>
        <w:spacing w:after="0" w:line="90" w:lineRule="exact"/>
        <w:rPr>
          <w:rFonts w:ascii="Arial" w:cs="Arial" w:eastAsia="Arial" w:hAnsi="Arial"/>
          <w:sz w:val="18"/>
          <w:szCs w:val="18"/>
          <w:i w:val="1"/>
          <w:iCs w:val="1"/>
          <w:color w:val="auto"/>
        </w:rPr>
      </w:pPr>
    </w:p>
    <w:p>
      <w:pPr>
        <w:jc w:val="both"/>
        <w:ind w:left="1220" w:hanging="321"/>
        <w:spacing w:after="0" w:line="264" w:lineRule="auto"/>
        <w:tabs>
          <w:tab w:leader="none" w:pos="12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divest sold businesses or assets, including the fact that any integration may be more difficult, time consuming or costly than expected, and we may be unable to realize synergies from business combinations, acquisitions, divestitures or other transactional activities;</w:t>
      </w:r>
    </w:p>
    <w:p>
      <w:pPr>
        <w:spacing w:after="0" w:line="46" w:lineRule="exact"/>
        <w:rPr>
          <w:rFonts w:ascii="Arial" w:cs="Arial" w:eastAsia="Arial" w:hAnsi="Arial"/>
          <w:sz w:val="18"/>
          <w:szCs w:val="18"/>
          <w:i w:val="1"/>
          <w:iCs w:val="1"/>
          <w:color w:val="auto"/>
        </w:rPr>
      </w:pPr>
    </w:p>
    <w:p>
      <w:pPr>
        <w:ind w:left="1220" w:hanging="334"/>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loss of significant trading and clearing volumes or values, fees, market share, listed companies, data products customers or other customers;</w:t>
      </w:r>
    </w:p>
    <w:p>
      <w:pPr>
        <w:spacing w:after="0" w:line="113" w:lineRule="exact"/>
        <w:rPr>
          <w:rFonts w:ascii="Arial" w:cs="Arial" w:eastAsia="Arial" w:hAnsi="Arial"/>
          <w:sz w:val="16"/>
          <w:szCs w:val="16"/>
          <w:color w:val="auto"/>
        </w:rPr>
      </w:pPr>
    </w:p>
    <w:p>
      <w:pPr>
        <w:ind w:left="1220" w:hanging="33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keep up with rapid technological advances and adequately address cybersecurity risks;</w:t>
      </w:r>
    </w:p>
    <w:p>
      <w:pPr>
        <w:spacing w:after="0" w:line="90" w:lineRule="exact"/>
        <w:rPr>
          <w:rFonts w:ascii="Arial" w:cs="Arial" w:eastAsia="Arial" w:hAnsi="Arial"/>
          <w:sz w:val="18"/>
          <w:szCs w:val="18"/>
          <w:color w:val="auto"/>
        </w:rPr>
      </w:pPr>
    </w:p>
    <w:p>
      <w:pPr>
        <w:ind w:left="1220" w:hanging="321"/>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economic, political and market conditions and fluctuations, including interest rate and foreign currency risk, inherent in U.S. and international operations;</w:t>
      </w:r>
    </w:p>
    <w:p>
      <w:pPr>
        <w:spacing w:after="0" w:line="8" w:lineRule="exact"/>
        <w:rPr>
          <w:rFonts w:ascii="Arial" w:cs="Arial" w:eastAsia="Arial" w:hAnsi="Arial"/>
          <w:sz w:val="18"/>
          <w:szCs w:val="18"/>
          <w:color w:val="auto"/>
        </w:rPr>
      </w:pPr>
    </w:p>
    <w:p>
      <w:pPr>
        <w:ind w:left="1220" w:hanging="33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performance and reliability of our technology and technology of third parties;</w:t>
      </w:r>
    </w:p>
    <w:p>
      <w:pPr>
        <w:spacing w:after="0" w:line="103" w:lineRule="exact"/>
        <w:rPr>
          <w:rFonts w:ascii="Arial" w:cs="Arial" w:eastAsia="Arial" w:hAnsi="Arial"/>
          <w:sz w:val="18"/>
          <w:szCs w:val="18"/>
          <w:color w:val="auto"/>
        </w:rPr>
      </w:pPr>
    </w:p>
    <w:p>
      <w:pPr>
        <w:ind w:left="1220" w:hanging="33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any significant error in our operational processes;</w:t>
      </w:r>
    </w:p>
    <w:p>
      <w:pPr>
        <w:spacing w:after="0" w:line="103" w:lineRule="exact"/>
        <w:rPr>
          <w:rFonts w:ascii="Arial" w:cs="Arial" w:eastAsia="Arial" w:hAnsi="Arial"/>
          <w:sz w:val="18"/>
          <w:szCs w:val="18"/>
          <w:color w:val="auto"/>
        </w:rPr>
      </w:pPr>
    </w:p>
    <w:p>
      <w:pPr>
        <w:ind w:left="1220" w:hanging="334"/>
        <w:spacing w:after="0"/>
        <w:tabs>
          <w:tab w:leader="none" w:pos="1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cash and manage our indebtedness; and</w:t>
      </w:r>
    </w:p>
    <w:p>
      <w:pPr>
        <w:spacing w:after="0" w:line="103" w:lineRule="exact"/>
        <w:rPr>
          <w:rFonts w:ascii="Arial" w:cs="Arial" w:eastAsia="Arial" w:hAnsi="Arial"/>
          <w:sz w:val="18"/>
          <w:szCs w:val="18"/>
          <w:i w:val="1"/>
          <w:iCs w:val="1"/>
          <w:color w:val="auto"/>
        </w:rPr>
      </w:pPr>
    </w:p>
    <w:p>
      <w:pPr>
        <w:ind w:left="1220" w:hanging="334"/>
        <w:spacing w:after="0"/>
        <w:tabs>
          <w:tab w:leader="none" w:pos="1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adverse changes that may occur in the litigation or regulatory areas, or in the securities markets generally.</w:t>
      </w:r>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“Item 1A. Risk Factors,</w:t>
      </w:r>
      <w:r>
        <w:rPr>
          <w:rFonts w:ascii="Arial" w:cs="Arial" w:eastAsia="Arial" w:hAnsi="Arial"/>
          <w:sz w:val="14"/>
          <w:szCs w:val="14"/>
          <w:color w:val="auto"/>
        </w:rPr>
        <w:t>”</w:t>
      </w:r>
      <w:r>
        <w:rPr>
          <w:rFonts w:ascii="Arial" w:cs="Arial" w:eastAsia="Arial" w:hAnsi="Arial"/>
          <w:sz w:val="18"/>
          <w:szCs w:val="18"/>
          <w:i w:val="1"/>
          <w:iCs w:val="1"/>
          <w:color w:val="auto"/>
        </w:rPr>
        <w:t xml:space="preserve">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PART I</w:t>
            </w:r>
          </w:p>
        </w:tc>
        <w:tc>
          <w:tcPr>
            <w:tcW w:w="26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Item 1. Business</w:t>
            </w:r>
          </w:p>
        </w:tc>
        <w:tc>
          <w:tcPr>
            <w:tcW w:w="7720" w:type="dxa"/>
            <w:vAlign w:val="bottom"/>
          </w:tcPr>
          <w:p>
            <w:pPr>
              <w:ind w:left="2460"/>
              <w:spacing w:after="0"/>
              <w:rPr>
                <w:sz w:val="20"/>
                <w:szCs w:val="20"/>
                <w:color w:val="auto"/>
              </w:rPr>
            </w:pPr>
            <w:r>
              <w:rPr>
                <w:rFonts w:ascii="Arial" w:cs="Arial" w:eastAsia="Arial" w:hAnsi="Arial"/>
                <w:sz w:val="18"/>
                <w:szCs w:val="18"/>
                <w:color w:val="auto"/>
                <w:w w:val="95"/>
              </w:rPr>
              <w:t>true today across many asset classes inside and outside the financial</w:t>
            </w:r>
          </w:p>
        </w:tc>
        <w:tc>
          <w:tcPr>
            <w:tcW w:w="0" w:type="dxa"/>
            <w:vAlign w:val="bottom"/>
          </w:tcPr>
          <w:p>
            <w:pPr>
              <w:spacing w:after="0"/>
              <w:rPr>
                <w:sz w:val="1"/>
                <w:szCs w:val="1"/>
                <w:color w:val="auto"/>
              </w:rPr>
            </w:pPr>
          </w:p>
        </w:tc>
      </w:tr>
      <w:tr>
        <w:trPr>
          <w:trHeight w:val="23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Overview</w:t>
            </w:r>
          </w:p>
        </w:tc>
        <w:tc>
          <w:tcPr>
            <w:tcW w:w="7720" w:type="dxa"/>
            <w:vAlign w:val="bottom"/>
          </w:tcPr>
          <w:p>
            <w:pPr>
              <w:ind w:left="2460"/>
              <w:spacing w:after="0"/>
              <w:rPr>
                <w:sz w:val="20"/>
                <w:szCs w:val="20"/>
                <w:color w:val="auto"/>
              </w:rPr>
            </w:pPr>
            <w:r>
              <w:rPr>
                <w:rFonts w:ascii="Arial" w:cs="Arial" w:eastAsia="Arial" w:hAnsi="Arial"/>
                <w:sz w:val="18"/>
                <w:szCs w:val="18"/>
                <w:color w:val="auto"/>
                <w:w w:val="95"/>
              </w:rPr>
              <w:t>markets. In addition, financial institutions are seeking to digitize many</w:t>
            </w:r>
          </w:p>
        </w:tc>
        <w:tc>
          <w:tcPr>
            <w:tcW w:w="0" w:type="dxa"/>
            <w:vAlign w:val="bottom"/>
          </w:tcPr>
          <w:p>
            <w:pPr>
              <w:spacing w:after="0"/>
              <w:rPr>
                <w:sz w:val="1"/>
                <w:szCs w:val="1"/>
                <w:color w:val="auto"/>
              </w:rPr>
            </w:pPr>
          </w:p>
        </w:tc>
      </w:tr>
      <w:tr>
        <w:trPr>
          <w:trHeight w:val="176"/>
        </w:trPr>
        <w:tc>
          <w:tcPr>
            <w:tcW w:w="3700" w:type="dxa"/>
            <w:vAlign w:val="bottom"/>
            <w:gridSpan w:val="2"/>
            <w:vMerge w:val="continue"/>
          </w:tcPr>
          <w:p>
            <w:pPr>
              <w:spacing w:after="0"/>
              <w:rPr>
                <w:sz w:val="15"/>
                <w:szCs w:val="15"/>
                <w:color w:val="auto"/>
              </w:rPr>
            </w:pPr>
          </w:p>
        </w:tc>
        <w:tc>
          <w:tcPr>
            <w:tcW w:w="7720" w:type="dxa"/>
            <w:vAlign w:val="bottom"/>
            <w:vMerge w:val="restart"/>
          </w:tcPr>
          <w:p>
            <w:pPr>
              <w:ind w:left="2460"/>
              <w:spacing w:after="0"/>
              <w:rPr>
                <w:sz w:val="20"/>
                <w:szCs w:val="20"/>
                <w:color w:val="auto"/>
              </w:rPr>
            </w:pPr>
            <w:r>
              <w:rPr>
                <w:rFonts w:ascii="Arial" w:cs="Arial" w:eastAsia="Arial" w:hAnsi="Arial"/>
                <w:sz w:val="18"/>
                <w:szCs w:val="18"/>
                <w:color w:val="auto"/>
              </w:rPr>
              <w:t>processes to gain efficiencies.</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7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38" w:right="239" w:bottom="1440" w:gutter="0" w:footer="0" w:header="0"/>
        </w:sectPr>
      </w:pPr>
    </w:p>
    <w:p>
      <w:pPr>
        <w:jc w:val="both"/>
        <w:spacing w:after="0" w:line="268" w:lineRule="auto"/>
        <w:rPr>
          <w:sz w:val="20"/>
          <w:szCs w:val="20"/>
          <w:color w:val="auto"/>
        </w:rPr>
      </w:pPr>
      <w:r>
        <w:rPr>
          <w:rFonts w:ascii="Arial" w:cs="Arial" w:eastAsia="Arial" w:hAnsi="Arial"/>
          <w:sz w:val="17"/>
          <w:szCs w:val="17"/>
          <w:color w:val="auto"/>
        </w:rPr>
        <w:t>Nasdaq, Inc. is a leading provider of trading, clearing, marketplace technology, regulatory, securities listing, information and public and private company services. Our global offerings are diverse and include trading and clearing across multiple asset classes, trade management services, data products, financial indexes, capital formation solutions, corporate solutions, and market technology products and services. Our technology powers markets across the globe, supporting equity derivative trading, clearing and settlement, cash equity trading, fixed income trading, trading surveillance and many other functions.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Nasdaq was founded in 1971 as a wholly-owned subsidiary of FINRA. Beginning in 2000, FINRA restructured and broadened ownership in Nasdaq by selling shares to FINRA members, investment companies and issuers listed on The Nasdaq Stock Market. In connection with this restructuring, FINRA fully divested its ownership of Nasdaq in 2006, and The Nasdaq Stock Market became fully operational as an independent registered national securities exchange in 2007. In 2006, Nasdaq also reorganized its operations into a holding company structure.</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2008, Nasdaq and OMX AB combined their businesses. This transformational combination resulted in the expansion of our business from a U.S.-based exchange operator to a global exchange company offering technology that powers our own exchanges and markets as well as many other marketplaces around the world. In connection with this acquisition, we changed our corporate name to The NASDAQ OMX Group, Inc. We operated under this name until we rebranded our business as Nasdaq, Inc. in 2015.</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2008, in addition to growing organically, we have executed multiple acquisitions that have expanded our operations globally and increasingly diversified our product and service offerings. Our most recent significant acquisitions include ISE in 2016 and eVestment in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Strategic Review</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2017, Nasdaq completed a review of its strategy for long-term growth. We examined key macroeconomic, regulatory and technology trends, consulted with our clients about short- and long-term trends in their businesses and assessed the competitive landscape. We identified the following key trends that we believe will shape our future opportunities.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w:t>
      </w:r>
    </w:p>
    <w:p>
      <w:pPr>
        <w:spacing w:after="0" w:line="131" w:lineRule="exact"/>
        <w:rPr>
          <w:sz w:val="20"/>
          <w:szCs w:val="20"/>
          <w:color w:val="auto"/>
        </w:rPr>
      </w:pPr>
    </w:p>
    <w:p>
      <w:pPr>
        <w:jc w:val="both"/>
        <w:ind w:left="340" w:hanging="332"/>
        <w:spacing w:after="0" w:line="279"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Marketplace Economy</w:t>
      </w:r>
      <w:r>
        <w:rPr>
          <w:rFonts w:ascii="Arial" w:cs="Arial" w:eastAsia="Arial" w:hAnsi="Arial"/>
          <w:sz w:val="17"/>
          <w:szCs w:val="17"/>
          <w:color w:val="auto"/>
        </w:rPr>
        <w:t>. As technology evolves, market trends suggest</w:t>
      </w:r>
      <w:r>
        <w:rPr>
          <w:rFonts w:ascii="Arial" w:cs="Arial" w:eastAsia="Arial" w:hAnsi="Arial"/>
          <w:sz w:val="17"/>
          <w:szCs w:val="17"/>
          <w:i w:val="1"/>
          <w:iCs w:val="1"/>
          <w:color w:val="auto"/>
        </w:rPr>
        <w:t xml:space="preserve"> </w:t>
      </w:r>
      <w:r>
        <w:rPr>
          <w:rFonts w:ascii="Arial" w:cs="Arial" w:eastAsia="Arial" w:hAnsi="Arial"/>
          <w:sz w:val="17"/>
          <w:szCs w:val="17"/>
          <w:color w:val="auto"/>
        </w:rPr>
        <w:t>that commerce will increasingly be transacted electronically. Auctions and mechanisms that allow two-sided price negotiations and require high-quality market oversight will be prevalent. This is already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left="500" w:hanging="332"/>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Data Explosion</w:t>
      </w:r>
      <w:r>
        <w:rPr>
          <w:rFonts w:ascii="Arial" w:cs="Arial" w:eastAsia="Arial" w:hAnsi="Arial"/>
          <w:sz w:val="18"/>
          <w:szCs w:val="18"/>
          <w:color w:val="auto"/>
        </w:rPr>
        <w:t>. We have seen, and expect to continue to see, a</w:t>
      </w:r>
      <w:r>
        <w:rPr>
          <w:rFonts w:ascii="Arial" w:cs="Arial" w:eastAsia="Arial" w:hAnsi="Arial"/>
          <w:sz w:val="18"/>
          <w:szCs w:val="18"/>
          <w:i w:val="1"/>
          <w:iCs w:val="1"/>
          <w:color w:val="auto"/>
        </w:rPr>
        <w:t xml:space="preserve"> </w:t>
      </w:r>
      <w:r>
        <w:rPr>
          <w:rFonts w:ascii="Arial" w:cs="Arial" w:eastAsia="Arial" w:hAnsi="Arial"/>
          <w:sz w:val="18"/>
          <w:szCs w:val="18"/>
          <w:color w:val="auto"/>
        </w:rPr>
        <w:t>proliferation of data from many new and non-traditional sources that impact our clients’ interactions with the capital markets. We expect that our clients will seek new analytical capabilities, including machine intelligence, to transform raw data into market insights. This, in turn, is expected to trigger opportunities for those who create data or harness its power.</w:t>
      </w:r>
    </w:p>
    <w:p>
      <w:pPr>
        <w:spacing w:after="0" w:line="81" w:lineRule="exact"/>
        <w:rPr>
          <w:rFonts w:ascii="Arial" w:cs="Arial" w:eastAsia="Arial" w:hAnsi="Arial"/>
          <w:sz w:val="18"/>
          <w:szCs w:val="18"/>
          <w:color w:val="auto"/>
        </w:rPr>
      </w:pPr>
    </w:p>
    <w:p>
      <w:pPr>
        <w:jc w:val="both"/>
        <w:ind w:left="500" w:hanging="332"/>
        <w:spacing w:after="0" w:line="29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Evolution of Investment Management</w:t>
      </w:r>
      <w:r>
        <w:rPr>
          <w:rFonts w:ascii="Arial" w:cs="Arial" w:eastAsia="Arial" w:hAnsi="Arial"/>
          <w:sz w:val="16"/>
          <w:szCs w:val="16"/>
          <w:color w:val="auto"/>
        </w:rPr>
        <w:t>. New competitive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among all types of asset managers are increasing their need to differentiate in order to compete for assets. Alternative investment and financing options are becoming more accessible. We expect this evolution to translate to greater technology needs, increasing utilization of quantitative data and analytics to facilitate more advanced investing styles and a growing demand for compliance and surveillance solutions.</w:t>
      </w:r>
    </w:p>
    <w:p>
      <w:pPr>
        <w:spacing w:after="0" w:line="59" w:lineRule="exact"/>
        <w:rPr>
          <w:rFonts w:ascii="Arial" w:cs="Arial" w:eastAsia="Arial" w:hAnsi="Arial"/>
          <w:sz w:val="16"/>
          <w:szCs w:val="16"/>
          <w:color w:val="auto"/>
        </w:rPr>
      </w:pPr>
    </w:p>
    <w:p>
      <w:pPr>
        <w:jc w:val="both"/>
        <w:ind w:left="500" w:hanging="332"/>
        <w:spacing w:after="0" w:line="25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Banks Embrace Change as They Evolve</w:t>
      </w:r>
      <w:r>
        <w:rPr>
          <w:rFonts w:ascii="Arial" w:cs="Arial" w:eastAsia="Arial" w:hAnsi="Arial"/>
          <w:sz w:val="18"/>
          <w:szCs w:val="18"/>
          <w:color w:val="auto"/>
        </w:rPr>
        <w:t>. Before the credit crisis, global</w:t>
      </w:r>
      <w:r>
        <w:rPr>
          <w:rFonts w:ascii="Arial" w:cs="Arial" w:eastAsia="Arial" w:hAnsi="Arial"/>
          <w:sz w:val="18"/>
          <w:szCs w:val="18"/>
          <w:i w:val="1"/>
          <w:iCs w:val="1"/>
          <w:color w:val="auto"/>
        </w:rPr>
        <w:t xml:space="preserve"> </w:t>
      </w:r>
      <w:r>
        <w:rPr>
          <w:rFonts w:ascii="Arial" w:cs="Arial" w:eastAsia="Arial" w:hAnsi="Arial"/>
          <w:sz w:val="18"/>
          <w:szCs w:val="18"/>
          <w:color w:val="auto"/>
        </w:rPr>
        <w:t>banks relied heavily on their own proprietary technology. Since then, these institutions have begun to embrace alternative operational constructs, including technology or outsourcing partnerships, especially in market and regulatory technology.</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Vision, Mission and Strategy</w:t>
      </w:r>
    </w:p>
    <w:p>
      <w:pPr>
        <w:spacing w:after="0" w:line="117"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As a result of the strategic review, we restated our vision, mission and strategy, with the full review and approval of our board of directors. Our vision, mission and strategy embrace our strengths to focus on our clients and their evolving needs.</w:t>
      </w:r>
    </w:p>
    <w:p>
      <w:pPr>
        <w:spacing w:after="0" w:line="75" w:lineRule="exact"/>
        <w:rPr>
          <w:sz w:val="20"/>
          <w:szCs w:val="20"/>
          <w:color w:val="auto"/>
        </w:rPr>
      </w:pPr>
    </w:p>
    <w:p>
      <w:pPr>
        <w:ind w:left="500" w:hanging="33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Our Vision</w:t>
      </w:r>
      <w:r>
        <w:rPr>
          <w:rFonts w:ascii="Arial" w:cs="Arial" w:eastAsia="Arial" w:hAnsi="Arial"/>
          <w:sz w:val="17"/>
          <w:szCs w:val="17"/>
          <w:color w:val="auto"/>
        </w:rPr>
        <w:t>: Reimagining markets to realize the potential of tomorrow.</w:t>
      </w:r>
    </w:p>
    <w:p>
      <w:pPr>
        <w:spacing w:after="0" w:line="128" w:lineRule="exact"/>
        <w:rPr>
          <w:rFonts w:ascii="Arial" w:cs="Arial" w:eastAsia="Arial" w:hAnsi="Arial"/>
          <w:sz w:val="17"/>
          <w:szCs w:val="17"/>
          <w:color w:val="auto"/>
        </w:rPr>
      </w:pPr>
    </w:p>
    <w:p>
      <w:pPr>
        <w:jc w:val="both"/>
        <w:ind w:left="500" w:hanging="332"/>
        <w:spacing w:after="0" w:line="266"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Our Mission</w:t>
      </w:r>
      <w:r>
        <w:rPr>
          <w:rFonts w:ascii="Arial" w:cs="Arial" w:eastAsia="Arial" w:hAnsi="Arial"/>
          <w:sz w:val="18"/>
          <w:szCs w:val="18"/>
          <w:color w:val="auto"/>
        </w:rPr>
        <w:t>: We bring together ingenuity, integrity and insights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markets that accelerate economic progress and empower people to achieve their greatest ambitions.</w:t>
      </w:r>
    </w:p>
    <w:p>
      <w:pPr>
        <w:spacing w:after="0" w:line="68" w:lineRule="exact"/>
        <w:rPr>
          <w:rFonts w:ascii="Arial" w:cs="Arial" w:eastAsia="Arial" w:hAnsi="Arial"/>
          <w:sz w:val="18"/>
          <w:szCs w:val="18"/>
          <w:color w:val="auto"/>
        </w:rPr>
      </w:pPr>
    </w:p>
    <w:p>
      <w:pPr>
        <w:jc w:val="both"/>
        <w:ind w:left="500" w:hanging="332"/>
        <w:spacing w:after="0" w:line="29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Our Strategy</w:t>
      </w:r>
      <w:r>
        <w:rPr>
          <w:rFonts w:ascii="Arial" w:cs="Arial" w:eastAsia="Arial" w:hAnsi="Arial"/>
          <w:sz w:val="16"/>
          <w:szCs w:val="16"/>
          <w:color w:val="auto"/>
        </w:rPr>
        <w:t>: Under our renewed strategic direction, we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maximize the resources, people and capital allocated to our biggest growth opportunities, particularly in our Market Technology and Information Services businesses. We also commit to sustaining the special marketplace platform businesses that are core to Nasdaq, and to reduce capital and resources in areas that are not as strategic to our clients and do not have significant growth potential within Nasdaq.</w:t>
      </w:r>
    </w:p>
    <w:p>
      <w:pPr>
        <w:spacing w:after="0" w:line="30" w:lineRule="exact"/>
        <w:rPr>
          <w:rFonts w:ascii="Arial" w:cs="Arial" w:eastAsia="Arial" w:hAnsi="Arial"/>
          <w:sz w:val="16"/>
          <w:szCs w:val="16"/>
          <w:color w:val="auto"/>
        </w:rPr>
      </w:pPr>
    </w:p>
    <w:p>
      <w:pPr>
        <w:jc w:val="both"/>
        <w:ind w:left="820" w:hanging="328"/>
        <w:spacing w:after="0" w:line="273" w:lineRule="auto"/>
        <w:tabs>
          <w:tab w:leader="none" w:pos="82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Increasing Investment in Businesses Where We See the Highest Growth Opportunity</w:t>
      </w:r>
      <w:r>
        <w:rPr>
          <w:rFonts w:ascii="Arial" w:cs="Arial" w:eastAsia="Arial" w:hAnsi="Arial"/>
          <w:sz w:val="17"/>
          <w:szCs w:val="17"/>
          <w:color w:val="auto"/>
        </w:rPr>
        <w:t>. We intend to increase investment in areas that</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solve our clients’ biggest challenges and generate growth for our stockholders. These businesses include: our Market Technology segment, including our regulatory technology businesses; the data analytics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600" w:space="60"/>
            <w:col w:w="5760"/>
          </w:cols>
          <w:pgMar w:left="240" w:top="438" w:right="239" w:bottom="1440" w:gutter="0" w:footer="0" w:header="0"/>
          <w:type w:val="continuous"/>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ind w:left="660"/>
        <w:spacing w:after="0" w:line="324" w:lineRule="auto"/>
        <w:rPr>
          <w:sz w:val="20"/>
          <w:szCs w:val="20"/>
          <w:color w:val="auto"/>
        </w:rPr>
      </w:pPr>
      <w:r>
        <w:rPr>
          <w:rFonts w:ascii="Arial" w:cs="Arial" w:eastAsia="Arial" w:hAnsi="Arial"/>
          <w:sz w:val="18"/>
          <w:szCs w:val="18"/>
          <w:color w:val="auto"/>
        </w:rPr>
        <w:t>within our Information Services segment; and NPM, within our Corporate Services segment.</w:t>
      </w:r>
    </w:p>
    <w:p>
      <w:pPr>
        <w:spacing w:after="0" w:line="8"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We have already begun this effort through our 2017 acquisitions of eVestment and Sybenetix, which are part of our Information Services and Market Technology segments, respectively. We also are investing further in the Market Technology segment through the Nasdaq Financial Framework, the expansion of our SMARTS products and customers and our efforts to commercialize disruptive technologies, including blockchain, machine intelligence and the cloud.</w:t>
      </w:r>
    </w:p>
    <w:p>
      <w:pPr>
        <w:spacing w:after="0" w:line="44" w:lineRule="exact"/>
        <w:rPr>
          <w:sz w:val="20"/>
          <w:szCs w:val="20"/>
          <w:color w:val="auto"/>
        </w:rPr>
      </w:pPr>
    </w:p>
    <w:p>
      <w:pPr>
        <w:jc w:val="both"/>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Maintaining Investment in our Core</w:t>
      </w:r>
      <w:r>
        <w:rPr>
          <w:rFonts w:ascii="Arial" w:cs="Arial" w:eastAsia="Arial" w:hAnsi="Arial"/>
          <w:sz w:val="17"/>
          <w:szCs w:val="17"/>
          <w:color w:val="auto"/>
        </w:rPr>
        <w:t>. We intend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our core businesses, notably our foundational trading and listings businesses and related market data business.</w:t>
      </w:r>
    </w:p>
    <w:p>
      <w:pPr>
        <w:spacing w:after="0" w:line="30"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Optimizing Slower Growth Businesses</w:t>
      </w:r>
      <w:r>
        <w:rPr>
          <w:rFonts w:ascii="Arial" w:cs="Arial" w:eastAsia="Arial" w:hAnsi="Arial"/>
          <w:sz w:val="17"/>
          <w:szCs w:val="17"/>
          <w:color w:val="auto"/>
        </w:rPr>
        <w:t>. We intend to review areas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critical to our core. In these areas, we expect to target resiliency and efficiency versus growth, and thus free up resources to redirect toward greater opportunities.</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recently entered into a definitive agreement to sell the public relations (Public Relations Solutions) and webcasting and webhosting (Digital Media Services) products and services within our Corporate Solutions business to West Corporation. The closing of this transaction, which is subject to regulatory approvals and customary closing conditions, is projected to occur in the second quarter of 2018.</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additional future cash flow resulting from the implementation of the Tax Cuts and Jobs Act enacted in December 2017 will be considered when evaluating our capital allocation priorities described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manage, operate and provide our products and services in four business segments: Market Services, Corporate Services, Information Services and Market Technology.</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See Note 1, “Organization and Nature of Operations,” and Note 20, “Business Segments,” to the consolidated financial statements for additional financial information about our reportable segments and geographic data.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Market Services segment includes our Equity Derivative Trading and Clearing, Cash Equity Trading, FICC and Trade Management Services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Derivative Trading and Clearing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six electronic options exchanges in the U.S.: Nasdaq PHLX, The Nasdaq Options Market, Nasdaq BX Options, Nasdaq ISE, Nasdaq GEMX and Nasdaq MRX. These exchanges facilitate the trading of equity options, ETF options, index options and foreign currency options. Together, our combined market share represented the largest share of the U.S. market for multiply-listed options on equities and ETFs. Our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Europe, Nasdaq offers trading in derivatives, such as stock options and futures, index options and futures and fixed-income options and futures. Nasdaq Clearing offers clearing services for fixed-income options and futures, stock options and futures, index options and futures, and interest rate swaps by serving as the CCP. Nasdaq Clearing also operates a clearing service for the resale and repurchase agreement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Equity Trading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U.S., we operate three cash equity exchanges: The Nasdaq Stock Market, Nasdaq BX and Nasdaq PSX. The Nasdaq Stock Market is the largest single venue of liquidity for trading U.S.-listed cash equities.</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 cash equity exchanges offer trading of both Nasdaq-listed and non-Nasdaq-listed securities. Market participants include market makers, broker-dealers, ATSs and registered securities exchanges. In addition, we operate three markets for the trading of Canadian-listed securities.</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Europe, Nasdaq operates exchanges in Stockholm (Sweden), Copenhagen (Denmark), Helsinki (Finland), and Reykjavik (Iceland). We also operate exchanges in Tallinn (Estonia), Riga (Latvia) and Vilnius (Lithuania).</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Collectively, the Nasdaq Nordic and Nasdaq Baltic exchanges offer trading in cash equities, depository receipts, warrants, convertibles, rights, fund units and ETFs. Our platform allows the exchanges to share the same trading system, which enables efficient cross-border trading and settlement, cross membership and a single source for Nordic data products. Settlement and registration of cash equity trading takes place in Sweden, Finland, Denmark and Iceland via the local central securities depositories. In addition, Nasdaq owns two central securities depositories that provide services in the Baltic countries and Iceland.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FICC</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FICC business includes the Nasdaq Fixed Income business, NFX and Nasdaq Commodities.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portion of Nasdaq Fixed Income includes an electronic platform for trading U.S. Treasuries. The electronic trading platform provides real-time institutional trading of benchmark U.S. Treasury securities. Through this business, we provide trading access to the U.S. Treasury securities market with an array of trading instruments to meet various investment goals across the fixed income spectrum.</w:t>
      </w:r>
    </w:p>
    <w:p>
      <w:pPr>
        <w:spacing w:after="0" w:line="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European portion of Nasdaq Fixed Income provides a wide range of products and services, such as listing, trading, and clearing, for fixed income products in Sweden, Denmark, Finland and Iceland. Nasdaq Stockholm is the largest bond listing venue in the Nordics, with more than 8,000 listed retail and institutional bonds. In addition, Nasdaq Nordic facilitates</w:t>
      </w:r>
    </w:p>
    <w:p>
      <w:pPr>
        <w:spacing w:after="0" w:line="368"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5" w:right="239" w:bottom="1440" w:gutter="0" w:footer="0" w:header="0"/>
          <w:type w:val="continuous"/>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and clearing of Nordic fixed income derivatives in a unique market structure. Buyers and sellers agree to trades in fixed income derivatives through bilateral negotiations and then report those trades to Nasdaq Clearing for CCP clearing. Nasdaq Clearing acts as the counterparty to both the buyer and seller.</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Nasdaq Commodities is the brand name for Nasdaq’s worldwide suite of commodity-related products and services. Nasdaq Commodities’ offerings include oil, power, natural gas and carbon emission markets, tanker and dry cargo freight, seafood derivatives, iron ore, electricity certificates and clearing services. These products are listed on two of Nasdaq’s derivatives exchanges.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Nasdaq Oslo ASA, which is authorized by the Norwegian Ministry of Finance and supervised by the Norwegian Financial Supervisory Authority, is the commodity derivatives exchange for European products and freight. All trades with Nasdaq Oslo ASA are subject to clearing with Nasdaq Clearing, which is a CCP authorized under EMIR by the SFSA to conduct clearing operations.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operate NFX, which is a U.S. based designated contract market authorized by the CFTC. NFX currently lists cash-settled energy derivatives based on key energy benchmarks including oil, natural gas and U.S. power. All trades with NFX are subject to clearing with OCC.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Management Services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market participants with a wide variety of alternatives for connecting to and accessing our markets for a fee. Shifting connectivity from proprietary networks to third-party networks has significantly reduced technology and network costs and increased our systems’ scalability while maintaining performance and reliability.</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marketplaces may be accessed via a number of different protocols used for quoting, order entry, trade reporting, DROP functionality and connectivity to various data feeds. We also offer the Nasdaq Workstation, a browser-based, front-end interface that allows market participants to view data and enter orders, quotes and trade reports. In addition, we offer a variety of add-on compliance tools to help firms comply with regulatory requirements.</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co-location services to market participants, whereby firms may lease cabinet space and power to house their own equipment and servers within our data centers. These participants are charged monthly fees for cabinet space, connectivity and support. Additionally, we offer a number of wireless connectivity routes between select data centers using millimeter wave and microwave technology. We also earn revenues from annual and monthly exchange membership and registration fees.</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Broker services provides services through a registered securities company that is regulated by the SFSA. Services primarily consist of flexible</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back-office systems, which allow customers to entirely or partly outsource their company’s back-office functions.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(SWIFT) to deposit banks.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Solutions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Corporate Solutions business serves corporate clients, including companies listed on our exchanges and private companies. We help organizations manage the two-way flow of information with their key constituents, including their board members and investors, and with clients and the public through our suite of advanced technology, analytics, and consultative services.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provide Corporate Solutions products and services in the following key areas:</w:t>
      </w:r>
    </w:p>
    <w:p>
      <w:pPr>
        <w:spacing w:after="0" w:line="62" w:lineRule="exact"/>
        <w:rPr>
          <w:sz w:val="20"/>
          <w:szCs w:val="20"/>
          <w:color w:val="auto"/>
        </w:rPr>
      </w:pPr>
    </w:p>
    <w:p>
      <w:pPr>
        <w:jc w:val="both"/>
        <w:ind w:left="340" w:hanging="332"/>
        <w:spacing w:after="0" w:line="271"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Investor Relations</w:t>
      </w:r>
      <w:r>
        <w:rPr>
          <w:rFonts w:ascii="Arial" w:cs="Arial" w:eastAsia="Arial" w:hAnsi="Arial"/>
          <w:sz w:val="17"/>
          <w:szCs w:val="17"/>
          <w:color w:val="auto"/>
        </w:rPr>
        <w:t>. We offer investor relations content, analytics,</w:t>
      </w:r>
      <w:r>
        <w:rPr>
          <w:rFonts w:ascii="Arial" w:cs="Arial" w:eastAsia="Arial" w:hAnsi="Arial"/>
          <w:sz w:val="17"/>
          <w:szCs w:val="17"/>
          <w:i w:val="1"/>
          <w:iCs w:val="1"/>
          <w:color w:val="auto"/>
        </w:rPr>
        <w:t xml:space="preserve"> </w:t>
      </w:r>
      <w:r>
        <w:rPr>
          <w:rFonts w:ascii="Arial" w:cs="Arial" w:eastAsia="Arial" w:hAnsi="Arial"/>
          <w:sz w:val="17"/>
          <w:szCs w:val="17"/>
          <w:color w:val="auto"/>
        </w:rPr>
        <w:t>advisory services and communications tools, including investor relations webcasting, press release services, and websites. Our solutions, including our Nasdaq IR Insight platform, allow investor relations officers to manage their investor relations programs using a variety of tools and information to understand their investor base, manage meetings and read research, consensus estimates and news while meeting corporate governance and disclosure requirements.</w:t>
      </w:r>
    </w:p>
    <w:p>
      <w:pPr>
        <w:spacing w:after="0" w:line="70"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Board &amp; Leadership. </w:t>
      </w:r>
      <w:r>
        <w:rPr>
          <w:rFonts w:ascii="Arial" w:cs="Arial" w:eastAsia="Arial" w:hAnsi="Arial"/>
          <w:sz w:val="18"/>
          <w:szCs w:val="18"/>
          <w:color w:val="auto"/>
        </w:rPr>
        <w:t>We offer secure collaboration platforms for boards</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or any team collaborating on confidential documents and initiatives. Our solutions protect sensitive data and facilitate productive collaboration, so board members and teams can work faster and more effectively.</w:t>
      </w:r>
    </w:p>
    <w:p>
      <w:pPr>
        <w:spacing w:after="0" w:line="80" w:lineRule="exact"/>
        <w:rPr>
          <w:rFonts w:ascii="Arial" w:cs="Arial" w:eastAsia="Arial" w:hAnsi="Arial"/>
          <w:sz w:val="18"/>
          <w:szCs w:val="18"/>
          <w:color w:val="auto"/>
        </w:rPr>
      </w:pPr>
    </w:p>
    <w:p>
      <w:pPr>
        <w:jc w:val="both"/>
        <w:ind w:left="340" w:hanging="332"/>
        <w:spacing w:after="0" w:line="290"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Public Relations Solutions. </w:t>
      </w:r>
      <w:r>
        <w:rPr>
          <w:rFonts w:ascii="Arial" w:cs="Arial" w:eastAsia="Arial" w:hAnsi="Arial"/>
          <w:sz w:val="16"/>
          <w:szCs w:val="16"/>
          <w:color w:val="auto"/>
        </w:rPr>
        <w:t>We offer solutions to help clients identify,</w:t>
      </w:r>
      <w:r>
        <w:rPr>
          <w:rFonts w:ascii="Arial" w:cs="Arial" w:eastAsia="Arial" w:hAnsi="Arial"/>
          <w:sz w:val="16"/>
          <w:szCs w:val="16"/>
          <w:i w:val="1"/>
          <w:iCs w:val="1"/>
          <w:color w:val="auto"/>
        </w:rPr>
        <w:t xml:space="preserve"> </w:t>
      </w:r>
      <w:r>
        <w:rPr>
          <w:rFonts w:ascii="Arial" w:cs="Arial" w:eastAsia="Arial" w:hAnsi="Arial"/>
          <w:sz w:val="16"/>
          <w:szCs w:val="16"/>
          <w:color w:val="auto"/>
        </w:rPr>
        <w:t>reach, monitor and measure their public relations program. We provide traditional and social media contacts databases, backed by our internal research analysts. Our press release distribution network allows clients to reach global audiences cost-effectively. Our suite of technology solutions and expert analysts help clients monitor key news media for their brand, reputation, products, as well as industry competitors, and measure the success of their communications programs.</w:t>
      </w:r>
    </w:p>
    <w:p>
      <w:pPr>
        <w:spacing w:after="0" w:line="58" w:lineRule="exact"/>
        <w:rPr>
          <w:rFonts w:ascii="Arial" w:cs="Arial" w:eastAsia="Arial" w:hAnsi="Arial"/>
          <w:sz w:val="16"/>
          <w:szCs w:val="16"/>
          <w:i w:val="1"/>
          <w:iCs w:val="1"/>
          <w:color w:val="auto"/>
        </w:rPr>
      </w:pPr>
    </w:p>
    <w:p>
      <w:pPr>
        <w:jc w:val="both"/>
        <w:ind w:left="340" w:hanging="332"/>
        <w:spacing w:after="0" w:line="279"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Digital Media Services. </w:t>
      </w:r>
      <w:r>
        <w:rPr>
          <w:rFonts w:ascii="Arial" w:cs="Arial" w:eastAsia="Arial" w:hAnsi="Arial"/>
          <w:sz w:val="17"/>
          <w:szCs w:val="17"/>
          <w:color w:val="auto"/>
        </w:rPr>
        <w:t>We offer a platform and services which enable</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to produce webcasts for a wide range of applications, including investor relations, public relations, marketing and internal communications. We also provide webhosting services.</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our strategic direction and the decision to reorient the company, we have entered into a definitive</w:t>
      </w:r>
    </w:p>
    <w:p>
      <w:pPr>
        <w:spacing w:after="0" w:line="197"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5" w:right="239" w:bottom="1440" w:gutter="0" w:footer="0" w:header="0"/>
          <w:type w:val="continuous"/>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agreement to sell the public relations (Public Relations Solutions) and webcasting and webhosting (Digital Media Services) products and services within our Corporate Solutions business to West Corporation. The closing of this transaction, which is subject to regulatory approvals and customary closing conditions, is projected to occur in the second quarter of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Services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 a variety of listing platforms around the world to provide multiple global capital raising solutions for private and public companies. Companies listed on our markets represent a diverse array of industries including, among others, health care, consumer products, telecommunication services, information technology, financial services, industrials and energy. Our main listing markets are The Nasdaq Stock Market and the Nasdaq Nordic and Nasdaq Baltic exchanges.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a total of 2,949 companies listed securities on The Nasdaq Stock Market, with 1,413 listings on The Nasdaq Global Select Market, 819 on The Nasdaq Global Market and 717 on The Nasdaq Capital Market.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aggressively pursue new listings from companies, including those undergoing IPOs as well as companies seeking to switch from alternative exchanges. In 2017, The Nasdaq Stock Market attracted 268 new listings, including 136 IPOs, 63% of U.S. IPOs in 2017. The new listings were comprised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Switches from the New York Stock Exchange LLC, or</w:t>
            </w:r>
          </w:p>
        </w:tc>
        <w:tc>
          <w:tcPr>
            <w:tcW w:w="1100" w:type="dxa"/>
            <w:vAlign w:val="bottom"/>
            <w:shd w:val="clear" w:color="auto" w:fill="CCEEFF"/>
          </w:tcPr>
          <w:p>
            <w:pPr>
              <w:spacing w:after="0"/>
              <w:rPr>
                <w:sz w:val="19"/>
                <w:szCs w:val="19"/>
                <w:color w:val="auto"/>
              </w:rPr>
            </w:pPr>
          </w:p>
        </w:tc>
      </w:tr>
      <w:tr>
        <w:trPr>
          <w:trHeight w:val="23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NYSE, and NYSE American LLC, or NYSE American</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IPOs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136</w:t>
            </w:r>
          </w:p>
        </w:tc>
      </w:tr>
      <w:tr>
        <w:trPr>
          <w:trHeight w:val="27"/>
        </w:trPr>
        <w:tc>
          <w:tcPr>
            <w:tcW w:w="4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Upgrades from OTC</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ETPs and Other Listings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78</w:t>
            </w:r>
          </w:p>
        </w:tc>
      </w:tr>
      <w:tr>
        <w:trPr>
          <w:trHeight w:val="27"/>
        </w:trPr>
        <w:tc>
          <w:tcPr>
            <w:tcW w:w="4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6"/>
        </w:trPr>
        <w:tc>
          <w:tcPr>
            <w:tcW w:w="4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11 NYSE- or NYSE American-listed companies that switched to The Nasdaq Stock Market, represented approximately $217.8 billion in market capitalization. Notable switches included PepsiCo, Inc., Principal Financial Group, Inc., and Workday, Inc.</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offer listings on the exchanges that comprise Nasdaq Nordic and Nasdaq Baltic. For smaller companies and growth companies, we offer access to the financial markets through the Nasdaq First North alternative marketplaces. As of December 31, 2017, a total of 984 companies listed securities on our Nordic and Baltic exchanges and Nasdaq First North.</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European listing customers include companies, funds and governments. Customers issue securities in the form of cash</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equities, depository receipts, warrants, ETPs, convertibles, rights, options, bonds or fixed-income related products. In 2017, a total of 108 new companies listed on our Nordic and Baltic exchanges and Nasdaq First North. In addition, 10 companies upgraded their listings from Nasdaq First North to the Nordic and Baltic exchanges.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Listing Services business also includes NPM, which provides liquidity solutions for private companies. NPM’s platform helps employees, investors, companies, funds and institutions execute transactions, whether for private companies, private investment funds, or other private asset classes. In addition, NPM now offers Alternatives, which addresses the challenges of liquidity in alternative investments funds.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Services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Information Services segment includes our Data Products and our Index Licensing and Services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Products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Data Products business sells and distributes historical and real-time quote and trade information to the sell-side, the buy-side, retail online brokers, proprietary trading shops, other venues, internet portals and data distributors. Our data products enhance transparency of market activity within our exchanges and provide critical information to professional and non-professional investors globally.</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collect, process and create information and earn revenues as a distributor of our own, as well as select, third-party content. We provide varying levels of quote and trade information to our customers who in turn provide subscriptions for this information. Our systems enable distributors to gain access to our market depth, index values, mutual fund valuation, order imbalances, market sentiment and other analytical data.</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distribute this proprietary market information to both market participants and non-participants through a number of proprietary products, including Nasdaq TotalView, our flagship market depth quote product. TotalView shows subscribers quotes, orders and total anonymous interest at every displayed price level in The Nasdaq Stock Market for Nasdaq-listed securities and critical data for the opening, closing, halt and IPO crosses. We also offer TotalView products for our Nasdaq BX, Nasdaq PSX, Nasdaq Fixed Income and other Nordic markets.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several other proprietary services and data products to provide market information, including Nasdaq Basic, a low cost alternative to the industry Level 1 feed, Ultrafeed, a normalized high speed, and consolidated data feed offering. We also provide a plethora of other data, including data relating to our 6 U.S. options exchanges, Nordic and U.S. futures, Nordic commodities, U.S. Treasuries, global indexes and global mutual funds.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Data Products business also includes revenues from U.S. tape plans. The plan administrators sell quotation and last sale information for all transactions in Nasdaq-listed securities, whether traded on The Nasdaq Stock Market or other exchanges, to market participants and to data distributors, who</w:t>
      </w:r>
    </w:p>
    <w:p>
      <w:pPr>
        <w:spacing w:after="0" w:line="61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5" w:right="239" w:bottom="1440" w:gutter="0" w:footer="0" w:header="0"/>
          <w:type w:val="continuous"/>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provide the information to subscribers. After deducting costs, the plan administrators distribute the tape revenues to the respective plan participants based on a formula required by Regulation NMS that takes into account both trading and quoting activity.</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Nasdaq Nordic and Nasdaq Baltic exchanges, as well as Nasdaq Commodities, also offer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Much like the U.S. products, European data products and services are based on trading information from the Nasdaq Nordic and Nasdaq Baltic exchanges, as well as Nasdaq Commodities, for the following classes of assets: cash equities, bonds, derivatives and commodities. We provide varying levels of quote and trade information to market participants and to data distributors, who in turn provide subscriptions for this information. Significant European data products include Nordic Equity TotalView, Nordic Derivative TotalView, and Nordic Fixed Income TotalView, Level 2, Analytics and Fixings.</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provide index data products based on Nasdaq indexes. Index data products include our Global Index Data Service, which delivers real-time index values throughout the trading day, and Global Index Watch/Global Index File Delivery Service, which delivers weightings and components data, corporate actions and a breadth of additional data.</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2017, Nasdaq acquired eVestment, a leading content and analytics provider used by asset managers, investment consultants and asset owners to help facilitate institutional investment decisions. eVestment provides a flexible suite of cloud-based solutions to help the institutional investing community identify and capitalize on global investment trends and select and monitor investment managers. eVestment’s products also enable asset managers to market their funds worldwide.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Index Licensing and Services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Index Licensing and Services business is a leading index provider that develops and licenses Nasdaq branded indexes, associated derivatives and financial products. We also provide custom calculation services for third-party clients. License fees for our trademark licenses vary by product based on a percentage of underlying assets, dollar value of a product issuance, number of products or number of contracts traded. We also license cash-settled options, futures and options on futures on our indexes.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we had 324 ETPs licensed to Nasdaq’s indexes which had $167 billion of assets under management. Our flagship index, the Nasdaq-100 Index, includes the top 100 non-financial securities listed on The Nasdaq Stock Market.</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operate the Nasdaq Global Index Family, which includes more than 40,000 indexes. The family consists of</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global securities broken down by market segment, region, country, size and sector. The Nasdaq Global Index Family covers 45 countries and approximately 9,000 securities.</w:t>
      </w:r>
    </w:p>
    <w:p>
      <w:pPr>
        <w:spacing w:after="0" w:line="73"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DWA, a market leader in data analytics, passive indexing and smart beta strategies, provides model-based strategies and analysis to support the financial advisor community, and strengthens Nasdaq’s position as a leading smart beta index provider in the U.S. As of December 31, 2017, there are $70 billion in assets under management in ETPs that track Nasdaq smart beta indexes.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 Technology</w:t>
      </w:r>
    </w:p>
    <w:p>
      <w:pPr>
        <w:spacing w:after="0" w:line="175"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Powering more than 90 marketplaces in 50 countries, our Market Technology business is a leading global technology solutions provider and partner to exchanges, clearing organizations, central securities depositories, regulators, banks, brokers and corporate businesses. Our Market Technology business is the sales channel for our complete global offering to other marketplaces. Our marketplace solutions can handle a wide array of assets, including cash equities, equity derivatives, currencies, various interest-bearing securities, commodities and energy products.</w:t>
      </w:r>
    </w:p>
    <w:p>
      <w:pPr>
        <w:spacing w:after="0" w:line="58"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During 2017, we continued to invest in the Nasdaq Financial Framework, which is our market technology modular architecture that will provide next generation capital market capabilities, including the integration of blockchain technology across the issuance and settlement of securities, as well as cloud-enabled trading and clearing.</w:t>
      </w:r>
    </w:p>
    <w:p>
      <w:pPr>
        <w:spacing w:after="0" w:line="80"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Nasdaq’s market technology is utilized by, among others, ASX Limited, Bolsa de Valores de Colombia, Borsa İstanbul A.Ş., Borse Dubai Limited, Bursa Malaysia Berhad, Egyptian Exchange, Hong Kong Exchanges and Clearing Limited, Japan Exchange Group, Inc., NEX Group plc, SBI Japannext Co., Ltd., Singapore Exchange Ltd., SIX Swiss Exchange Ltd and Tokyo Commodity Exchange, Inc.</w:t>
      </w:r>
    </w:p>
    <w:p>
      <w:pPr>
        <w:spacing w:after="0" w:line="85" w:lineRule="exact"/>
        <w:rPr>
          <w:sz w:val="20"/>
          <w:szCs w:val="20"/>
          <w:color w:val="auto"/>
        </w:rPr>
      </w:pPr>
    </w:p>
    <w:p>
      <w:pPr>
        <w:jc w:val="both"/>
        <w:ind w:left="160"/>
        <w:spacing w:after="0" w:line="293" w:lineRule="auto"/>
        <w:rPr>
          <w:sz w:val="20"/>
          <w:szCs w:val="20"/>
          <w:color w:val="auto"/>
        </w:rPr>
      </w:pPr>
      <w:r>
        <w:rPr>
          <w:rFonts w:ascii="Arial" w:cs="Arial" w:eastAsia="Arial" w:hAnsi="Arial"/>
          <w:sz w:val="16"/>
          <w:szCs w:val="16"/>
          <w:color w:val="auto"/>
        </w:rPr>
        <w:t>A central part of many projects is facility management and systems integration. Through our integration services, we can assume responsibility for projects involving migration to a new system and the establishment of entirely new marketplaces. We also offer operation and support for the applications, systems platforms, networks and other components included in a turn-key information technology solution, as well as advisory services.</w:t>
      </w:r>
    </w:p>
    <w:p>
      <w:pPr>
        <w:spacing w:after="0" w:line="111"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Our Risk &amp; Surveillance solutions include: SMARTS, which is a managed service designed for brokers and other market participants to assist them in complying with market rules, regulations and internal market surveillance policies; and TradeGuard, which is a suite of products that offer a real-time, multi-tiered risk solution that integrates pre-, at- and on-trade risk management, including margining. In 2017, we acquired Sybenetix, a leading surveillance provider that combines behavioral analytics and cognitive computing with financial markets expertise. We expect the addition of Sybenetix to our Risk &amp; Surveillance suite of solutions to allow us to bring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600" w:space="60"/>
            <w:col w:w="5760"/>
          </w:cols>
          <w:pgMar w:left="240" w:top="445" w:right="239" w:bottom="1440" w:gutter="0" w:footer="0" w:header="0"/>
          <w:type w:val="continuous"/>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deeper technology savviness and expertise to buy-side compliance officers across the global capital markets.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through BWise, we offer enterprise governance, risk management and compliance software and services to help companies track, measure and manage key organizational risks.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Technology plays a key role in ensuring the growth, reliability and regulation of financial markets. We have established a technology risk program to consider the resiliency of critical systems, including risks associated with cybersecurity. This program is focused on (i) identifying areas for improvement in systems and (ii) implementing changes and upgrades to technology and processes to minimize future risk. We have continued our focus on improving the security of our technology with an emphasis on employee awareness through training, targeted phishing campaigns, and new tool deployment for our securities operations team. See “Item 1A. Risk Factors,” in this Annual Report on Form 10-K for further discussion.</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Core Technology. </w:t>
      </w:r>
      <w:r>
        <w:rPr>
          <w:rFonts w:ascii="Arial" w:cs="Arial" w:eastAsia="Arial" w:hAnsi="Arial"/>
          <w:sz w:val="17"/>
          <w:szCs w:val="17"/>
          <w:color w:val="auto"/>
        </w:rPr>
        <w:t>The Nasdaq Financial Framework is Nasdaq’s approach to</w:t>
      </w:r>
      <w:r>
        <w:rPr>
          <w:rFonts w:ascii="Arial" w:cs="Arial" w:eastAsia="Arial" w:hAnsi="Arial"/>
          <w:sz w:val="17"/>
          <w:szCs w:val="17"/>
          <w:i w:val="1"/>
          <w:iCs w:val="1"/>
          <w:color w:val="auto"/>
        </w:rPr>
        <w:t xml:space="preserve"> </w:t>
      </w:r>
      <w:r>
        <w:rPr>
          <w:rFonts w:ascii="Arial" w:cs="Arial" w:eastAsia="Arial" w:hAnsi="Arial"/>
          <w:sz w:val="17"/>
          <w:szCs w:val="17"/>
          <w:color w:val="auto"/>
        </w:rPr>
        <w:t>delivering end-to-end solutions for market infrastructure operators, buy-side firms, sell-side firms and other non-financial markets. The framework consists of a single operational core platform that ties together Nasdaq’s portfolio of functionality across the trade lifecycle, in an open framework whereby exchanges, clearinghouses, CSDs and other entities can easily integrate Nasdaq’s business applications with each other, as well as other third-party solutions. In addition to being able to integrate a broad range of business functions, the Nasdaq Financial Framework enables end users to leverage recent technology developments, such as blockchain and machine learning.</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Data Centers. </w:t>
      </w:r>
      <w:r>
        <w:rPr>
          <w:rFonts w:ascii="Arial" w:cs="Arial" w:eastAsia="Arial" w:hAnsi="Arial"/>
          <w:sz w:val="18"/>
          <w:szCs w:val="18"/>
          <w:color w:val="auto"/>
        </w:rPr>
        <w:t>Nasdaq utilizes data center facilities in key global regions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our markets, technology services, disaster recovery capabilities and operations centers. In 2017, we continued to migrate systems to our facility in Chicago, as well as added and consolidated locations as a result of acquisitions and product enhancements.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Technology Initiatives</w:t>
      </w:r>
      <w:r>
        <w:rPr>
          <w:rFonts w:ascii="Arial" w:cs="Arial" w:eastAsia="Arial" w:hAnsi="Arial"/>
          <w:sz w:val="16"/>
          <w:szCs w:val="16"/>
          <w:color w:val="auto"/>
        </w:rPr>
        <w:t>. During 2017, our blockchain initiative began moving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technology validation to commercialization. Blockchain capabilities are now incorporated in the Nasdaq Financial Framework, and a number of applications leveraging blockchain (e.g., for voting, issuance and settlement) are available. Market Technology also entered into certain client agreements for blockchain-based solutions, including with the SIX Swiss Exchange Ltd, NYIAX, Inc. and Strate (Pty) Ltd, the South African CSD.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intense competition in North America and Europe in businesses that comprise our Market Services segment. We seek to provide market participants with greater functionality, trading system stability, speed of execution, high levels of customer service, and efficient pricing. In both North America</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ind w:left="160"/>
        <w:spacing w:after="0" w:line="286" w:lineRule="auto"/>
        <w:rPr>
          <w:sz w:val="20"/>
          <w:szCs w:val="20"/>
          <w:color w:val="auto"/>
        </w:rPr>
      </w:pPr>
      <w:r>
        <w:rPr>
          <w:rFonts w:ascii="Arial" w:cs="Arial" w:eastAsia="Arial" w:hAnsi="Arial"/>
          <w:sz w:val="17"/>
          <w:szCs w:val="17"/>
          <w:color w:val="auto"/>
        </w:rPr>
        <w:t>and Europe, our competitors include other exchange operators, operators of non-exchange (less-heavily regulated) trading systems and banks and brokerages that operate their own internal trading pools and platforms.</w:t>
      </w:r>
    </w:p>
    <w:p>
      <w:pPr>
        <w:spacing w:after="0" w:line="57"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Registered exchanges that compete with our options markets in the U.S. include exchanges operated by: Cboe Global Markets, Inc., or CBOE; Miami International Holdings, Inc., or Miami; and Intercontinental Exchange, Inc., or ICE. Registered exchanges competing with our cash equities markets in the U.S. include exchanges operated by CBOE and ICE. In addition to competition from these exchanges in equities, we face competition from ATSs and other less-heavily regulated broker-owned systems, some of which are also known as “dark pools,” and from other types of OTC trading.</w:t>
      </w:r>
    </w:p>
    <w:p>
      <w:pPr>
        <w:spacing w:after="0" w:line="58"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Registered exchanges that compete with our cash equities markets in Europe include exchanges operated by: CBOE; Euronext N.V.; Deutsche Börse A.G.; and London Stock Exchange Group plc, or LSE. We also intensely compete with MTFs, such as that operated by Turquoise Global Holdings Limited. Our competitors in the trading and clearing of options and futures on European equities include: the Eurex Group companies, or Eurex; ICE Futures Europe; and the MTF operated by Turquoise Global Holdings Limited. In addition to competition from these exchanges and MTFs in equities, we face competition from other broker-owned systems, some of which are also known as Systematic Internalizers, and from other types of OTC trading. Competition among exchanges for trading European equity derivatives tends to occur where there is competition in the trading of the underlying equities. In addition to exchange-based competition, we face competition from OTC derivative markets.</w:t>
      </w:r>
    </w:p>
    <w:p>
      <w:pPr>
        <w:spacing w:after="0" w:line="77"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The implementation of MiFID II and MiFIR over the next several years is expected to lead to further competitive pressure on our European trading business. MTFs are already attracting a significant share of electronically matched volume. With the regulatory environment likely to become more favorable to alternative trading venues, we expect such venues to compete aggressively for the trading of equity securities listed on our Nordic exchanges. Electronic trading systems pursuing block business will also remain active in Europe. We also expect trading on Systematic Internalizers to increase markedly as volume migrates from other types of trading venues. In responding to current and potential competition, we constantly review our pricing and product offerings.</w:t>
      </w:r>
    </w:p>
    <w:p>
      <w:pPr>
        <w:spacing w:after="0" w:line="75"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Registered exchanges that compete with our cash equities markets in Canada include: Aequitas NEO Exchange; Canadian Securities Exchange; Toronto Stock Exchange, or TSX; TSX Venture Exchange; and TSX Alpha Exchange. We also compete with ATSs, such as the Omega ATS. Competition is intense, and we also face competition from markets in the U.S.</w:t>
      </w:r>
    </w:p>
    <w:p>
      <w:pPr>
        <w:spacing w:after="0" w:line="85"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Our FICC business also operates in an intensely competitive environment. Our trading platform for benchmark U.S. treasuries faces competition from both long-established competitors, such as Brokertec, and newly emerging electronic and voice brokerages, and the operating environment remains extremely challenging. Our European fixed income products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600" w:space="60"/>
            <w:col w:w="5760"/>
          </w:cols>
          <w:pgMar w:left="240" w:top="445" w:right="239" w:bottom="1440" w:gutter="0" w:footer="0" w:header="0"/>
          <w:type w:val="continuous"/>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and services are subject to relentless competitive pressure from OTC dealers as well as exchanges. Our suite of commodity-related products and services is in many cases designed to challenge the more established players.</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Trade Management Services business competes with other exchange operators, extranet providers, and data center providers.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Services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our Corporate Solutions business, competition is varied and can be fragmented. For our Investor Relations services business, there are many regional competitors and relatively few global providers. Other exchange operators are partnering with firms that have capabilities in this area and seeking to acquire relevant assets in order to provide investor relations services to customers alongside listing services. The competitive landscape for our Board &amp; Leadership business varies by customer sector and geography. Most participants offer software-as-a-service solutions that are supported by a data center strategy. Some firms offer specialized services that focus on a single niche sector. The larger players often offer additional services. Customers frequently seek single-source providers that are able to address a broad range of needs within a single platform. The competitive landscape for our Public Relations Solutions business includes large providers of traditional wire services, full-service providers, which offer wire distribution along with audience targeting, monitoring and analytics services, and a large number of regional and niche providers. In our Digital Media Services business, competition is fragmented and includes firms that address enterprise buyers, offering them either managed or self-service capabilities.</w:t>
      </w:r>
    </w:p>
    <w:p>
      <w:pPr>
        <w:spacing w:after="0" w:line="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Listing Services business in both the U.S. and Europe provides a means of facilitating capital formation through public capital markets. There are competing ways of raising capital, and we seek to demonstrate the benefits of listing shares on an exchange. Our primary competitor for larger company stock share listings in the U.S. is NYSE. The Nasdaq Stock Market also competes with NYSE American for listing of shares of smaller companies. Bats BZX Exchange, Inc. competes for ETP listings. The Nasdaq Stock Market competes with local and international markets located outside the U.S. for listings of equity securities of both U.S. and non-U.S. companies that choose to list (or dual-list) outside of their home country. For example, The Nasdaq Stock Market competes for listings with exchanges in Europe and Asia, such as LSE and The Stock Exchange of Hong Kong Limited.</w:t>
      </w:r>
    </w:p>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Listings Services business in Europe is characterized by a large number of exchanges competing for new or secondary listings. Each country has one or more national exchanges, which are often the first choice of companies in each respective country. For those considering an alternative, competing European exchanges that frequently attract many listings from outside their respective home countries include LSE, Euronext N.V. and Deutsche Börse A.G. In addition to the larger exchanges, companies seeking capital or liquidity from public capital markets are able to raise capital without a regulated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market listing and can consider trading their shares on smaller markets and quoting facilities.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Information Services</w:t>
      </w:r>
    </w:p>
    <w:p>
      <w:pPr>
        <w:spacing w:after="0" w:line="117"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Our Data Products business in the U.S. includes both proprietary and consolidated data products. Proprietary data products are made up exclusively of data derived from each exchange’s systems. Consolidated data products are distributed by SEC-mandated consolidators (one for Nasdaq-listed stocks and another for NYSE and other-listed stocks) that share the revenue among the exchanges that contribute data. In Europe, all data products are proprietary as there is no official data consolidator. Competition in the data business is intense and is influenced by rapidly changing technology and the creation of new product and service offerings.</w:t>
      </w:r>
    </w:p>
    <w:p>
      <w:pPr>
        <w:spacing w:after="0" w:line="59"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The sale of our proprietary data products in both the U.S. and Europe is under competitive threat from alternative exchanges and trading venues that offer similar products. Our data business competes with other exchanges and third party vendors to provide information to market participants. Examples of our competitors in proprietary data products are ICE, CBOE, TSX, S&amp;P Global Inc. and Dow Jones &amp; Company.</w:t>
      </w:r>
    </w:p>
    <w:p>
      <w:pPr>
        <w:spacing w:after="0" w:line="70"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The consolidated data business is under competitive pressure from other securities exchanges that trade Nasdaq-listed securities. In addition, The Nasdaq Stock Market similarly competes for the tape fees from the sale of information on securities listed on other markets.</w:t>
      </w:r>
    </w:p>
    <w:p>
      <w:pPr>
        <w:spacing w:after="0" w:line="79"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Our Index Licensing and Services business faces competition from providers of various competing financial indexes. For example, there are a number of indexes that aim to track the technology sector and thereby compete with the Nasdaq-100 Index and the Nasdaq Composite Index. We face competition from investment banks, dedicated index providers, markets and other product developers.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 Technology</w:t>
      </w:r>
    </w:p>
    <w:p>
      <w:pPr>
        <w:spacing w:after="0" w:line="117"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The traditional model, where each exchange or exchange-related business developed its own technology internally, sometimes aided by consultants, has changed, as many operators have recognized the cost-savings made possible by buying technology from third parties. As a result, two types of competitors have emerged in our Market Technology segment: exchange operators and technology providers unaffiliated with exchanges. These organizations make available a range of off-the-shelf technology, including trading, clearing, market surveillance, settlement, depository and information dissemination, and offer customization and operation expertise.</w:t>
      </w:r>
    </w:p>
    <w:p>
      <w:pPr>
        <w:spacing w:after="0" w:line="59" w:lineRule="exact"/>
        <w:rPr>
          <w:sz w:val="20"/>
          <w:szCs w:val="20"/>
          <w:color w:val="auto"/>
        </w:rPr>
      </w:pPr>
    </w:p>
    <w:p>
      <w:pPr>
        <w:jc w:val="both"/>
        <w:ind w:left="160"/>
        <w:spacing w:after="0" w:line="293" w:lineRule="auto"/>
        <w:rPr>
          <w:sz w:val="20"/>
          <w:szCs w:val="20"/>
          <w:color w:val="auto"/>
        </w:rPr>
      </w:pPr>
      <w:r>
        <w:rPr>
          <w:rFonts w:ascii="Arial" w:cs="Arial" w:eastAsia="Arial" w:hAnsi="Arial"/>
          <w:sz w:val="16"/>
          <w:szCs w:val="16"/>
          <w:color w:val="auto"/>
        </w:rPr>
        <w:t>There is a wide range of providers that compete with us in surveillance, as well as governance, risk and compliance solutions. In surveillance, standardization of products and budget pressures drive customers to focus on pricing. In governance, risk and compliance, our products must compete with solutions that are often part of larger suites, such as those related to information technology management or general business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600" w:space="60"/>
            <w:col w:w="5760"/>
          </w:cols>
          <w:pgMar w:left="240" w:top="445" w:right="239" w:bottom="1440" w:gutter="0" w:footer="0" w:header="0"/>
          <w:type w:val="continuous"/>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Market conditions in this segment are evolving rapidly, which makes continuous investment and innovation a necessity.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We believe that our intellectual property assets are important for maintaining the competitive differentiation of our products, systems, software and services, enhancing our ability to access technology of third parties and maximizing our return on research and development investments.</w:t>
      </w:r>
    </w:p>
    <w:p>
      <w:pPr>
        <w:spacing w:after="0" w:line="46"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To support our business objectives and benefit from our investments in research and development, we actively create and maintain a wide array of intellectual property assets, including patents and patent applications related to our innovations, products and services; trademarks related to our brands, products and services; copyrights in software and creative content; trade secrets; and through other intellectual property rights, licenses of various kinds and contractual provisions. We enter into confidentiality and invention assignment agreements with our employees and contractors, and utilize non-disclosure agreements with third parties with whom we conduct business in order to secure and protect our proprietary rights and to limit access to, and disclosure of, our proprietary information.</w:t>
      </w:r>
    </w:p>
    <w:p>
      <w:pPr>
        <w:spacing w:after="0" w:line="65"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color w:val="auto"/>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that we actively seek to protect in the U.S. and in over 50 other countries worldwide.</w:t>
      </w:r>
    </w:p>
    <w:p>
      <w:pPr>
        <w:spacing w:after="0" w:line="124"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Over time, we have accumulated a robust portfolio of issued patents in the U.S. and in many other jurisdictions across the world. We currently hold rights to patents relating to certain aspects of our products, systems, software and services, but we primarily rely on the innovative skills, technical competence and marketing abilities of our personnel. No single patent is in itself core to the operations of Nasdaq or any of its principal business areas.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Venture Practice</w:t>
      </w:r>
    </w:p>
    <w:p>
      <w:pPr>
        <w:spacing w:after="0" w:line="175" w:lineRule="exact"/>
        <w:rPr>
          <w:sz w:val="20"/>
          <w:szCs w:val="20"/>
          <w:color w:val="auto"/>
        </w:rPr>
      </w:pPr>
    </w:p>
    <w:p>
      <w:pPr>
        <w:jc w:val="both"/>
        <w:ind w:right="160"/>
        <w:spacing w:after="0" w:line="290" w:lineRule="auto"/>
        <w:rPr>
          <w:sz w:val="20"/>
          <w:szCs w:val="20"/>
          <w:color w:val="auto"/>
        </w:rPr>
      </w:pPr>
      <w:r>
        <w:rPr>
          <w:rFonts w:ascii="Arial" w:cs="Arial" w:eastAsia="Arial" w:hAnsi="Arial"/>
          <w:sz w:val="16"/>
          <w:szCs w:val="16"/>
          <w:color w:val="auto"/>
        </w:rPr>
        <w:t>In 2017, Nasdaq established a corporate venture practice to invest primarily in financial technology companies. Nasdaq envisions that investments made through the venture practice will further our organic research and development efforts, and accelerate our path to commercial viability, in the same way previous investments have supported our blockchain and machine intelligence initiatives. Nasdaq expects that the capital invested will be modest and will not have a material impact on our consolidated financial statements or existing capital return or deployment priorities.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extensive regulation in the U.S., Canada and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 federal securities laws establish a system of cooperative regulation of securities markets, market participants and listed companies.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regulatory framework applies to our U.S. business in the following ways:</w:t>
      </w:r>
    </w:p>
    <w:p>
      <w:pPr>
        <w:spacing w:after="0" w:line="6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registered national securities exchanges;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U.S. broker-dealer subsidiaries.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rules and regulations that apply to our business are focused primarily on safeguarding the integrity of the securities markets and of market participants and investors generally. Accordingly, our board of directors, officers, and employees must give due regard to the preservation of the independence of the self-regulatory function of each of our SROs and to their obligations to investors and the general public, and may not take any actions that would interfere with the effectuation of decisions by the boards of directors of any of our SROs relating to their regulatory functions, or that would interfere with the ability of any of our SROs to carry out their responsibilities under the Exchange Act. Although the rules and regulations that apply to our business are not focused on the protection of our stockholders, we believe that regulation improves the quality of exchanges and, therefore, our company. U.S. federal securities laws and the rules that govern our operations are subject to frequent change.</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National Securities Exchanges. </w:t>
      </w:r>
      <w:r>
        <w:rPr>
          <w:rFonts w:ascii="Arial" w:cs="Arial" w:eastAsia="Arial" w:hAnsi="Arial"/>
          <w:sz w:val="16"/>
          <w:szCs w:val="16"/>
          <w:color w:val="auto"/>
        </w:rPr>
        <w:t>SROs in the securities industry are an</w:t>
      </w:r>
      <w:r>
        <w:rPr>
          <w:rFonts w:ascii="Arial" w:cs="Arial" w:eastAsia="Arial" w:hAnsi="Arial"/>
          <w:sz w:val="16"/>
          <w:szCs w:val="16"/>
          <w:i w:val="1"/>
          <w:iCs w:val="1"/>
          <w:color w:val="auto"/>
        </w:rPr>
        <w:t xml:space="preserve"> </w:t>
      </w:r>
      <w:r>
        <w:rPr>
          <w:rFonts w:ascii="Arial" w:cs="Arial" w:eastAsia="Arial" w:hAnsi="Arial"/>
          <w:sz w:val="16"/>
          <w:szCs w:val="16"/>
          <w:color w:val="auto"/>
        </w:rPr>
        <w:t>essential component of the regulatory scheme of the Exchange Act for providing fair and orderly markets and protecting investors. The Exchange Act and the rules thereunder, as well as each SRO’s own rules, impose on the SROs many regulatory and operational responsibilities, including the day-to-day responsibilities for market and broker-dealer oversight. Before it may permit the registration of a national securities exchange as an SRO, the SEC must determine, among other things, that the exchange has a set of rules that is consistent with the requirements of the Exchange Act.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Nasdaq currently operates three cash equity and six options markets in the U.S. We operate The Nasdaq Stock Market and The Nasdaq Options Market pursuant to The Nasdaq Stock Market’s SRO license; Nasdaq BX and Nasdaq BX Options pursuant to Nasdaq BX’s SRO license; Nasdaq PSX and Nasdaq PHLX pursuant to Nasdaq PHLX’s SRO license; and Nasdaq ISE, Nasdaq GEMX and Nasdaq MRX, each under their own SRO license. As SROs, each entity has separate rules pertaining</w:t>
      </w:r>
    </w:p>
    <w:p>
      <w:pPr>
        <w:sectPr>
          <w:pgSz w:w="11900" w:h="16838" w:orient="portrait"/>
          <w:cols w:equalWidth="0" w:num="2">
            <w:col w:w="5760" w:space="60"/>
            <w:col w:w="5600"/>
          </w:cols>
          <w:pgMar w:left="240" w:top="445" w:right="239" w:bottom="1440" w:gutter="0" w:footer="0" w:header="0"/>
          <w:type w:val="continuous"/>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its broker-dealer members and listed companies. Broker-dealers that choose to become members of our exchanges are subject to the rules of those exchanges.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of our U.S. national securities exchanges are subject to SEC oversight, as prescribed by the Exchange Act, including periodic and special examinations by the SEC. Our exchanges also are potentially subject to regulatory or legal action by the SEC or other interested parties at any time in connection with alleged regulatory violations. We also are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following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regulatory services agreements between FINRA and our SROs, FINRA provides certain regulatory services to our markets, including the regulation of trading activity and surveillance and investigative functions. Nevertheless, we have a direct regulatory role in conducting certain real-time market monitoring, certain equity surveillance not involving cross-market activity, most options surveillance, most rulemaking and some membership functions through our MarketWatch department. We refer suspicious trading behavior discovered by our regulatory staff to FINRA for further investigation.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its other SRO responsibilities, The Nasdaq Stock Market, as a listing market, also is responsible for overseeing each listed company’s compliance with The Nasdaq Stock Market’s financial and corporate governance standards. Our listing qualifications department evaluates applications submitted by issuers interested in listing their securities on The Nasdaq Stock Market to determine whether the quantitative and qualitative listing standards have been satisfied. Once securities are listed, the listing qualifications department monitors each</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issuer’s on-going compliance with The Nasdaq Stock Market’s continued listing standards.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Broker-dealer regulation. </w:t>
      </w:r>
      <w:r>
        <w:rPr>
          <w:rFonts w:ascii="Arial" w:cs="Arial" w:eastAsia="Arial" w:hAnsi="Arial"/>
          <w:sz w:val="16"/>
          <w:szCs w:val="16"/>
          <w:color w:val="auto"/>
        </w:rPr>
        <w:t>Nasdaq’s broker-dealer subsidiaries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by the SEC, the SROs and the various state securities regulators. Nasdaq Execution Services, LLC, or Nasdaq Execution Services, currently operates as our routing broker for sending orders from Nasdaq’s U.S. cash equity and options exchanges to other venues for execution. Execution Access LLC, or Execution Access, operates as the broker-dealer for our fixed income business, including Nasdaq Fixed Income’s registered ATS for U.S. Treasury securities. NPM Securities, LLC operates an ATS involving primary and secondary transactions in unregistered securities (i.e., securities not listed on a registered securities exchange and not registered under Section 12 of the Exchange Act), including acting as the buyer’s and seller’s agent to facilitate private placement and mutual funds’ (including closed-end and interval funds’) transactions on the ATS. SMTX, LLC, or SMTX, also operates as a broker-dealer for NPM and acts as intermediary in connection with private non-capital raising transactions. Finally, Nasdaq Capital Markets Advisory LLC, or Nasdaq Capital Markets Advisory, acts as a third-party advisor to privately-held or publicly-traded companies during IPOs and various other offerings.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Nasdaq Execution Services is registered as a broker-dealer with the SEC and in all 50 states, the District of Columbia and Puerto Rico. It is also a member of FINRA and most of the registered national securities exchanges in the U.S.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Execution Access is registered as a broker-dealer with the SEC and in 22 states and the U.S. Virgin Islands based on business requirements. Additionally, Execution Access is a FINRA member organization. Execution Access operates an SEC registered ATS, which is part of Nasdaq Fixed Income, to trade in U.S. Treasury securities. Execution Access is an introducing broker for trades matched on this ATS. The trades, once matched, are submitted to our fully disclosed clearing broker for clearance and settlement.</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NPM Securities is registered as a broker-dealer with the SEC and in all 50 states, the District of Columbia, Puerto Rico and the U.S. Virgin Islands. Additionally, NPM Securities is a FINRA member organization. NPM Securities does not hold funds or securities. Funds may be delivered by the buyer to the issuer directly or wired into an escrow account, depending on the requirements of the offering. The issuer or its transfer agent (or other corporate recordkeeper) will provide the buyer with a stock certificate in either physical or book entry form.</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SMTX is registered as a broker-dealer with the SEC and in 50 states and the District of Columbia based on business requirements. Additionally, SMTX is a FINRA member organization. NPM provides the technological tools and website hosting on a platform that issuers may use for administrative purposes, document execution, handling and storage, and to facilitate communications with participants of tender offers and merger and acquisition transactions. SMTX’s role in these transactions is to act as depository agent to receive and promptly transmit tenders of securities and transaction</w:t>
      </w:r>
    </w:p>
    <w:p>
      <w:pPr>
        <w:spacing w:after="0" w:line="193"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45" w:right="239" w:bottom="1440" w:gutter="0" w:footer="0" w:header="0"/>
          <w:type w:val="continuous"/>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closing funds, and a paying agent to wire funds to participants at the closing.</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Nasdaq Capital Markets Advisory is registered as a broker-dealer with the SEC and the State of New York based on business requirements. Additionally, Nasdaq Capital Markets Advisory is a FINRA member organization. Nasdaq Capital Markets Advisory acts as a third-party advisor to privately-held or publicly-traded companies during their initial public offerings, follow-on equity offerings, at-the-market equity offerings, private placement offerings and Regulation A equity offerings. Nasdaq Capital Markets Advisory’s role is limited to providing a company, or an investment bank on behalf of a company, with reports, profiles and other pertinent advisory information. Nasdaq Capital Markets Advisory does not act as an underwriter, syndicate group member or placement agent for any company, select underwriters or syndicate group members, hold funds or securities, accept investor indications of interest, solicit investors or decide which investors receive securities on behalf of a company.</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SEC, FINRA and the exchanges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DEA. The DEA is responsible for examining a broker-dealer for compliance with the SEC’s financial responsibility rules. FINRA is the current DEA for Nasdaq Execution Services, Execution Access, NPM Securities, SMTX and Nasdaq Capital Markets Advisory.</w:t>
      </w:r>
    </w:p>
    <w:p>
      <w:pPr>
        <w:spacing w:after="0" w:line="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registered broker-dealers, Nasdaq Execution Services, Execution Access, NPM Securities, SMTX and Nasdaq Capital Markets Advisory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Nasdaq Execution Services, Execution Access, NPM Securities, SMTX and Nasdaq Capital</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Markets Advisory were in compliance with all of the applicable capital requirements.</w:t>
      </w:r>
    </w:p>
    <w:p>
      <w:pPr>
        <w:spacing w:after="0" w:line="62"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i w:val="1"/>
          <w:iCs w:val="1"/>
          <w:color w:val="auto"/>
        </w:rPr>
        <w:t>Regulatory contractual relationships with FINRA</w:t>
      </w:r>
      <w:r>
        <w:rPr>
          <w:rFonts w:ascii="Arial" w:cs="Arial" w:eastAsia="Arial" w:hAnsi="Arial"/>
          <w:sz w:val="17"/>
          <w:szCs w:val="17"/>
          <w:color w:val="auto"/>
        </w:rPr>
        <w:t>. Our SROs have signed a</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regulatory 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w:t>
      </w:r>
    </w:p>
    <w:p>
      <w:pPr>
        <w:spacing w:after="0" w:line="74"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 including:</w:t>
      </w:r>
    </w:p>
    <w:p>
      <w:pPr>
        <w:spacing w:after="0" w:line="50" w:lineRule="exact"/>
        <w:rPr>
          <w:sz w:val="20"/>
          <w:szCs w:val="20"/>
          <w:color w:val="auto"/>
        </w:rPr>
      </w:pPr>
    </w:p>
    <w:p>
      <w:pPr>
        <w:jc w:val="both"/>
        <w:ind w:left="540" w:hanging="332"/>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agreements with FINRA covering the enforcement of common rules, the majority of which relate to the regulation of our SROs and their members;</w:t>
      </w:r>
    </w:p>
    <w:p>
      <w:pPr>
        <w:spacing w:after="0" w:line="73" w:lineRule="exact"/>
        <w:rPr>
          <w:rFonts w:ascii="Arial" w:cs="Arial" w:eastAsia="Arial" w:hAnsi="Arial"/>
          <w:sz w:val="18"/>
          <w:szCs w:val="18"/>
          <w:color w:val="auto"/>
        </w:rPr>
      </w:pPr>
    </w:p>
    <w:p>
      <w:pPr>
        <w:ind w:left="540" w:hanging="3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industry agreements with FINRA covering responsibility for enforcement of insider trading rules;</w:t>
      </w:r>
    </w:p>
    <w:p>
      <w:pPr>
        <w:spacing w:after="0" w:line="62" w:lineRule="exact"/>
        <w:rPr>
          <w:rFonts w:ascii="Arial" w:cs="Arial" w:eastAsia="Arial" w:hAnsi="Arial"/>
          <w:sz w:val="18"/>
          <w:szCs w:val="18"/>
          <w:color w:val="auto"/>
        </w:rPr>
      </w:pPr>
    </w:p>
    <w:p>
      <w:pPr>
        <w:jc w:val="both"/>
        <w:ind w:left="540" w:right="20" w:hanging="332"/>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industry agreement with FINRA covering enforcement of rules related to cash equity sales practices and certain other non-market related rules; and</w:t>
      </w:r>
    </w:p>
    <w:p>
      <w:pPr>
        <w:spacing w:after="0" w:line="73" w:lineRule="exact"/>
        <w:rPr>
          <w:rFonts w:ascii="Arial" w:cs="Arial" w:eastAsia="Arial" w:hAnsi="Arial"/>
          <w:sz w:val="18"/>
          <w:szCs w:val="18"/>
          <w:color w:val="auto"/>
        </w:rPr>
      </w:pPr>
    </w:p>
    <w:p>
      <w:pPr>
        <w:ind w:left="540" w:hanging="3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industry agreement covering enforcement of rules related to options sales practices.</w:t>
      </w:r>
    </w:p>
    <w:p>
      <w:pPr>
        <w:spacing w:after="0" w:line="62"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i w:val="1"/>
          <w:iCs w:val="1"/>
          <w:color w:val="auto"/>
        </w:rPr>
        <w:t xml:space="preserve">Regulation NMS and Options Intermarket Linkage Plan. </w:t>
      </w:r>
      <w:r>
        <w:rPr>
          <w:rFonts w:ascii="Arial" w:cs="Arial" w:eastAsia="Arial" w:hAnsi="Arial"/>
          <w:sz w:val="17"/>
          <w:szCs w:val="17"/>
          <w:color w:val="auto"/>
        </w:rPr>
        <w:t>We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NMS for our cash equity markets, and our options markets have 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75"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w:t>
      </w:r>
    </w:p>
    <w:p>
      <w:pPr>
        <w:spacing w:after="0" w:line="5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UTP Plan was filed with and approved by the SEC as a national market system plan in accordance with the Exchange Act and Regulation NMS to provide for the collection,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5600" w:space="20"/>
            <w:col w:w="5800"/>
          </w:cols>
          <w:pgMar w:left="240" w:top="445" w:right="239" w:bottom="1440" w:gutter="0" w:footer="0" w:header="0"/>
          <w:type w:val="continuous"/>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consolidation and dissemination of such information for Nasdaq-listed securities. The Nasdaq Stock Market serves as the processor for the UTP Plan pursuant to a contract that was extended for a five-year term beginning in October 2015. The Nasdaq Stock Market also serves as the administrator for the UTP Plan. As the processor, The Nasdaq Stock Market performs and discharges regulatory functions and responsibilities that are necessary for the members of the UTP Plan to discharge the regulatory functions related to the operation of a national market system that have been delegated to them under the Exchange Act and Regulation NMS. To fulfill its obligations as the processor, The Nasdaq Stock Market has designed, implemented, maintained, and operated a data processing and communications system, hardware, and software and communications infrastructure to provide processing for the UTP Plan. As the administrator, The Nasdaq Stock Market manages the distribution of market data, the collection of the resulting market data revenue, and the dissemination of that revenue to plan members.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Regulation SCI. </w:t>
      </w:r>
      <w:r>
        <w:rPr>
          <w:rFonts w:ascii="Arial" w:cs="Arial" w:eastAsia="Arial" w:hAnsi="Arial"/>
          <w:sz w:val="16"/>
          <w:szCs w:val="16"/>
          <w:color w:val="auto"/>
        </w:rPr>
        <w:t>Regulation SCI is a set of rules designed to strengthen the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infrastructure of the U.S. securities markets. Regulation SCI applies to national securities exchanges, operators of certain ATSs, market data information providers and clearing agencies, subjecting these entities to extensive new compliance obligations, with the goals of reducing the occurrence of technical issues that disrupt the securities markets and improving recovery time when disruptions occur. We implemented an inter-disciplinary program to ensure compliance with Regulation SCI. New Regulation SCI policies and procedures were created, internal policies and procedures were updated, and an information technology governance program was rolled out to ensure compliance.</w:t>
      </w:r>
    </w:p>
    <w:p>
      <w:pPr>
        <w:spacing w:after="0" w:line="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Regulation of Registered Investment Advisor Subsidiary. </w:t>
      </w:r>
      <w:r>
        <w:rPr>
          <w:rFonts w:ascii="Arial" w:cs="Arial" w:eastAsia="Arial" w:hAnsi="Arial"/>
          <w:sz w:val="16"/>
          <w:szCs w:val="16"/>
          <w:color w:val="auto"/>
        </w:rPr>
        <w:t>Our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DWA is an investment advisor registered with the SEC under the Investment Advisors Act of 1940. In this capacity, DWA is subject to oversight and inspections by the SEC. Among other things, registered investment advisors like DWA must comply with certain disclosure obligations, advertising and fee restrictions and requirements relating to client suitability and custody of funds and securities. Registered investment advisors are also subject to anti-fraud provisions under both federal and state law.</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CFTC Regulation. </w:t>
      </w:r>
      <w:r>
        <w:rPr>
          <w:rFonts w:ascii="Arial" w:cs="Arial" w:eastAsia="Arial" w:hAnsi="Arial"/>
          <w:sz w:val="18"/>
          <w:szCs w:val="18"/>
          <w:color w:val="auto"/>
        </w:rPr>
        <w:t>We also operate NFX, a designated contract market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Commodity Exchange Act that is subject to regulatory oversight by the CFTC, an independent agency with the mandate to regulate commodity futures and options markets in the U.S. The National Futures Association provides regulatory services to NFX pursuant to a regulatory services agreement.</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designated contract market, NFX is required to comply on an ongoing basis with 23 Core Principles set forth in Section 5(d) of the Commodity Exchange Act and with Part 38 of the CFTC’s regulations. NFX is also subject to the requirements of Part 40 of the CFTC’s regulations with respect to the adoption of new rules or rule amendments and the listing of new products.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NFX is subject to CFTC rule enforcement reviews conducted by the CFTC’s Division of Market Oversight. Rule enforcement reviews may examine a designated contract market’s audit trail, trade practice surveillance, disciplinary and dispute resolution programs for compliance with the relevant Core Principles.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also has resulted in increased CFTC regulation of our use of certain regulated derivatives products, as well as the operations of some of our subsidiaries outside the U.S. and their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Regulation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Regulation of Nasdaq Canada and its three markets is performed by the Canadian Securities Administrators, an umbrella organization of Canada’s provincial and territorial securities regulators. Operating in Ontario, Nasdaq Canada’s lead regulator is the Ontario Securities Commission. As an approved ATS, Nasdaq Canada is subject to the Marketplace Rules (National Instrument 21-101 and National Instrument 23-101), which include requirements for fair access, transparency of operations, systems and confidentiality of trading information. As an ATS, Nasdaq Canada is also a member of the Investment Industry Regulatory Organization of Canada and must comply with its dealer member rules. In December 2017, Nasdaq Canada received approval from the Ontario Securities Commission to become recognized as an exchange under the Securities Act of Ontario effective on March 1,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Regulation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Regulation of our markets in the European Union and European Economic Area focuses on issues relating to financial services, listing and trading of securities, clearing and market abuse. In mid-2012, EMIR, a regulation relating to CCP services and OTC derivatives transactions, was adopted. As a consequence of EMIR, Nasdaq Clearing, like other European CCPs, applied to reauthorize its CCP operations. Nasdaq Clearing was the first European CCP to be authorized as EMIR-compliant when the SFSA approved its application as a CCP under EMIR in 2014.</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2016, the European Union’s Market Abuse Regulation, which is intended to prevent market abuse, entered into force. MiFID II and MiFIR entered into force in January 2018 and primarily affect our European trading businesses. Many of the provisions of MiFID II and MiFIR are implemented through technical standards drafted by the European Securities and Markets Authority and approved by the European Commission. In addition, in 2016, the European Union adopted legislation on governance and control of the production and use of benchmark indexes. The Benchmark Regulation applies in the European Union from early 2018. However, due to transitional clauses in the Benchmark Regulation, Nasdaq as a benchmark provider, does not need to be in compliance with the Benchmark Regulation until January 1, 2020. As the regulatory environment continues to change and related opportunities arise, we intend to continue product development and ensure that the exchanges and clearinghouses that comprise Nasdaq</w:t>
      </w:r>
    </w:p>
    <w:p>
      <w:pPr>
        <w:spacing w:after="0" w:line="19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45" w:right="239" w:bottom="1440" w:gutter="0" w:footer="0" w:header="0"/>
          <w:type w:val="continuous"/>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Nordic and Nasdaq Baltic maintain favorable liquidity and offer efficient trading.</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entities that operate trading venues in the Nordic and Baltic countries are each subject to local regulations. In Sweden, general supervision of the Nasdaq Stockholm exchange is carried out by the SFSA, while Nasdaq Clearing’s role as CCP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Nasdaq Stockholm’s exchange activities are regulated primarily by the SSMA, which implements MiFID II into Swedish law and which sets up basic requirements regarding the board of the exchange and its share capital, and which also outlines the conditions on which exchange licenses are issued. The SSMA also provides that any changes to the exchange’s articles of association following initial registration must be approved by the SFSA. Nasdaq Clearing holds the license as a CCP under EMIR.</w:t>
      </w:r>
    </w:p>
    <w:p>
      <w:pPr>
        <w:spacing w:after="0" w:line="11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regulatory environment in the other Nordic and Baltic countries in which a Nasdaq entity has a trading venue is broadly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similar to the regulatory environment in Sweden. Since 2005, there has been cooperation between the SFSA and the main supervisory authorities in Iceland, Denmark and Finland, which looks to safeguard effective and comprehensive supervision of the exchanges comprising Nasdaq Nordic and the systems operated by it, and to ensure a common supervisory approach.</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Confidence in capital markets is paramount for trading to function properly. Nasdaq Nordic carries out market surveillance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In addition, there are special personnel who carry out surveillance activities at each of the three Baltic exchanges. In Finland and Sweden, decisions to list new companies are made by independent listing committees and in the other countries the decision is made by the respective president of the exchanges.</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there is suspicion that a listed company or member has acted in breach of exchange regulations, the matter is dealt with by the respective surveillance department. Serious breaches are considered by the respective disciplinary committee in Denmark, Finland, Iceland and Sweden. Suspected insider trading is reported to the appropriate authorities in the respective country.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Nasdaq had 4,734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Website and Availability of SEC Filings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website is www.business.nasdaq.com. Information on our website is not a part of this Form 10-K. We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“Investor Relations,” then under “Financials” click on “SEC Filings.”</w:t>
      </w:r>
    </w:p>
    <w:p>
      <w:pPr>
        <w:spacing w:after="0" w:line="103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45" w:right="239" w:bottom="1440" w:gutter="0" w:footer="0" w:header="0"/>
          <w:type w:val="continuous"/>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Economic conditions and market factors, which are beyond our control, may adversely affect our business and financial condition.</w:t>
      </w:r>
    </w:p>
    <w:p>
      <w:pPr>
        <w:spacing w:after="0" w:line="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performance is impacted by a number of factors, including general economic conditions in both the U.S. and Europe, market volatility, changes in investment patterns and priorities, and other factors that are generally beyond our control. To the extent that global or national economic conditions weaken, our business is likely to be negatively impacted. Adverse market conditions could reduce customer demand for our services and the ability of our customers, lenders and other counterparties to meet their obligations to us. Poor economic conditions may result in a decline in trading volumes or values, deterioration of the economic welfare of our listed companies and a reduction in the demand for our products, including our data, index, corporate solutions and market technology products. Trading volumes and values are driven primarily by general market conditions and declines in trading volumes or values may affect our market share and impact our pricing. In addition, our Market Services businesses receive revenues from a relatively small number of customers concentrated in the financial industry, so any event that impacts one or more customers or the financial industry in general could impact our revenues.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Information Services revenues also may be significantly affected by global economic conditions. Professional subscriptions to our data products are at risk if staff reductions occur in financial services companies, which could result in significant reductions in our professional user revenue. In addition, adverse market conditions may cause reductions in the number of non-professional investors with investments in the market and in ETP assets under management tracking Nasdaq indexes.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Finally, there may be less demand for our Corporate Solutions or Market Technology products if global economic conditions are weak. Our customers historically cut back on purchases of new services and technology when growth rates decline, thereby reducing our opportunities to sell new products and services or upgrade existing products and services.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reduction in trading volumes or values, market share of trading, the number of our listed companies, or demand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Services, Corporate Solutions or Market Technology products due to economic conditions or other market factors could adversely affect our business, financial condition and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intense competition from other exchanges and markets for market share of trading activity and listings. In addition, our Data Products, Index Licensing and Services, Corporate Solutions and Market Technology businesses face significant competition from other market participants. This competition includes both product and price competition. Increased competition may result in a decline in our share of trading activity, listings and demand for the products we offer, thereby adversely affecting our operating results.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Marketplaces in both Europe and the U.S. have also merged to achieve greater economies of scale and scope.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changes also have facilitated the entry of new participants in the European Union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compete globally with other regulated exchanges and markets, ATSs, MTFs and other traditional and non-traditional execution venues. Some of these competitors also are our customers. Competitors may develop market trading platforms that are more competitive than ours. Competitors may enter into strategic partnerships, mergers or acquisitions that could make their trading, listings, clearing, data or technology businesses more competitive than ours.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we are unable to compete successfully in this environment, our business, financial condition and operating results will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Price competition has affected and could continue to affect our business.</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face intense price competition in all areas of our business. In particular, the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could adversely impact operating results. We are also subject to potential price competition from new competitors and from new and existing competitors. We also compete with</w:t>
      </w:r>
    </w:p>
    <w:p>
      <w:pPr>
        <w:spacing w:after="0" w:line="194"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45" w:right="239" w:bottom="1440" w:gutter="0" w:footer="0" w:header="0"/>
          <w:type w:val="continuous"/>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respect to the pricing of data products and with respect to products for pre-trade book data and for post-trade last sale data. In the future, our competitors may offer rebates for quotes and trades on their systems. In addition, pricing in our Corporate Services, Index Licensing and Services and Market Technology businesses is subject to competitive pressures. If we are unable to compete successfully in respect to the pricing of our services and products, our business, financial condition and operating results may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or failures could harm our business.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businesses depend on the integrity and performance of the technology,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service outages, lower trading volumes or values, financial losses, decreased customer satisfaction and regulatory sanctions. Our markets and the markets that rely on our technology have experienced systems failures and delays in the past and could experience future systems failures and delays.</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volume increases, or expand and upgrade our systems and infrastructure to accommodate any increases in a timely manner.</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continue to introduce new products, initiatives and enhancements to maintain our competitive position.</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launch new products and initiatives and continue to explore and pursue opportunities to strengthen our business and grow our company. We may spend substantial time and money developing new products and initiatives. If these products and initiatives are not successful, we may not be able to offset their costs, which could have an adverse effect on our business, financial condition and operating results.</w:t>
      </w:r>
    </w:p>
    <w:p>
      <w:pPr>
        <w:spacing w:after="0" w:line="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technology operations, we have invested substantial amounts in the development of system platforms, the rollout of</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platforms and the adoption of new technologies, such as blockchain, machine intelligence and the cloud. Although investments are carefully planned, there can be no assurance that the demand for such platforms or technologies will justify the related investments. If we fail to generate adequate revenue from planned system platforms or the adoption of new technologies, or if we fail to do so within the envisioned timeframe, it could have an adverse effect on our results of operations and financial condition. In addition, clients may delay purchases in anticipation of new products or enhancements.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decline in trading and clearing volumes or values or market share will decrease our trading and clearing revenues.</w:t>
      </w:r>
    </w:p>
    <w:p>
      <w:pPr>
        <w:spacing w:after="0" w:line="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Trading and clearing volumes and values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 clearing volumes and values across our markets have fluctuated significantly depending on market conditions and other factors beyond our control. Current initiatives being considered by regulators and governments could have a material adverse effect on overall trading and clearing volumes or values. Because a significant percentage of our revenues is tied directly to the volume or value of securities traded and cleared on our markets, it is likely that a general decline in trading and clearing volumes or values would lower revenues and may adversely affect our operating results if we are unable to offset falling volumes or values through pricing changes. Declines in trading and clearing volumes or values may also impact our market share or pricing structures and adversely affect our business and financial condition.</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our total market share in securities decreases relative to our competitors, our venues may be viewed as less attractive sources of liquidity. If our exchanges are perceived to be less liquid, then our business, financial condition and operating results could be adversely affected.</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could lower The Nasdaq Stock Market’s share of tape pool revenues under the consolidated data plans, thereby reducing the revenues of our Data Products business.</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role in the global marketplace may place us at greater risk for a cyberattack.</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systems and operations are vulnerable to damage or interruption from security breaches. Some of these threats include attacks from foreign governments, hacktivists, insiders and criminal organizations. Foreign governments may seek to obtain a foothold in U.S. critical infrastructure, hacktivists may</w:t>
      </w:r>
    </w:p>
    <w:p>
      <w:pPr>
        <w:spacing w:after="0" w:line="32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45"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seek to deploy denial of service attacks to bring attention to their cause, insiders may pose a risk by human error or malicious activity and criminal organizations may seek to profit from stolen data. Computer viruses and worms also continue to be a threat with ransomware increasingly being used by criminals to extort money. Given our position in the global securities industry, we may be more likely than other companies to be a direct target, or an indirect casualty, of such events.</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we continue to employ resources to monitor our systems and protect our infrastructure, these measures may prove insufficient depending upon the attack or threat posed. Any system issue, whether as a result of an intentional breach, collateral damage from a new virus or a non-malicious act, could damage our reputation and cause us to lose customers, experience lower trading volumes or values, incur significant liabilities or otherwise have a negative impact on our business, financial condition and operating results. Any system breach may go undetected for an extended period of time. We also could incur significant expense in addressing any of these problems and in addressing related data security and privacy concerns.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platforms that have the functionality, performance, capacity, reliability and speed required by our business and our regulators, as well as by our customers.</w:t>
      </w:r>
    </w:p>
    <w:p>
      <w:pPr>
        <w:spacing w:after="0" w:line="4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markets in which we compete are characterized by rapidly changing technology, evolving industry and regulatory standards, frequent enhancements to existing products and services, the adoption of new services and products and changing customer demands. We may not be able to keep up with rapid technological and other competitive changes affecting our industry. For example, we must continue to enhance our platforms to remain competitive as well as to address our regulatory responsibilities, and our business will be negatively affected if our platforms or the technology solutions we sell to our customers fail to function as expected. If we are unable to develop our platforms to include other products and markets, or if our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successfully integrate acquired businesses, which may result in an inability to realize the anticipated benefits of our acquisitions.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must rationalize, coordinate and integrate the operations of our acquired businesses, including eVestment and Sybenetix. This process involves complex technological, operational and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personnel-related challenges, which are time-consuming and expensive and may disrupt our business. The difficulties, costs and delays that could be encountered may include:</w:t>
      </w:r>
    </w:p>
    <w:p>
      <w:pPr>
        <w:spacing w:after="0" w:line="73" w:lineRule="exact"/>
        <w:rPr>
          <w:sz w:val="20"/>
          <w:szCs w:val="20"/>
          <w:color w:val="auto"/>
        </w:rPr>
      </w:pPr>
    </w:p>
    <w:p>
      <w:pPr>
        <w:jc w:val="both"/>
        <w:ind w:lef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costs or complications in combining the companies’ operations, including technology platforms, which could lead to us not achieving the synergies we anticipate or customers not renewing their contracts with us as we migrate platforms;</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incompatibility of systems and operating methods;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or provision of, transition services;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use capital assets efficiently to develop the business of the combined company;</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of complying with government-imposed regulations in the U.S. and abroad, which may be conflicting;</w:t>
      </w:r>
    </w:p>
    <w:p>
      <w:pPr>
        <w:spacing w:after="0" w:line="6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resolving possible inconsistencies in standards, controls, procedures and policies, business cultures and compensation structures;</w:t>
      </w:r>
    </w:p>
    <w:p>
      <w:pPr>
        <w:spacing w:after="0" w:line="38"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other strategic opportunities;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operating businesses we have not operated before;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of integrating multiple acquired businesses simultaneously;</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retention of key employees and management;</w:t>
      </w:r>
    </w:p>
    <w:p>
      <w:pPr>
        <w:spacing w:after="0" w:line="117"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implementation of disclosure controls, internal controls and financial reporting systems at non-U.S. subsidiaries to enable us to comply with U.S. GAAP and U.S. securities laws and regulations, including the Sarbanes Oxley Act of 2002, required as a result of our status as a reporting company under the Exchange Act;</w:t>
      </w:r>
    </w:p>
    <w:p>
      <w:pPr>
        <w:spacing w:after="0" w:line="64" w:lineRule="exact"/>
        <w:rPr>
          <w:rFonts w:ascii="Arial" w:cs="Arial" w:eastAsia="Arial" w:hAnsi="Arial"/>
          <w:sz w:val="17"/>
          <w:szCs w:val="17"/>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coordination of geographically separate organizations;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coordination and consolidation of ongoing and future research and development efforts;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integrating the operations of a combined company;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pre-tax restructuring and revenue investment costs;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retention of strategic partners and attracting new strategic partners;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impacts on employee morale and performance as a result of job changes and reassignments.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these reasons, we may not achieve the anticipated financial and strategic benefits from our acquisitions and initiatives. Any actual cost savings and synergies may be lower than we expect and may take a longer time to achieve than we anticipate, and we may fail to realize the anticipated benefits of acquisitions.</w:t>
      </w:r>
    </w:p>
    <w:p>
      <w:pPr>
        <w:spacing w:after="0" w:line="450"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45" w:right="239" w:bottom="1440" w:gutter="0" w:footer="0" w:header="0"/>
          <w:type w:val="continuous"/>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need to invest in our operations to maintain and grow our business and to integrate acquisitions, and we may need additional funds, which may not be readily available.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depend on the availability of adequate capital to maintain and develop our business. Although we believe that we can meet our current capital requirements from internally generated funds, cash on hand and borrowings under our revolving credit facility and commercial paper program,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pay dividends, repurchase our stock or react to changing economic and business conditions. If we are unable to fund our capital or credit requirements, it could have an adverse effect on our business, financial condition and operating results.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Should we need to raise funds through issuing additional equity, our equity holders will suffer dilution. Should we need to raise funds through incurring additional debt, we may become subject to covenants even more restrictive than those contained in our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143" w:lineRule="exact"/>
        <w:rPr>
          <w:sz w:val="20"/>
          <w:szCs w:val="20"/>
          <w:color w:val="auto"/>
        </w:rPr>
      </w:pPr>
    </w:p>
    <w:p>
      <w:pPr>
        <w:jc w:val="both"/>
        <w:spacing w:after="0" w:line="338" w:lineRule="auto"/>
        <w:rPr>
          <w:sz w:val="20"/>
          <w:szCs w:val="20"/>
          <w:color w:val="auto"/>
        </w:rPr>
      </w:pPr>
      <w:r>
        <w:rPr>
          <w:rFonts w:ascii="Arial" w:cs="Arial" w:eastAsia="Arial" w:hAnsi="Arial"/>
          <w:sz w:val="15"/>
          <w:szCs w:val="15"/>
          <w:b w:val="1"/>
          <w:bCs w:val="1"/>
          <w:i w:val="1"/>
          <w:iCs w:val="1"/>
          <w:color w:val="auto"/>
        </w:rPr>
        <w:t>We operate in a highly regulated industry and may be subject to censures, fines and enforcement proceedings if we fail to comply with regulatory obligations that can be ambiguous and can change unexpectedly.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highly regulated industry and are subject to extensive regulation in the U.S., Europe and Canada. The securities trading industry is subject to significant regulatory oversight and could be subject to increased governmental and public scrutiny in the future that can change in response to global conditions and events.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comply with complex and changing regulation is largely dependent on our establishment and maintenance of compliance, audit and reporting systems that can quickly adapt and respond, as well as our ability to attract and retain qualified compliance and other risk management personnel. While we have policies and procedures to identify, monitor and manage our risks and regulatory obligations, we cannot assure you that our policies and procedures will always be effective or that we</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will always be successful in monitoring or evaluating the risks to which we are or may be exposed.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and markets for violations of applicable requirements.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during 2016, the SFSA and the other Nordic financial supervisory authorities conducted investigations of cybersecurity processes at our Nordic exchanges and clearinghouse. In December 2016, we were issued a $6 million fine by the SFSA as a result of findings in connection with its investigation. The SFSA’s conclusions related to governance issues rather than systems and platform security. We have appealed the SFSA’s decision, including the amount of the fine. The court has not yet reached a decision on our appeal.</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future, we could be subject to SEC or other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current U.S. federal securities laws, changes in the rules and operations of our securities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In addition, favorable SEC rulings and interpretations can be challenged in and reversed by federal courts of appeals, reducing or eliminating the value of such prior interpretations. Any delay in approving changes, or the altering of any proposed change, could have an adverse effect on our business, financial condition and operating results.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compete not only with ATSs that are not subject to the same SEC approval process but also with other exchanges that may have lower regulation and surveillance costs than us. There is a risk that trading will shift to exchanges that charge lower</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45" w:right="239" w:bottom="1440" w:gutter="0" w:footer="0" w:header="0"/>
          <w:type w:val="continuous"/>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because, among other reasons, they spend significantly less on regulation.</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2016, the SEC approved a plan to establish a market-wide consolidated audit trail (CAT) to improve regulators’ ability to monitor trading activity. In addition to increased regulatory obligations, implementation of a consolidated audit trail could result in significant additional expenditures, including to implement any new technology to meet any plan’s requirements.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3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non-U.S. business is subject to regulatory oversight in all the countries in which we operate regulated businesses, such as exchanges, clearinghouses or central securities depositories. In these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Regulatory changes and changes in market structure could have a material adverse effect on our business.</w:t>
      </w:r>
    </w:p>
    <w:p>
      <w:pPr>
        <w:spacing w:after="0" w:line="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and technological oversight. The SEC, FINRA and the national</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exchanges have introduced several initiatives to ensure the oversight, integrity and resilience of markets.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Industry responses to the MiFID II and MiFIR rules or other applicable rules could affect our operations in Europe. Changes to the rules themselves could also affect our operations in Europe. In addition, actions on any of the specific regulatory issues currently under review in the U.S. and Europe could have a material impact on our business.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support regulatory efforts to review and improve the structure, resilience and integrity of the markets, the adoption of these proposed regulatory changes and future reforms could impose significant costs and obligations on the operation of our exchanges and processor systems and have other impacts on our business.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Regulatory changes or future court rulings may have an adverse impact on our revenue from proprietary data products.</w:t>
      </w:r>
    </w:p>
    <w:p>
      <w:pPr>
        <w:spacing w:after="0" w:line="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Regulatory and legal developments could reduce the amount of revenue that we earn from our proprietary data products. In the U.S., we generally are required to file with the SEC to establish or modify the fees that we charge for our data products. In recent years, certain industry groups have objected to the ability of exchanges to charge for certain data products. We have defeated two challenges in federal appeals court and an additional challenge at the administrative level within the SEC. The decision defeating the challenge was reaffirmed at the administrative level in early 2018. However, the industry challengers have sought additional review of that administrative decision by the full SEC. That SEC review remains pending and, when resolved, it may be appealed to a federal court of appeals. If the results of the full SEC review and any subsequent appeal are detrimental to our U.S. exchanges’ ability to charge for data products, there could be a negative impact on our revenues. We cannot predict whether, or in what form, any regulatory changes will be implemented, or their potential impact on our business. A determination by the SEC, for example, to link data fees to marginal costs, to take a more active role in the data rate-setting process, or to reduce the current levels of data fees could have an adverse effect on our Data Products revenues.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Canada, all new marketplace fees and changes to existing fees, including trading and data fees, must be filed with and approved by the Ontario Securities Commission. In 2016, the Canadian Securities Administrators approved amendments adopting a Data Fees Methodology that restricts the total amount of fees that can be charged by all marketplaces to a reference level that is not yet defined. When a reference is established, all marketplaces will be subject to annual reviews of their market data fees tying market data revenues to market share.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European exchanges currently offer data products to customers on a non-discriminatory and reasonable commercial basis. The new MiFID II/MiFIR rules entail that the price for regulated data such as pre- and post-trade data shall be based</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45" w:right="239" w:bottom="1440" w:gutter="0" w:footer="0" w:header="0"/>
          <w:type w:val="continuous"/>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cost plus a reasonable margin. However, what constitutes “reasonable margin” is not clearly defined. There is a risk that a different interpretation of this term may influence the fees for European data products adversely. In addition, any future actions by the European Commission or European court decisions could affect our ability to offer data products in the same manner as today, thereby causing an adverse effect on our Data Products revenues.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Technology issues relating to our role as exclusive processor for Nasdaq-listed stocks could affect our business.</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we experienced an outage in the exclusive processor system we maintain and operate on behalf of all exchanges that trade Nasdaq-listed stocks that resulted in a market-wide trading halt lasting approximately three hours. Following this system outage, the SEC and others evaluated all infrastructure that is critical to the national market system, including the processor systems. Nasdaq, as technology provider to the UTP Operating Committee, proposed, received approval for, and implemented measures to enhance the resiliency of the existing processor system. Additionally, the UTP Operating Committee approved Nasdaq’s proposal to transfer the processor technology from its current enhanced platform to Nasdaq’s INET platform. The migration, which was completed in late 2016, further enhanced the resiliency of the processor systems. If, despite these improvement measures, future outages occur or the processor systems fail to function properly while we are operating the systems, it could have an adverse effect on our business, reputation, financial condition or operating results.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operational processes are subject to the risk of error, which may result in financial loss or reputational damage.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instituted extensive controls to reduce the risk of error inherent in our operations; however, such risk cannot completely be eliminated.</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businesses are highly dependent on our ability to process and report, on a daily basis, a large number of transactions across numerous and diverse markets. Some of our operations require complex processes, and the introduction of new products or services or changes in processes or reporting due to regulatory requirements may result in an increased risk of errors for a period after implementation.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Data, other content or information that we distribute may contain errors or be delayed, causing reputational harm. Use of our products and services as part of the investment process creates the risk that clients, or the parties whose assets are managed by our clients, may pursue claims against us in the event of such delay or error. Even with a favorable outcome, significant litigation against us might unduly burden management, personnel, financial and other resources.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sophisticated software we sell to our customers may contain undetected errors or vulnerabilities, some of which may be discovered only after delivery. These errors may result in negative customer experiences that could damage our reputation, thereby causing loss of customers, loss of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liability for damages, thereby adversely affecting our business and financial results.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Laws and regulations regarding the handling of personal data and information may affect our services or result in increased costs, legal claims or fines against us.</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relies on the processing of data in many jurisdictions and the movement of data across national borders. Legal and contractual requirements relating to the collection, storage, handling, use, disclosure, transfer and security of personal data continue to evolve; regulatory scrutiny in this area is increasing around the world. Significant uncertainty exists as privacy and data protection laws may be interpreted and applied differently across jurisdictions and may create inconsistent or conflicting requirements.</w:t>
      </w:r>
    </w:p>
    <w:p>
      <w:pPr>
        <w:spacing w:after="0" w:line="3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European Union General Data Protection Regulation, or GDPR, which becomes effective in May 2018, extends the scope of the European Union data protection law and requires companies to meet new requirements regarding the handling of personal data. In addition to directly applying to certain Nasdaq business activities, we expect that this regulation may impact many of our customers, which may affect their requirements and decisions related to services that we offer. Although we have a program underway to address GDPR requirements, our efforts to comply with GDPR and other privacy and data protection laws may entail substantial expenses, may divert resources from other initiatives and projects, and could impact the services that we offer. Furthermore, enforcement actions and investigations by regulatory authorities related to data security incidents and privacy violations continue to increase. The enactment of more restrictive laws, rules or regulations or future enforcement actions or investigations could impact us through increased costs or restrictions on our business, and noncompliance could result in regulatory penalties and significant legal liability.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Stagnation or decline in the listings market could have an adverse effect on our revenues.</w:t>
      </w:r>
    </w:p>
    <w:p>
      <w:pPr>
        <w:spacing w:after="0" w:line="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market for listings is dependent on the prosperity of companies and the availability of risk capital. A stagnation or decline in the number of new listings on The Nasdaq Stock Market and the Nasdaq Nordic and Nasdaq Baltic exchanges will impact our revenues. Through December 31, 2017, we recognized revenue from new listings on The Nasdaq Stock Market on a straight-line basis over an estimated six-year service period. As of January 1, 2018, we adopted ASU 2014-09; see “Recent Accounting Pronouncements,” of Note 2 “Summary of Significant Accounting Policies,” for further discussion. Both before and after the adoption of this new accounting standard, a stagnant market for listings could cause a decrease in revenues for future years. Furthermore, a prolonged decrease in the number of listings could negatively impact the growth of our transactions revenues. Our Corporate Solutions business is also impacted by declines in the listings market or increases in acquisitions activity as there will be fewer publicly-traded customers that need our products.</w:t>
      </w:r>
    </w:p>
    <w:p>
      <w:pPr>
        <w:spacing w:after="0" w:line="681"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45" w:right="239" w:bottom="1440" w:gutter="0" w:footer="0" w:header="0"/>
          <w:type w:val="continuous"/>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long-term debt is currently rated investment grade by two of the major rating agencies. These rating agencies regularly evaluate us, and their ratings of our long-term debt and commercial paper are based on a number of factors, including our financial strength and corporate development activity, as well as factors not entirely within our control, including conditions affecting our industry generally. There can be no assurance that we will maintain our current ratings. Our failure to maintain those ratings could reduce or eliminate our ability to issue commercial paper and adversely affect the cost and other terms upon which we are able to obtain funding and increase our cost of capital. A reduction in credit ratings would also result in increases in the cost of our commercial paper and other outstanding debt as the interest rate on the outstanding amounts under our credit facilities and most tranches of our senior notes fluctuates based on our credit ratings.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Damage to our reputation or brand name could have a material adverse effect on our businesses.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One of our competitive strengths is our strong reputation and brand name.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Various issues may give rise to reputational risk, including issues relating to:</w:t>
      </w:r>
    </w:p>
    <w:p>
      <w:pPr>
        <w:spacing w:after="0" w:line="7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the security of our data and systems;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and reliability of our technology platforms and systems;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fulfill our regulatory obligations;</w:t>
      </w:r>
    </w:p>
    <w:p>
      <w:pPr>
        <w:spacing w:after="0" w:line="63" w:lineRule="exact"/>
        <w:rPr>
          <w:rFonts w:ascii="Arial" w:cs="Arial" w:eastAsia="Arial" w:hAnsi="Arial"/>
          <w:sz w:val="18"/>
          <w:szCs w:val="18"/>
          <w:color w:val="auto"/>
        </w:rPr>
      </w:pPr>
    </w:p>
    <w:p>
      <w:pPr>
        <w:ind w:left="340" w:hanging="332"/>
        <w:spacing w:after="0" w:line="31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to execute our business plan, key initiatives or new business ventures and the ability to keep up with changing customer demand;</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of our financial guidance or other information provided to our investors;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of our corporate governance structure;</w:t>
      </w:r>
    </w:p>
    <w:p>
      <w:pPr>
        <w:spacing w:after="0" w:line="63" w:lineRule="exact"/>
        <w:rPr>
          <w:rFonts w:ascii="Arial" w:cs="Arial" w:eastAsia="Arial" w:hAnsi="Arial"/>
          <w:sz w:val="18"/>
          <w:szCs w:val="18"/>
          <w:color w:val="auto"/>
        </w:rPr>
      </w:pPr>
    </w:p>
    <w:p>
      <w:pPr>
        <w:jc w:val="both"/>
        <w:ind w:left="340" w:hanging="332"/>
        <w:spacing w:after="0" w:line="29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quality of our products, including the reliability of our transaction-based, Corporate Solutions and Market Technology products, the accuracy of the quote and trade information provided by our Data Products business and the accuracy of calculations used by our Index Licensing and Services business for indexes and unit investment trusts;</w:t>
      </w:r>
    </w:p>
    <w:p>
      <w:pPr>
        <w:spacing w:after="0" w:line="3" w:lineRule="exact"/>
        <w:rPr>
          <w:rFonts w:ascii="Arial" w:cs="Arial" w:eastAsia="Arial" w:hAnsi="Arial"/>
          <w:sz w:val="16"/>
          <w:szCs w:val="16"/>
          <w:color w:val="auto"/>
        </w:rPr>
      </w:pPr>
    </w:p>
    <w:p>
      <w:pPr>
        <w:ind w:left="340" w:hanging="332"/>
        <w:spacing w:after="0" w:line="26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of our disclosure controls or internal controls over financial reporting, including any failures in supervision;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Damage to our reputation could cause some issuers not to list their securities on our exchanges, as well as reduce the trading volumes or values on our exchanges or cause us to lose customers in our Data Products, Index Licensing and Services, Corporate Solutions or Market Technology businesses. This, in turn, may have a material adverse effect on our business, financial condition and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recognize impairments of our goodwill, intangible assets or other long-lived assets in the future.</w:t>
      </w:r>
    </w:p>
    <w:p>
      <w:pPr>
        <w:spacing w:after="0" w:line="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acquisitions typically result in the recording of goodwill and intangible assets, and the recorded values of those assets may become impaired in the future. As of December 31, 2017, goodwill totaled approximately $6.6 billion and intangible assets, net of accumulated amortization, totaled approximately $2.5 billion. The determination of the value of such goodwill and intangible assets requires management to make estimates and assumptions that affect our consolidated financial statements.</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assess goodwill and intangible assets, as well as other long-lived assets, including equity and cost method investments and property and equipment, for impairment on an annual basis or more frequently if indicators of impairment arise. We estimate the fair value of such assets by assessing many factors, including historical performance, capital requirements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was no impairment of goodwill for the years ended December 31, 2017, 2016 and 2015, and there were no indefinite-lived intangible asset impairment charges in 2017. As discussed in “Intangible Asset Impairment Charges,” of Note 6, “Goodwill and Acquired Intangible Assets,” to the consolidated financial statements, we recorded an indefinite-lived intangible asset impairment charge of $578 million in 2016 and $119 million in 2015.</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experience future events that may result in asset impairments. Future disruptions to our business, prolonged economic weakness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spacing w:after="0" w:line="125"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2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extreme price volatility on our markets;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negative publicity surrounding our listed companies; and</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misconduct, fraudulent activity or theft by our employees or other persons formerly or currently associated with us.</w:t>
      </w:r>
    </w:p>
    <w:p>
      <w:pPr>
        <w:spacing w:after="0" w:line="20" w:lineRule="exact"/>
        <w:rPr>
          <w:sz w:val="20"/>
          <w:szCs w:val="20"/>
          <w:color w:val="auto"/>
        </w:rPr>
      </w:pPr>
      <w:r>
        <w:rPr>
          <w:sz w:val="20"/>
          <w:szCs w:val="20"/>
          <w:color w:val="auto"/>
        </w:rPr>
        <w:br w:type="column"/>
      </w:r>
    </w:p>
    <w:p>
      <w:pPr>
        <w:jc w:val="both"/>
        <w:ind w:left="200"/>
        <w:spacing w:after="0" w:line="254" w:lineRule="auto"/>
        <w:rPr>
          <w:sz w:val="20"/>
          <w:szCs w:val="20"/>
          <w:color w:val="auto"/>
        </w:rPr>
      </w:pPr>
      <w:r>
        <w:rPr>
          <w:rFonts w:ascii="Arial" w:cs="Arial" w:eastAsia="Arial" w:hAnsi="Arial"/>
          <w:sz w:val="18"/>
          <w:szCs w:val="18"/>
          <w:color w:val="auto"/>
        </w:rPr>
        <w:t>For additional discussion of our goodwill, indefinite-lived intangible assets and other long-lived assets, including related impairment, see “Goodwill and Related Impairment,” “Indefinite-Lived Intangible Assets and Related Impairment,” and “Other Long-Lived Assets and Related Impairment,” of “Critical Accounting Policies and Estimates,” of Item 7. “Management’s Discussion and Analysis of Financial Condition and Results of Operations,” and “Goodwill and Indefinite-Lived Intangible Assets,” and “Valuation of Other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2">
            <w:col w:w="5580" w:space="40"/>
            <w:col w:w="5800"/>
          </w:cols>
          <w:pgMar w:left="240" w:top="445" w:right="239" w:bottom="1440" w:gutter="0" w:footer="0" w:header="0"/>
          <w:type w:val="continuous"/>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Long-Lived Assets,” of Note 2, “Summary of Significant Accounting Policies,” and Note 6, “Goodwill and Acquired Intangible Assets,” to the consolidated financial statements.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fluctuations in our operating results, which may adversely affect the market price of our common stock.</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industry is risky and unpredictable and is directly affected by many national and international factors beyond our control, including:</w:t>
      </w:r>
    </w:p>
    <w:p>
      <w:pPr>
        <w:spacing w:after="0" w:line="6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terrorism, war or other catastrophes;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 trends in finance and technology;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price levels and volatility in the stock markets;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monetary or tax policy;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perceived attractiveness of the U.S. or European capital markets; and</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inflation.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of these factors could have a material adverse effect on our business, financial condition and operating results by causing a substantial decline in the financial services markets and reducing trading volumes or values.</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since borrowings under our credit facilities bear interest at variable rates, any increase in interest rates on debt that we have not fixed using interest rate hedges will increase our interest expense, reduce our cash flow or increase the cost of future borrowings or refinancings.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is related to personnel costs, regulation and corporate overhead, none of which can be adjusted quickly and some of which cannot be adjusted at all. Our operating expense levels are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credit risk from third parties, including customers, counterparties and clearing agents.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clear or stand as riskless principal to a range of equity-related and fixed-income-related derivative products, commodities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one of our broker-dealer subsidiaries, Execution Access, has a clearing arrangement with Cantor Fitzgerald &amp; Co., or Cantor Fitzgerald. As of December 31, 2017, we have contributed $19 million of clearing deposits to Cantor Fitzgerald in connection with this clearing arrangement. This clearing agreement will end on July 31, 2018, and will be replaced by a clearing agreement with the Industrial and Commercial Bank of China Financial Services LLC, or ICBC. Some of the trading activity in Execution Access is cleared by Cantor Fitzgerald (and similarly will be by ICBC after July 31, 2018) through the Fixed Income Clearing Corporation. Execution Access assumes the counterparty risk of clients that do not clear through the Fixed Income Clearing Corporation. Counterparty risk of clients exists for Execution Access between the trade date and settlement date of the individual transactions, which is at least one business day (or more, if specified by the U.S. Treasury issuance calendar). All of Execution Access’ obligations under the clearing arrangement with Cantor Fitzgerald are guaranteed by Nasdaq.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 Although we believe that the potential for us to be required to make payments under these arrangements is mitigated through the pledged collateral and our risk management policies, no guarantee can be provided that these arrangements will at all times be sufficient.</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credit risk related to transaction and subscription-based revenues that are billed to customers on a monthly or quarterly basis, in arrears.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losses such as those described above could adversely affect our consolidated financial position and results of operations.</w:t>
      </w:r>
    </w:p>
    <w:p>
      <w:pPr>
        <w:spacing w:after="0" w:line="1371"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45" w:right="239" w:bottom="1440" w:gutter="0" w:footer="0" w:header="0"/>
          <w:type w:val="continuous"/>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leverage limits our financial flexibility, increases our exposure to weakening economic conditions and may adversely affect our ability to obtain additional financing.</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indebtedness as of December 31, 2017 was approximately $4.2 billion. We may borrow additional amounts by utilizing available liquidity under our existing credit facilities or issuing short-term, unsecured commercial paper notes through our commercial paper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leverage could:</w:t>
      </w:r>
    </w:p>
    <w:p>
      <w:pPr>
        <w:spacing w:after="0" w:line="117" w:lineRule="exact"/>
        <w:rPr>
          <w:sz w:val="20"/>
          <w:szCs w:val="20"/>
          <w:color w:val="auto"/>
        </w:rPr>
      </w:pPr>
    </w:p>
    <w:p>
      <w:pPr>
        <w:jc w:val="both"/>
        <w:ind w:left="340" w:right="20" w:hanging="332"/>
        <w:spacing w:after="0" w:line="279"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6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exposure to a continued downturn in general economic conditions;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affect our ability to obtain additional financing in the future for refinancing indebtedness, acquisitions, working capital, capital expenditures or other purposes; and</w:t>
      </w:r>
    </w:p>
    <w:p>
      <w:pPr>
        <w:spacing w:after="0" w:line="7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cost of debt and reduce or eliminate our ability to issue commercial paper.</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incur additional indebtedness, grant liens on assets, dispose of assets and pay dividends (although we are permitted to pay cash dividends on our common stock).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risks and other liabilities.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Some of our other liability risks arise under the laws and regulations relating to the tax, employment, intellectual property,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incurred. Although we carry insurance that may limit our risk of damages in some cases, we still may sustain uncovered losses or losses in excess of available insurance that would affect our financial condition and results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self-regulatory obligations and also operate for-profit businesses, and these two roles may create conflicts of interest.</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Although our U.S. cash equity and options exchanges outsource a portion of their market regulation functions to FINRA, we do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Nordic and Baltic exchanges monitor trading and compliance with listing standards in accordance with the European Union’s Market Abuse Regulation and other applicable laws. The prime objective of such monitoring activities is to promote confidence in the exchanges among the general public and to ensure fair and orderly functioning markets. The monitoring functions within the Nasdaq Nordic and Nasdaq Baltic exchanges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protect our intellectual property rights, we rely on a combination of trademark laws, copyright laws, patent laws, trade secret protection, confidentiality agreements and other contractual arrangements with our affiliates, clients, strategic partners, employees and others. However, the efforts we have taken to protect our intellectual property and proprietary rights might not be sufficient, or effective, at stopping unauthorized use of those rights. We may be unable to detect the unauthorized use of, or take appropriate steps to enforce, our intellectual property rights.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registered, or applied to register, our trademarks in the United States and in over 50 foreign jurisdictions and have pending U.S. and foreign applications for other trademarks. We also maintain copyright protection on our branded materials</w:t>
      </w:r>
    </w:p>
    <w:p>
      <w:pPr>
        <w:spacing w:after="0" w:line="1297"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45" w:right="239" w:bottom="1440" w:gutter="0" w:footer="0" w:header="0"/>
          <w:type w:val="continuous"/>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and pursue patent protection for software products, inventions and other processes developed by us. We also hold a number of patents, patent applications and licenses in the United States and other foreign jurisdictions. However, effective trademark, copyright, patent and trade secret protection might not be available or cost-effective in every country in which our services and products are offered. Moreover, changes in patent law, such as changes in the law regarding patentable subject matter, could also impact our ability to obtain patent protection for our innovations. In particular, recent amendments to the U.S. patent law may affect our ability to protect and defend our innovations. There is also a risk that the scope of protection under our patents may not be sufficient in some cases, or that existing patents may be deemed invalid or unenforceable.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15"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24" w:lineRule="exact"/>
        <w:rPr>
          <w:sz w:val="20"/>
          <w:szCs w:val="20"/>
          <w:color w:val="auto"/>
        </w:rPr>
      </w:pPr>
    </w:p>
    <w:p>
      <w:pPr>
        <w:jc w:val="both"/>
        <w:ind w:right="220"/>
        <w:spacing w:after="0" w:line="357" w:lineRule="auto"/>
        <w:rPr>
          <w:sz w:val="20"/>
          <w:szCs w:val="20"/>
          <w:color w:val="auto"/>
        </w:rPr>
      </w:pPr>
      <w:r>
        <w:rPr>
          <w:rFonts w:ascii="Arial" w:cs="Arial" w:eastAsia="Arial" w:hAnsi="Arial"/>
          <w:sz w:val="15"/>
          <w:szCs w:val="15"/>
          <w:b w:val="1"/>
          <w:bCs w:val="1"/>
          <w:i w:val="1"/>
          <w:iCs w:val="1"/>
          <w:color w:val="auto"/>
        </w:rPr>
        <w:t>We rely on third parties to perform certain functions, and our business could be adversely affected if these third parties fail to perform as expected.</w:t>
      </w:r>
    </w:p>
    <w:p>
      <w:pPr>
        <w:jc w:val="both"/>
        <w:ind w:right="200"/>
        <w:spacing w:after="0" w:line="255" w:lineRule="auto"/>
        <w:rPr>
          <w:sz w:val="20"/>
          <w:szCs w:val="20"/>
          <w:color w:val="auto"/>
        </w:rPr>
      </w:pPr>
      <w:r>
        <w:rPr>
          <w:rFonts w:ascii="Arial" w:cs="Arial" w:eastAsia="Arial" w:hAnsi="Arial"/>
          <w:sz w:val="18"/>
          <w:szCs w:val="18"/>
          <w:color w:val="auto"/>
        </w:rPr>
        <w:t>We rely on third parties for regulatory, data center, data storage, data content, clearing and other services. To the extent that any of our vendors or other third-party service providers experiences difficulties, materially changes their business relationship with us or is unable for any reason to perform their obligations, our business or our reputation may be materially adversely affected.</w:t>
      </w:r>
    </w:p>
    <w:p>
      <w:pPr>
        <w:spacing w:after="0" w:line="193"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We also rely on members of our trading community to maintain markets and add liquidity. To the extent that any of our largest members experiences difficulties, materially changes its business relationship with us or is unable for any reason to perform market making activities, our business or our reputation may be materially adversely affected.</w:t>
      </w:r>
    </w:p>
    <w:p>
      <w:pPr>
        <w:spacing w:after="0" w:line="119" w:lineRule="exact"/>
        <w:rPr>
          <w:sz w:val="20"/>
          <w:szCs w:val="20"/>
          <w:color w:val="auto"/>
        </w:rPr>
      </w:pPr>
    </w:p>
    <w:p>
      <w:pPr>
        <w:jc w:val="both"/>
        <w:ind w:right="200"/>
        <w:spacing w:after="0" w:line="327" w:lineRule="auto"/>
        <w:rPr>
          <w:sz w:val="20"/>
          <w:szCs w:val="20"/>
          <w:color w:val="auto"/>
        </w:rPr>
      </w:pPr>
      <w:r>
        <w:rPr>
          <w:rFonts w:ascii="Arial" w:cs="Arial" w:eastAsia="Arial" w:hAnsi="Arial"/>
          <w:sz w:val="15"/>
          <w:szCs w:val="15"/>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As a holding company, we require dividends and other payments from our subsidiaries to meet cash requirements.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Minimum capital requirements mandated by regulatory authorities having jurisdiction over some of our regulated subsidiaries indirectly restrict the amount of dividends paid upstream.</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 current law in certain jurisdictions, could subject us to additional income taxes, less applicable foreign tax credits.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subsidiaries are unable to pay dividends and make other payments to us when needed, we may be unable to satisfy our obligations, which would have a material adverse effect on our business, financial condition and operating results.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Future acquisitions, dispositions, investments, joint ventures and other transactional activities may require significant resources and/or result in significant unanticipated losses, costs or liabilities.</w:t>
      </w:r>
    </w:p>
    <w:p>
      <w:pPr>
        <w:spacing w:after="0" w:line="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past several years, acquisitions have been significant factors in our growth. In addition, we are in the process of divesting certain assets, and we may divest additional businesses or assets in the future. Although we cannot predict our transactional activities with complete accuracy, we believe that additional acquisitions, divestments, investments, joint ventures and other transactional activities will be important to our strategy. Such transactions may be material in size and scope. Many of the other potential purchasers of assets in our industry have greater financial resources than we have. Therefore, we cannot be sure that we will be able to complete future transactions on terms favorable to us.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finance future transactions by issuing additional equity and/or debt. The issuance of additional equity in connection with any such transaction could be substantially dilutive to existing shareholders. In addition, announcement or implementation of future transactions by us or others could have a material effect on the price of our common stock. The issuance of additional debt could increase our leverage substantially. We could face financial risks associated with incurring additional debt, particularly if the debt results in significant incremental leverage. Additional debt may reduce our liquidity, curtail our access to financing markets, impact our standing with credit rating agencies and increase the cash flow required for debt service. Any incremental debt incurred to finance a transaction could also place significant constraints on the operation of our business.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any future transactions could entail a number of additional risks, including:</w:t>
      </w:r>
    </w:p>
    <w:p>
      <w:pPr>
        <w:spacing w:after="0" w:line="6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to maintain key pre-transaction business relationships;</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or provision of, transition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operating costs;</w:t>
      </w:r>
    </w:p>
    <w:p>
      <w:pPr>
        <w:sectPr>
          <w:pgSz w:w="11900" w:h="16838" w:orient="portrait"/>
          <w:cols w:equalWidth="0" w:num="2">
            <w:col w:w="5800" w:space="20"/>
            <w:col w:w="5600"/>
          </w:cols>
          <w:pgMar w:left="240" w:top="445" w:right="239" w:bottom="1440" w:gutter="0" w:footer="0" w:header="0"/>
          <w:type w:val="continuous"/>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our management team from other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1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divesting employees, customers or vendors when divesting businesses or assets;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declines in the value of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regulations or policies could have a material adverse effect on our financial results.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 other corporations, we are subject to taxes at the federal, state and local levels, as well as in non-U.S. jurisdictions. Changes in tax laws, regulations or policies could result in us having to pay higher taxes, which would in turn reduce our net income.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some of our subsidiaries are subject to tax in the jurisdictions in which they are organized or operate. In computing our tax obligation in these jurisdictions, we take various tax positions. We cannot assure you that upon review of these positions the applicable authorities will agree with our positions. A successful challenge by a tax authority could result in additional tax imposed on our subsidiaries.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will be dependent on a number of factors, including prevailing market conditions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non-U.S. business operates in various international markets, including but not limited to Northern Europe, the Baltics, the Middle East, Africa and Asia. Therefore, our non-U.S. operations are subject to the risk inherent in the international environment. Political, economic or social events or developments in one or more of our non-U.S. locations could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adversely affect our operations and financial results. Some locations, such as Lithuania, India and the Philippines, may increase risk. Some of these economies may be subject to greater political, economic and social uncertainties than countries with more developed institutional structures.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Unforeseen or catastrophic events could interrupt our critical business functions. In addition, our U.S. and European businesses are heavily concentrated in particular areas and may be adversely affected by events in those areas.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incur losses as a result of unforeseen or catastrophic events, such as terrorist attacks, natural disasters, extreme weather, fire, power loss, telecommunications failures, human error, theft, sabotage and vandalism. Given our position in the global capital markets, we may be more likely than other companies to be a target of such activities.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our U.S. business operations are heavily concentrated on the East Coast, and our European business operations are heavily concentrated in Stockholm. Any event that affects either of those geographic areas could potentially affect our ability to operate our businesses.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business continuity plans for critical business functions to mitigate the risk of an interruption. However, any interruption in our critical business functions could negatively impact our financial condition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operations in numerous countries, we are exposed to currency risk.</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operations in the U.S., the Nordic and Baltic countries, the U.K., Australia and many other foreign countries. We therefore have significant exposure to exchange rate movements between the Euro, Swedish Krona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changes in local interest rates or other factors. These exchange rate differences will affect the translation of our non-U.S. results of operations and financial condition into U.S. dollars as part of the preparation of our consolidated financial statements and could adversely affect our financial results.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risk management methods are not effective, our business, reputation and financial results may be adversely affected.</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methods to identify, assess, monitor and manage our risks, including oversight of risk management by Nasdaq’s Global Risk Management Committee, which is comprised of senior executives and is responsible for regularly reviewing risks and referring significant risks to the board of directors or specific board committees. However, these methods may not be fully effective. Some of our risk management methods may depend upon subjective evaluation of information regarding markets, customers or other matters. That information may not in all cases be accurate, complete, up-to-date or properly</w:t>
      </w:r>
    </w:p>
    <w:p>
      <w:pPr>
        <w:spacing w:after="0" w:line="20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45" w:right="239" w:bottom="1440" w:gutter="0" w:footer="0" w:header="0"/>
          <w:type w:val="continuous"/>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5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evaluated. If our methods are not effective or we are not successful in monitoring or evaluating the risks to which we are or may be exposed, our business, reputation, financial condition and operating results could be materially adversely affected.</w:t>
      </w:r>
    </w:p>
    <w:p>
      <w:pPr>
        <w:spacing w:after="0" w:line="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Charges to earnings resulting from acquisition, integration and restructuring costs may materially adversely affect the market value of our common stock.</w:t>
      </w:r>
    </w:p>
    <w:p>
      <w:pPr>
        <w:spacing w:after="0" w:line="73" w:lineRule="exact"/>
        <w:rPr>
          <w:sz w:val="20"/>
          <w:szCs w:val="20"/>
          <w:color w:val="auto"/>
        </w:rPr>
      </w:pPr>
    </w:p>
    <w:p>
      <w:pPr>
        <w:jc w:val="both"/>
        <w:ind w:right="200"/>
        <w:spacing w:after="0" w:line="290" w:lineRule="auto"/>
        <w:rPr>
          <w:sz w:val="20"/>
          <w:szCs w:val="20"/>
          <w:color w:val="auto"/>
        </w:rPr>
      </w:pPr>
      <w:r>
        <w:rPr>
          <w:rFonts w:ascii="Arial" w:cs="Arial" w:eastAsia="Arial" w:hAnsi="Arial"/>
          <w:sz w:val="16"/>
          <w:szCs w:val="16"/>
          <w:color w:val="auto"/>
        </w:rPr>
        <w:t>In accordance with U.S. GAAP, we are accounting for the completion of our acquisitions using the acquisition method of accounting. We are allocating the total estimated purchase prices to net tangible assets, amortizable intangible assets and indefinite-lived intangible assets, and based on their fair values as of the date of completion of the acquisitions, recording the excess of the purchase price over those fair values as goodwill. Our financial results, including earnings per share, could be adversely affected by a number of financial adjustments including the following:</w:t>
      </w:r>
    </w:p>
    <w:p>
      <w:pPr>
        <w:spacing w:after="0" w:line="58" w:lineRule="exact"/>
        <w:rPr>
          <w:sz w:val="20"/>
          <w:szCs w:val="20"/>
          <w:color w:val="auto"/>
        </w:rPr>
      </w:pPr>
    </w:p>
    <w:p>
      <w:pPr>
        <w:jc w:val="both"/>
        <w:ind w:left="340" w:right="22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incur additional amortization expense over the estimated useful lives of certain of the intangible assets acquired in connection with acquisitions during such estimated useful lives;</w:t>
      </w:r>
    </w:p>
    <w:p>
      <w:pPr>
        <w:spacing w:after="0" w:line="73" w:lineRule="exact"/>
        <w:rPr>
          <w:rFonts w:ascii="Arial" w:cs="Arial" w:eastAsia="Arial" w:hAnsi="Arial"/>
          <w:sz w:val="18"/>
          <w:szCs w:val="18"/>
          <w:color w:val="auto"/>
        </w:rPr>
      </w:pPr>
    </w:p>
    <w:p>
      <w:pPr>
        <w:jc w:val="both"/>
        <w:ind w:left="340" w:right="20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additional depreciation expense as a result of recording acquired tangible assets at fair value, in accordance with U.S. GAAP, as compared to book value as recorded;</w:t>
      </w:r>
    </w:p>
    <w:p>
      <w:pPr>
        <w:spacing w:after="0" w:line="73" w:lineRule="exact"/>
        <w:rPr>
          <w:rFonts w:ascii="Arial" w:cs="Arial" w:eastAsia="Arial" w:hAnsi="Arial"/>
          <w:sz w:val="18"/>
          <w:szCs w:val="18"/>
          <w:color w:val="auto"/>
        </w:rPr>
      </w:pPr>
    </w:p>
    <w:p>
      <w:pPr>
        <w:jc w:val="both"/>
        <w:ind w:left="340" w:right="22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the value of goodwill or intangible assets becomes impaired, we may be required to incur material charges relating to the impairment of those assets;</w:t>
      </w:r>
    </w:p>
    <w:p>
      <w:pPr>
        <w:spacing w:after="0" w:line="73" w:lineRule="exact"/>
        <w:rPr>
          <w:rFonts w:ascii="Arial" w:cs="Arial" w:eastAsia="Arial" w:hAnsi="Arial"/>
          <w:sz w:val="18"/>
          <w:szCs w:val="18"/>
          <w:color w:val="auto"/>
        </w:rPr>
      </w:pPr>
    </w:p>
    <w:p>
      <w:pPr>
        <w:jc w:val="both"/>
        <w:ind w:left="340" w:right="200" w:hanging="332"/>
        <w:spacing w:after="0" w:line="279"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incur additional costs from integrating our acquisitions. The success of our acquisitions depends, in part, on our ability to integrate these businesses into our existing operations and realize anticipated cost savings, revenue synergies and growth opportunities; and</w:t>
      </w:r>
    </w:p>
    <w:p>
      <w:pPr>
        <w:spacing w:after="0" w:line="63" w:lineRule="exact"/>
        <w:rPr>
          <w:rFonts w:ascii="Arial" w:cs="Arial" w:eastAsia="Arial" w:hAnsi="Arial"/>
          <w:sz w:val="17"/>
          <w:szCs w:val="17"/>
          <w:color w:val="auto"/>
        </w:rPr>
      </w:pPr>
    </w:p>
    <w:p>
      <w:pPr>
        <w:ind w:left="340" w:right="2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incur restructuring costs in connection with the reorganization of any of our businesses.</w:t>
      </w:r>
    </w:p>
    <w:p>
      <w:pPr>
        <w:spacing w:after="0" w:line="1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Decisions to declare future dividends on our common stock will be at the discretion of our board of directors based upon a review of relevant considerations. Accordingly, there can be no guarantee that we will pay future dividends to our stockholders.</w:t>
      </w:r>
    </w:p>
    <w:p>
      <w:pPr>
        <w:spacing w:after="0" w:line="52"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Since 2013, our board of directors has declared quarterly cash dividend payments on our outstanding common stock. Future declarations of quarterly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 Accordingly, there can be no guarantee that we will pay future dividends to our stockholders.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Provisions of our certificate of incorporation, by-laws, exchange rules (including provisions included to address SEC concerns) and governing law restrict the ownership and voting of our common stock. In addition, such provisions could delay or prevent a change in control of us and entrench current management.</w:t>
      </w:r>
    </w:p>
    <w:p>
      <w:pPr>
        <w:spacing w:after="0" w:line="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response to the SEC’s concern about a concentration of our ownership, the rules of some of our exchange subsidiaries include a prohibition on any member or any person associated with a member of the exchange from beneficially owning more than 20% of our outstanding voting interests. SEC consent would be required before any investor could obtain more than a 20% voting interest in us. The rules of some of our exchange subsidiaries also require the SEC’s approval of any business ventures with exchange members, subject to exceptions.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and by-laws:</w:t>
      </w:r>
    </w:p>
    <w:p>
      <w:pPr>
        <w:spacing w:after="0" w:line="11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 and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which could be issued by our board of directors without stockholder approval.</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many of the European countries where we operate regulated entities require prior governmental approval before an investor acquires 10% or greater of our common stock.</w:t>
      </w:r>
    </w:p>
    <w:p>
      <w:pPr>
        <w:sectPr>
          <w:pgSz w:w="11900" w:h="16838" w:orient="portrait"/>
          <w:cols w:equalWidth="0" w:num="2">
            <w:col w:w="5800" w:space="20"/>
            <w:col w:w="5600"/>
          </w:cols>
          <w:pgMar w:left="240" w:top="445"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principal properties.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right"/>
              <w:ind w:right="893"/>
              <w:spacing w:after="0"/>
              <w:rPr>
                <w:sz w:val="20"/>
                <w:szCs w:val="20"/>
                <w:color w:val="auto"/>
              </w:rPr>
            </w:pPr>
            <w:r>
              <w:rPr>
                <w:rFonts w:ascii="Arial" w:cs="Arial" w:eastAsia="Arial" w:hAnsi="Arial"/>
                <w:sz w:val="14"/>
                <w:szCs w:val="14"/>
                <w:b w:val="1"/>
                <w:bCs w:val="1"/>
                <w:color w:val="auto"/>
              </w:rPr>
              <w:t>Size</w:t>
            </w: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right"/>
              <w:ind w:right="593"/>
              <w:spacing w:after="0" w:line="149" w:lineRule="exact"/>
              <w:rPr>
                <w:sz w:val="20"/>
                <w:szCs w:val="20"/>
                <w:color w:val="auto"/>
              </w:rPr>
            </w:pPr>
            <w:r>
              <w:rPr>
                <w:rFonts w:ascii="Arial" w:cs="Arial" w:eastAsia="Arial" w:hAnsi="Arial"/>
                <w:sz w:val="14"/>
                <w:szCs w:val="14"/>
                <w:b w:val="1"/>
                <w:bCs w:val="1"/>
                <w:color w:val="auto"/>
              </w:rPr>
              <w:t>(approximate,</w:t>
            </w:r>
          </w:p>
        </w:tc>
      </w:tr>
      <w:tr>
        <w:trPr>
          <w:trHeight w:val="219"/>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9"/>
                <w:szCs w:val="19"/>
                <w:color w:val="auto"/>
              </w:rPr>
            </w:pPr>
          </w:p>
        </w:tc>
        <w:tc>
          <w:tcPr>
            <w:tcW w:w="446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Use</w:t>
            </w:r>
          </w:p>
        </w:tc>
        <w:tc>
          <w:tcPr>
            <w:tcW w:w="120" w:type="dxa"/>
            <w:vAlign w:val="bottom"/>
          </w:tcPr>
          <w:p>
            <w:pPr>
              <w:spacing w:after="0"/>
              <w:rPr>
                <w:sz w:val="19"/>
                <w:szCs w:val="19"/>
                <w:color w:val="auto"/>
              </w:rPr>
            </w:pPr>
          </w:p>
        </w:tc>
        <w:tc>
          <w:tcPr>
            <w:tcW w:w="2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in square feet)</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Stockholm, Sweden</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European headquarters</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294,000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New York, New York</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U.S. headquarters</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113,000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Philadelphia, Pennsylvania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75,000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68,000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New York, New York</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64,000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Bengaluru, India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63,000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New York, New York</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53,000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Vilnius, Lithuania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51,000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Rockville, Maryland</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48,000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Manila, Philippines</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36,000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London, England</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31,000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Shelton, Connecticut</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29,000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Sydney, Australia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29,000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Toronto, Canada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27,000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Philadelphia, Pennsylvania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26,000</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New York, New York</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Location of MarketSite</w:t>
            </w:r>
          </w:p>
        </w:tc>
        <w:tc>
          <w:tcPr>
            <w:tcW w:w="2260" w:type="dxa"/>
            <w:vAlign w:val="bottom"/>
          </w:tcPr>
          <w:p>
            <w:pPr>
              <w:jc w:val="right"/>
              <w:ind w:right="133"/>
              <w:spacing w:after="0"/>
              <w:rPr>
                <w:sz w:val="20"/>
                <w:szCs w:val="20"/>
                <w:color w:val="auto"/>
              </w:rPr>
            </w:pPr>
            <w:r>
              <w:rPr>
                <w:rFonts w:ascii="Arial" w:cs="Arial" w:eastAsia="Arial" w:hAnsi="Arial"/>
                <w:sz w:val="18"/>
                <w:szCs w:val="18"/>
                <w:color w:val="auto"/>
              </w:rPr>
              <w:t>25,000</w:t>
            </w: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Outside the U.S., we also maintain leased locations in Belgium, China, Denmark, Estonia, Finland, France, Germany, Hong Kong, Iceland, Italy, Japan, Latvia, Netherlands, Norway, Singapore, South Korea, Spain, Turkey, Ukraine and the United Arab Emirates. In some countries, we maintain multiple locations.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Within the U.S., we also maintain leased locations in California, Colorado, Illinois, Massachusetts, Missouri, New Jersey, Oregon, Texas, Virginia and Washington, DC. In some states, we maintain multiple locations.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“Legal and Regulatory Matters,” of Note 19, “Commitments, Contingencies and Guarantees,” to the consolidated financial statements, which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has been listed on The Nasdaq Stock Market since February 10, 2005, under the ticker symbol “NDAQ.”</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chart lists the quarterly high and low sales prices for shares of our common stock for fiscal years 2017 and 2016. These prices are between dealers and do not include retail markups, markdowns or other fees and commissions and may not represent actual transactions.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High</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Low</w:t>
            </w: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i w:val="1"/>
                <w:iCs w:val="1"/>
                <w:color w:val="auto"/>
              </w:rPr>
              <w:t>Fiscal 2017</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68"/>
        </w:trPr>
        <w:tc>
          <w:tcPr>
            <w:tcW w:w="2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50"/>
        </w:trPr>
        <w:tc>
          <w:tcPr>
            <w:tcW w:w="2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r>
      <w:tr>
        <w:trPr>
          <w:trHeight w:val="243"/>
        </w:trPr>
        <w:tc>
          <w:tcPr>
            <w:tcW w:w="20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70.36</w:t>
            </w:r>
          </w:p>
        </w:tc>
      </w:tr>
      <w:tr>
        <w:trPr>
          <w:trHeight w:val="27"/>
        </w:trPr>
        <w:tc>
          <w:tcPr>
            <w:tcW w:w="2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r>
      <w:tr>
        <w:trPr>
          <w:trHeight w:val="243"/>
        </w:trPr>
        <w:tc>
          <w:tcPr>
            <w:tcW w:w="208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65.37</w:t>
            </w:r>
          </w:p>
        </w:tc>
      </w:tr>
      <w:tr>
        <w:trPr>
          <w:trHeight w:val="27"/>
        </w:trPr>
        <w:tc>
          <w:tcPr>
            <w:tcW w:w="2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Fiscal 2016</w:t>
            </w:r>
          </w:p>
        </w:tc>
        <w:tc>
          <w:tcPr>
            <w:tcW w:w="1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r>
      <w:tr>
        <w:trPr>
          <w:trHeight w:val="243"/>
        </w:trPr>
        <w:tc>
          <w:tcPr>
            <w:tcW w:w="208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63.23</w:t>
            </w:r>
          </w:p>
        </w:tc>
      </w:tr>
      <w:tr>
        <w:trPr>
          <w:trHeight w:val="27"/>
        </w:trPr>
        <w:tc>
          <w:tcPr>
            <w:tcW w:w="2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r>
      <w:tr>
        <w:trPr>
          <w:trHeight w:val="243"/>
        </w:trPr>
        <w:tc>
          <w:tcPr>
            <w:tcW w:w="208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60.84</w:t>
            </w:r>
          </w:p>
        </w:tc>
      </w:tr>
      <w:tr>
        <w:trPr>
          <w:trHeight w:val="27"/>
        </w:trPr>
        <w:tc>
          <w:tcPr>
            <w:tcW w:w="2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r>
      <w:tr>
        <w:trPr>
          <w:trHeight w:val="27"/>
        </w:trPr>
        <w:tc>
          <w:tcPr>
            <w:tcW w:w="20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45" w:right="239" w:bottom="1440" w:gutter="0" w:footer="0" w:header="0"/>
          <w:type w:val="continuous"/>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21, 2018, we had approximately 276 holders of record of our common stock. As of February 21, 2018, the closing price of our common stock was $79.12.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on Common Stock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quarterly cash dividends declared per common share on our outstanding common stock: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9"/>
              </w:rPr>
              <w:t>December 31,</w:t>
            </w:r>
          </w:p>
        </w:tc>
        <w:tc>
          <w:tcPr>
            <w:tcW w:w="780" w:type="dxa"/>
            <w:vAlign w:val="bottom"/>
            <w:tcBorders>
              <w:bottom w:val="single" w:sz="8" w:color="auto"/>
            </w:tcBorders>
          </w:tcPr>
          <w:p>
            <w:pPr>
              <w:spacing w:after="0"/>
              <w:rPr>
                <w:sz w:val="15"/>
                <w:szCs w:val="15"/>
                <w:color w:val="auto"/>
              </w:rPr>
            </w:pPr>
          </w:p>
        </w:tc>
      </w:tr>
      <w:tr>
        <w:trPr>
          <w:trHeight w:val="264"/>
        </w:trPr>
        <w:tc>
          <w:tcPr>
            <w:tcW w:w="19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2016</w:t>
            </w: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0.32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0.38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
        </w:trPr>
        <w:tc>
          <w:tcPr>
            <w:tcW w:w="1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0.38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0.38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
        </w:trPr>
        <w:tc>
          <w:tcPr>
            <w:tcW w:w="19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1.46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“Share Repurchase Program,” of Note 14, “Nasdaq Stockholders’ Equity,” to the consolidated financial statements for further discussion of our share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Transactions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quarter ended December 31, 2017, we purchased shares from employees in connection with the settlement of employee tax withholding obligations arising from the vesting of restricted stock and PSUs.</w:t>
      </w:r>
    </w:p>
    <w:p>
      <w:pPr>
        <w:spacing w:after="0" w:line="1078"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tabs>
          <w:tab w:leader="none" w:pos="400" w:val="left"/>
          <w:tab w:leader="none" w:pos="1000" w:val="left"/>
          <w:tab w:leader="none" w:pos="1900" w:val="left"/>
          <w:tab w:leader="none" w:pos="2240" w:val="left"/>
          <w:tab w:leader="none" w:pos="3060" w:val="left"/>
          <w:tab w:leader="none" w:pos="3760" w:val="left"/>
          <w:tab w:leader="none" w:pos="4060" w:val="left"/>
          <w:tab w:leader="none" w:pos="4580" w:val="left"/>
          <w:tab w:leader="none" w:pos="4960" w:val="left"/>
        </w:tabs>
        <w:rPr>
          <w:sz w:val="20"/>
          <w:szCs w:val="20"/>
          <w:color w:val="auto"/>
        </w:rPr>
      </w:pPr>
      <w:r>
        <w:rPr>
          <w:rFonts w:ascii="Arial" w:cs="Arial" w:eastAsia="Arial" w:hAnsi="Arial"/>
          <w:sz w:val="18"/>
          <w:szCs w:val="18"/>
          <w:color w:val="auto"/>
        </w:rPr>
        <w:t>See</w:t>
        <w:tab/>
        <w:t>“Cash</w:t>
        <w:tab/>
        <w:t>Dividends</w:t>
        <w:tab/>
        <w:t>on</w:t>
        <w:tab/>
        <w:t>Common</w:t>
        <w:tab/>
        <w:t>Stock,”</w:t>
        <w:tab/>
        <w:t>of</w:t>
        <w:tab/>
        <w:t>Note</w:t>
        <w:tab/>
        <w:t>14,</w:t>
      </w:r>
      <w:r>
        <w:rPr>
          <w:sz w:val="20"/>
          <w:szCs w:val="20"/>
          <w:color w:val="auto"/>
        </w:rPr>
        <w:tab/>
      </w:r>
      <w:r>
        <w:rPr>
          <w:rFonts w:ascii="Arial" w:cs="Arial" w:eastAsia="Arial" w:hAnsi="Arial"/>
          <w:sz w:val="16"/>
          <w:szCs w:val="16"/>
          <w:color w:val="auto"/>
        </w:rPr>
        <w:t>“Nasdaq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to the consolidated financial statements for further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discussion of the dividends.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represents repurchases made by or on behalf of us or any “affiliated purchaser” of our common stock during the fiscal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 Total Number of</w:t>
            </w:r>
          </w:p>
        </w:tc>
        <w:tc>
          <w:tcPr>
            <w:tcW w:w="140" w:type="dxa"/>
            <w:vAlign w:val="bottom"/>
          </w:tcPr>
          <w:p>
            <w:pPr>
              <w:spacing w:after="0"/>
              <w:rPr>
                <w:sz w:val="13"/>
                <w:szCs w:val="13"/>
                <w:color w:val="auto"/>
              </w:rPr>
            </w:pPr>
          </w:p>
        </w:tc>
        <w:tc>
          <w:tcPr>
            <w:tcW w:w="156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(d) Maximum Dollar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 May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 Total Number of Shares</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(b) Average Price Paid Per</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 as Part</w:t>
            </w: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Yet Be Purchased Under</w:t>
            </w:r>
          </w:p>
        </w:tc>
        <w:tc>
          <w:tcPr>
            <w:tcW w:w="0" w:type="dxa"/>
            <w:vAlign w:val="bottom"/>
          </w:tcPr>
          <w:p>
            <w:pPr>
              <w:spacing w:after="0"/>
              <w:rPr>
                <w:sz w:val="1"/>
                <w:szCs w:val="1"/>
                <w:color w:val="auto"/>
              </w:rPr>
            </w:pPr>
          </w:p>
        </w:tc>
      </w:tr>
      <w:tr>
        <w:trPr>
          <w:trHeight w:val="149"/>
        </w:trPr>
        <w:tc>
          <w:tcPr>
            <w:tcW w:w="41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Publicly Announced</w:t>
            </w:r>
          </w:p>
        </w:tc>
        <w:tc>
          <w:tcPr>
            <w:tcW w:w="140" w:type="dxa"/>
            <w:vAlign w:val="bottom"/>
          </w:tcPr>
          <w:p>
            <w:pPr>
              <w:spacing w:after="0"/>
              <w:rPr>
                <w:sz w:val="12"/>
                <w:szCs w:val="12"/>
                <w:color w:val="auto"/>
              </w:rPr>
            </w:pPr>
          </w:p>
        </w:tc>
        <w:tc>
          <w:tcPr>
            <w:tcW w:w="15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9"/>
        </w:trPr>
        <w:tc>
          <w:tcPr>
            <w:tcW w:w="4240" w:type="dxa"/>
            <w:vAlign w:val="bottom"/>
            <w:gridSpan w:val="7"/>
          </w:tcPr>
          <w:p>
            <w:pPr>
              <w:ind w:left="40"/>
              <w:spacing w:after="0"/>
              <w:rPr>
                <w:sz w:val="20"/>
                <w:szCs w:val="20"/>
                <w:color w:val="auto"/>
              </w:rPr>
            </w:pPr>
            <w:r>
              <w:rPr>
                <w:rFonts w:ascii="Arial" w:cs="Arial" w:eastAsia="Arial" w:hAnsi="Arial"/>
                <w:sz w:val="18"/>
                <w:szCs w:val="18"/>
                <w:b w:val="1"/>
                <w:bCs w:val="1"/>
                <w:color w:val="auto"/>
              </w:rPr>
              <w:t>October 2017</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377,516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377,516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240" w:type="dxa"/>
            <w:vAlign w:val="bottom"/>
            <w:gridSpan w:val="7"/>
          </w:tcPr>
          <w:p>
            <w:pPr>
              <w:ind w:left="40"/>
              <w:spacing w:after="0"/>
              <w:rPr>
                <w:sz w:val="20"/>
                <w:szCs w:val="20"/>
                <w:color w:val="auto"/>
              </w:rPr>
            </w:pPr>
            <w:r>
              <w:rPr>
                <w:rFonts w:ascii="Arial" w:cs="Arial" w:eastAsia="Arial" w:hAnsi="Arial"/>
                <w:sz w:val="18"/>
                <w:szCs w:val="18"/>
                <w:color w:val="auto"/>
              </w:rPr>
              <w:t>Employee transactions</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21"/>
                <w:szCs w:val="21"/>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November 2017</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4240" w:type="dxa"/>
            <w:vAlign w:val="bottom"/>
            <w:gridSpan w:val="7"/>
          </w:tcPr>
          <w:p>
            <w:pPr>
              <w:ind w:left="40"/>
              <w:spacing w:after="0"/>
              <w:rPr>
                <w:sz w:val="20"/>
                <w:szCs w:val="20"/>
                <w:color w:val="auto"/>
              </w:rPr>
            </w:pPr>
            <w:r>
              <w:rPr>
                <w:rFonts w:ascii="Arial" w:cs="Arial" w:eastAsia="Arial" w:hAnsi="Arial"/>
                <w:sz w:val="18"/>
                <w:szCs w:val="18"/>
                <w:color w:val="auto"/>
              </w:rPr>
              <w:t>Employee transactions</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1"/>
                <w:szCs w:val="21"/>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December 2017</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4240" w:type="dxa"/>
            <w:vAlign w:val="bottom"/>
            <w:gridSpan w:val="7"/>
          </w:tcPr>
          <w:p>
            <w:pPr>
              <w:ind w:left="40"/>
              <w:spacing w:after="0"/>
              <w:rPr>
                <w:sz w:val="20"/>
                <w:szCs w:val="20"/>
                <w:color w:val="auto"/>
              </w:rPr>
            </w:pPr>
            <w:r>
              <w:rPr>
                <w:rFonts w:ascii="Arial" w:cs="Arial" w:eastAsia="Arial" w:hAnsi="Arial"/>
                <w:sz w:val="18"/>
                <w:szCs w:val="18"/>
                <w:color w:val="auto"/>
              </w:rPr>
              <w:t>Employee transactions</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70,763</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78.69</w:t>
            </w:r>
          </w:p>
        </w:tc>
        <w:tc>
          <w:tcPr>
            <w:tcW w:w="100" w:type="dxa"/>
            <w:vAlign w:val="bottom"/>
          </w:tcPr>
          <w:p>
            <w:pPr>
              <w:spacing w:after="0"/>
              <w:rPr>
                <w:sz w:val="21"/>
                <w:szCs w:val="21"/>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Total Quarter Ended December 31, 2017</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388,348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74.15</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388,348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240" w:type="dxa"/>
            <w:vAlign w:val="bottom"/>
            <w:gridSpan w:val="7"/>
            <w:vMerge w:val="restart"/>
          </w:tcPr>
          <w:p>
            <w:pPr>
              <w:ind w:left="40"/>
              <w:spacing w:after="0"/>
              <w:rPr>
                <w:sz w:val="20"/>
                <w:szCs w:val="20"/>
                <w:color w:val="auto"/>
              </w:rPr>
            </w:pPr>
            <w:r>
              <w:rPr>
                <w:rFonts w:ascii="Arial" w:cs="Arial" w:eastAsia="Arial" w:hAnsi="Arial"/>
                <w:sz w:val="18"/>
                <w:szCs w:val="18"/>
                <w:color w:val="auto"/>
              </w:rPr>
              <w:t>Employee transactions</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gridSpan w:val="7"/>
            <w:vMerge w:val="continue"/>
          </w:tcPr>
          <w:p>
            <w:pPr>
              <w:spacing w:after="0"/>
              <w:rPr>
                <w:sz w:val="20"/>
                <w:szCs w:val="20"/>
                <w:color w:val="auto"/>
              </w:rPr>
            </w:pP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72,917</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graph compares the total return of our common stock to the Nasdaq Composite Stock Index, the S&amp;P 500 and a selected peer group for the past five years. The peer group includes ASX Limited, CBOE, CME Group Inc., Deutsche Börse A.G., ICE, LSE, and TMX Group Limited. Information for the indices and the peer group is provided from December 31, 2012 through December 31, 2017. The figures represented below assume an initial investment of $100 in the common stock or index at the closing price on December 31, 2012 and the reinvestment of all dividends.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25400</wp:posOffset>
            </wp:positionV>
            <wp:extent cx="5866130" cy="3636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6130"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*$100 invested on 12/31/12 in stock or index, including reinvestment of dividends.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334.72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242.29</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208.14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Peer Group</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287.34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Copyright© 2018 Standard &amp; Poor’s, a division of S&amp;P Global. All rights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5"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selected financial data on a historical basis for Nasdaq. The following information should be read in conjunction with the consolidated financial statements and notes thereto of Nasdaq included elsewhere in this Form 10-K. We completed several acquisitions during the years ended December 31, 2017, 2016, 2015 and 2013 and included the financial results of such acquisitions in our consolidated financial statements from the respective acquisition dates.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79" w:lineRule="exact"/>
        <w:rPr>
          <w:sz w:val="20"/>
          <w:szCs w:val="20"/>
          <w:color w:val="auto"/>
        </w:rPr>
      </w:pPr>
    </w:p>
    <w:p>
      <w:pPr>
        <w:ind w:left="70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19685</wp:posOffset>
            </wp:positionV>
            <wp:extent cx="4631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2013</w:t>
            </w:r>
          </w:p>
        </w:tc>
      </w:tr>
      <w:tr>
        <w:trPr>
          <w:trHeight w:val="276"/>
        </w:trPr>
        <w:tc>
          <w:tcPr>
            <w:tcW w:w="34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20" w:type="dxa"/>
            <w:vAlign w:val="bottom"/>
            <w:gridSpan w:val="8"/>
          </w:tcPr>
          <w:p>
            <w:pPr>
              <w:ind w:left="520"/>
              <w:spacing w:after="0"/>
              <w:rPr>
                <w:sz w:val="20"/>
                <w:szCs w:val="20"/>
                <w:color w:val="auto"/>
              </w:rPr>
            </w:pPr>
            <w:r>
              <w:rPr>
                <w:rFonts w:ascii="Arial" w:cs="Arial" w:eastAsia="Arial" w:hAnsi="Arial"/>
                <w:sz w:val="13"/>
                <w:szCs w:val="13"/>
                <w:b w:val="1"/>
                <w:bCs w:val="1"/>
                <w:color w:val="auto"/>
              </w:rPr>
              <w:t>(in millions, except share and per share amounts)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5"/>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Income Data:</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3,211</w:t>
            </w: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Transaction-based expenses</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1,895</w:t>
            </w: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w:t>
            </w: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688</w:t>
            </w: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Nasdaq</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r>
      <w:tr>
        <w:trPr>
          <w:trHeight w:val="270"/>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Per share information:</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40" w:type="dxa"/>
            <w:vAlign w:val="bottom"/>
            <w:tcBorders>
              <w:bottom w:val="single" w:sz="8" w:color="CCEEFF"/>
            </w:tcBorders>
            <w:shd w:val="clear" w:color="auto" w:fill="CCEEFF"/>
          </w:tcPr>
          <w:p>
            <w:pPr>
              <w:spacing w:after="0"/>
              <w:rPr>
                <w:sz w:val="23"/>
                <w:szCs w:val="23"/>
                <w:color w:val="auto"/>
              </w:rPr>
            </w:pPr>
          </w:p>
        </w:tc>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r>
      <w:tr>
        <w:trPr>
          <w:trHeight w:val="237"/>
        </w:trPr>
        <w:tc>
          <w:tcPr>
            <w:tcW w:w="340" w:type="dxa"/>
            <w:vAlign w:val="bottom"/>
          </w:tcPr>
          <w:p>
            <w:pPr>
              <w:spacing w:after="0"/>
              <w:rPr>
                <w:sz w:val="20"/>
                <w:szCs w:val="20"/>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w:t>
            </w:r>
          </w:p>
        </w:tc>
      </w:tr>
      <w:tr>
        <w:trPr>
          <w:trHeight w:val="27"/>
        </w:trPr>
        <w:tc>
          <w:tcPr>
            <w:tcW w:w="3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4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0.52</w:t>
            </w:r>
          </w:p>
        </w:tc>
      </w:tr>
      <w:tr>
        <w:trPr>
          <w:trHeight w:val="20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Weighted-average common shares outstanding for</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140" w:type="dxa"/>
            <w:vAlign w:val="bottom"/>
            <w:gridSpan w:val="3"/>
          </w:tcPr>
          <w:p>
            <w:pPr>
              <w:ind w:left="20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166,364,299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165,182,290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5"/>
              </w:rPr>
              <w:t>167,285,450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168,926,733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166,932,103</w:t>
            </w:r>
          </w:p>
        </w:tc>
      </w:tr>
      <w:tr>
        <w:trPr>
          <w:trHeight w:val="243"/>
        </w:trPr>
        <w:tc>
          <w:tcPr>
            <w:tcW w:w="340" w:type="dxa"/>
            <w:vAlign w:val="bottom"/>
          </w:tcPr>
          <w:p>
            <w:pPr>
              <w:spacing w:after="0"/>
              <w:rPr>
                <w:sz w:val="21"/>
                <w:szCs w:val="21"/>
                <w:color w:val="auto"/>
              </w:rPr>
            </w:pPr>
          </w:p>
        </w:tc>
        <w:tc>
          <w:tcPr>
            <w:tcW w:w="380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w w:val="93"/>
              </w:rPr>
              <w:t>169,585,031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168,800,997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w w:val="95"/>
              </w:rPr>
              <w:t>171,283,271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w w:val="97"/>
              </w:rPr>
              <w:t>173,018,849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w w:val="99"/>
              </w:rPr>
              <w:t>171,266,146</w:t>
            </w:r>
          </w:p>
        </w:tc>
      </w:tr>
      <w:tr>
        <w:trPr>
          <w:trHeight w:val="507"/>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December 31,</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77"/>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2015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2013</w:t>
            </w:r>
          </w:p>
        </w:tc>
      </w:tr>
      <w:tr>
        <w:trPr>
          <w:trHeight w:val="173"/>
        </w:trPr>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 millions)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11"/>
        </w:trPr>
        <w:tc>
          <w:tcPr>
            <w:tcW w:w="340" w:type="dxa"/>
            <w:vAlign w:val="bottom"/>
          </w:tcPr>
          <w:p>
            <w:pPr>
              <w:spacing w:after="0"/>
              <w:rPr>
                <w:sz w:val="9"/>
                <w:szCs w:val="9"/>
                <w:color w:val="auto"/>
              </w:rPr>
            </w:pPr>
          </w:p>
        </w:tc>
        <w:tc>
          <w:tcPr>
            <w:tcW w:w="38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77"/>
        </w:trPr>
        <w:tc>
          <w:tcPr>
            <w:tcW w:w="340" w:type="dxa"/>
            <w:vAlign w:val="bottom"/>
          </w:tcPr>
          <w:p>
            <w:pPr>
              <w:spacing w:after="0"/>
              <w:rPr>
                <w:sz w:val="24"/>
                <w:szCs w:val="24"/>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 Data:</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w w:val="88"/>
              </w:rPr>
              <w:t>Cash and cash equivalents and financial investments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587</w:t>
            </w:r>
          </w:p>
        </w:tc>
      </w:tr>
      <w:tr>
        <w:trPr>
          <w:trHeight w:val="27"/>
        </w:trPr>
        <w:tc>
          <w:tcPr>
            <w:tcW w:w="340" w:type="dxa"/>
            <w:vAlign w:val="bottom"/>
          </w:tcPr>
          <w:p>
            <w:pPr>
              <w:spacing w:after="0"/>
              <w:rPr>
                <w:sz w:val="2"/>
                <w:szCs w:val="2"/>
                <w:color w:val="auto"/>
              </w:rPr>
            </w:pPr>
          </w:p>
        </w:tc>
        <w:tc>
          <w:tcPr>
            <w:tcW w:w="3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15,786</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12,563</w:t>
            </w:r>
          </w:p>
        </w:tc>
      </w:tr>
      <w:tr>
        <w:trPr>
          <w:trHeight w:val="243"/>
        </w:trPr>
        <w:tc>
          <w:tcPr>
            <w:tcW w:w="340" w:type="dxa"/>
            <w:vAlign w:val="bottom"/>
          </w:tcPr>
          <w:p>
            <w:pPr>
              <w:spacing w:after="0"/>
              <w:rPr>
                <w:sz w:val="21"/>
                <w:szCs w:val="21"/>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4,637</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3,579</w:t>
            </w:r>
          </w:p>
        </w:tc>
      </w:tr>
      <w:tr>
        <w:trPr>
          <w:trHeight w:val="27"/>
        </w:trPr>
        <w:tc>
          <w:tcPr>
            <w:tcW w:w="340" w:type="dxa"/>
            <w:vAlign w:val="bottom"/>
          </w:tcPr>
          <w:p>
            <w:pPr>
              <w:spacing w:after="0"/>
              <w:rPr>
                <w:sz w:val="2"/>
                <w:szCs w:val="2"/>
                <w:color w:val="auto"/>
              </w:rPr>
            </w:pPr>
          </w:p>
        </w:tc>
        <w:tc>
          <w:tcPr>
            <w:tcW w:w="3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Nasdaq stockholders' equity</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5,887</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6,184</w:t>
            </w:r>
          </w:p>
        </w:tc>
      </w:tr>
      <w:tr>
        <w:trPr>
          <w:trHeight w:val="27"/>
        </w:trPr>
        <w:tc>
          <w:tcPr>
            <w:tcW w:w="340" w:type="dxa"/>
            <w:vAlign w:val="bottom"/>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assets increased $1.6 billion as of December 31, 2017 compared with December 31, 2016 primarily due to an increase in default funds and margin deposits (with a corresponding increase in current liabilities), reflecting an increase in cash margin deposits pledged by members of our Nasdaq Clearing business due to an increase in clearing volume. Also contributing to the increase is an increase in goodwill and intangible assets associated with our 2017 acquisitions, partially offset by a decrease in deferred tax assets primarily due to the impact of the Tax Cuts and Jobs Act. See Note 11, “Income Taxes,” to the consolidated financial statements for further discussion. Total assets increased $2.3 billion as of December 31, 2016 compared with December 31, 2015 primarily due to an increase in default funds and margin deposits (with a corresponding increase in current liabilities) as new regulatory rules in 2016 required all collateral pledged by members of our Nasdaq Clearing business to be recorded on the balance sheet. Also contributing to the increase was an increase in goodwill and intangible assets associated with our 2016 acquisitions, partially offset by a pre-tax, non-cash intangible asset impairment charge of $578 million to write off the full value of a trade name.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5" w:right="23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the financial condition and results of operations of Nasdaq should be read in conjunction with our consolidated financial statements and related notes included in this Form 10-K, as well as the discussion under “Item 1A. Risk Factors.”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332" w:right="20" w:hanging="332"/>
        <w:spacing w:after="0" w:line="277"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acceptance of cloud-based services and advanced analytics by our customers and global regulators;</w:t>
      </w:r>
    </w:p>
    <w:p>
      <w:pPr>
        <w:spacing w:after="0" w:line="62" w:lineRule="exact"/>
        <w:rPr>
          <w:rFonts w:ascii="Arial" w:cs="Arial" w:eastAsia="Arial" w:hAnsi="Arial"/>
          <w:sz w:val="18"/>
          <w:szCs w:val="18"/>
          <w:color w:val="auto"/>
        </w:rPr>
      </w:pPr>
    </w:p>
    <w:p>
      <w:pPr>
        <w:ind w:left="332" w:right="20" w:hanging="332"/>
        <w:spacing w:after="0" w:line="342" w:lineRule="auto"/>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trading volumes and values in equity derivative, cash equity and FICC, which are driven primarily by overall macroeconomic conditions;</w:t>
      </w:r>
    </w:p>
    <w:p>
      <w:pPr>
        <w:spacing w:after="0" w:line="15" w:lineRule="exact"/>
        <w:rPr>
          <w:rFonts w:ascii="Arial" w:cs="Arial" w:eastAsia="Arial" w:hAnsi="Arial"/>
          <w:sz w:val="16"/>
          <w:szCs w:val="16"/>
          <w:color w:val="auto"/>
        </w:rPr>
      </w:pPr>
    </w:p>
    <w:p>
      <w:pPr>
        <w:jc w:val="both"/>
        <w:ind w:left="332" w:hanging="332"/>
        <w:spacing w:after="0" w:line="291" w:lineRule="auto"/>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companies seeking equity financing, which is affected by factors such as investor demand, the global economy, and availability of diverse sources of financing, as well as tax and regulatory policies;</w:t>
      </w:r>
    </w:p>
    <w:p>
      <w:pPr>
        <w:spacing w:after="0" w:line="2" w:lineRule="exact"/>
        <w:rPr>
          <w:sz w:val="20"/>
          <w:szCs w:val="20"/>
          <w:color w:val="auto"/>
        </w:rPr>
      </w:pPr>
    </w:p>
    <w:p>
      <w:pPr>
        <w:sectPr>
          <w:pgSz w:w="11900" w:h="16838" w:orient="portrait"/>
          <w:cols w:equalWidth="0" w:num="2">
            <w:col w:w="5600" w:space="228"/>
            <w:col w:w="5592"/>
          </w:cols>
          <w:pgMar w:left="240" w:top="44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Business Overview</w:t>
      </w:r>
    </w:p>
    <w:p>
      <w:pPr>
        <w:spacing w:after="0" w:line="94"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We are a leading provider of trading, clearing, marketplace technology, regulatory, securities listing, information and public and private company services. Our global offerings are diverse and include trading and clearing across multiple asset classes, trade management services, data products, financial indexes, capital formation solutions, corporate solutions, and market technology products and services. Our technology powers markets across the globe, supporting equity derivative trading, clearing and settlement, cash equity trading, fixed income trading, trading surveillance and many other functions.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our business, see “Item 1.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21"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color w:val="auto"/>
        </w:rPr>
        <w:t>Our non-transactional businesses provide technology to exchanges, clearing organizations and central securities depositories around the world. We also offer companies and other organizations access to innovative products, software solutions and services that increase transparency, mitigate risk, improve board efficiency and facilitate better corporate governance. In our transactional business, we serve listed companies, market participants and investors by providing derivative, commodities, cash equity, and fixed income markets, as well as clearing services, thereby facilitating economic growth and corporate entrepreneurship. In broad terms, our business performance is impacted by a number of drivers including macroeconomic events affecting the risk and return of financial assets, investor sentiment, government and private sector demands for capital, the regulatory environment for capital markets, changing technology, particularly in the financial services industry, and changes in investment patterns and priorities. Our future revenues and net income will continue to be influenced by a number of domestic and international economic trends including, among others:</w:t>
      </w:r>
    </w:p>
    <w:p>
      <w:pPr>
        <w:spacing w:after="0" w:line="85" w:lineRule="exact"/>
        <w:rPr>
          <w:sz w:val="20"/>
          <w:szCs w:val="20"/>
          <w:color w:val="auto"/>
        </w:rPr>
      </w:pPr>
    </w:p>
    <w:p>
      <w:pPr>
        <w:jc w:val="both"/>
        <w:ind w:left="340" w:right="200" w:hanging="332"/>
        <w:spacing w:after="0" w:line="31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demand by companies and other organizations for the products sold by our Corporate Solutions business, which is largely driven by the overall state of the economy and the attractiveness of our offerings;</w:t>
      </w:r>
    </w:p>
    <w:p>
      <w:pPr>
        <w:spacing w:after="0" w:line="38" w:lineRule="exact"/>
        <w:rPr>
          <w:rFonts w:ascii="Arial" w:cs="Arial" w:eastAsia="Arial" w:hAnsi="Arial"/>
          <w:sz w:val="16"/>
          <w:szCs w:val="16"/>
          <w:color w:val="auto"/>
        </w:rPr>
      </w:pPr>
    </w:p>
    <w:p>
      <w:pPr>
        <w:jc w:val="both"/>
        <w:ind w:left="340" w:right="22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challenges created by the automation of market data consumption, including competition and the quickly evolving nature of the data business;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outlook of our technology customers for capital market activity;</w:t>
      </w:r>
    </w:p>
    <w:p>
      <w:pPr>
        <w:spacing w:after="0" w:line="11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advances and members’ and customers’ demand for speed, efficiency, and reliability;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left="340" w:hanging="332"/>
        <w:spacing w:after="0" w:line="31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demand for information about, or access to, our markets, which is dependent on the products we trade, our importance as a liquidity center, and the quality and pricing of our data and trade management services;</w:t>
      </w:r>
    </w:p>
    <w:p>
      <w:pPr>
        <w:spacing w:after="0" w:line="38"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demand for licensed ETPs, enhanced analytics and other financial products based on our indexes as well as changes to the underlying assets associated with existing licensed financial products;</w:t>
      </w:r>
    </w:p>
    <w:p>
      <w:pPr>
        <w:spacing w:after="0" w:line="57"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pressure in transaction fee pricing due to intense competition in the U.S. and Europe;</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related to pricing, product features and service offerings; and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changes relating to market structure or affecting certain types of instruments, transactions, pricing structures or capital market participants.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current consensus forecast for gross domestic product growth for the U.S. is 2.3% in 2017 and 2.5% in 2018 and the Eurozone is 2.3% in 2017 and 2.1% in 2018. U.S. growth forecasts for 2018 remained relatively consistent through the first half of 2017, but have been climbing upwards since then and are currently 0.2 percentage points higher than forecasted at the start of the year. Growth forecasts for the Eurozone in 2018 have steadily risen since an estimate of 1.5% at the start of 2017. While growth is accelerating, there are a number of significant structural and political issues continuing to impact the global economy. Consequently, sustained instability could return at any time, resulting in an increased level of market volatility, oscillating trading volumes, and a more cautious outlook by the clients of our non-trading segments. Volatility was low throughout 2017; however, in early February 2018, volatility levels have increased.</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weakness in 2016 and early 2017, IPO activity has picked up somewhat over the past three quarters particularly in our Nordics market. Additional impacts on our business drivers include the international enactment and implementation of new legislative and regulatory initiatives, notably MiFID II in Europe, the evolution of market participants’ trading and investment strategies, and the continued rapid progression and deployment of new technology in the financial services industry. The business environment that influences our financial performance in 2018 may be characterized as follows:</w:t>
      </w:r>
    </w:p>
    <w:p>
      <w:pPr>
        <w:spacing w:after="0" w:line="89" w:lineRule="exact"/>
        <w:rPr>
          <w:sz w:val="20"/>
          <w:szCs w:val="20"/>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rapidly evolving technology for our non-transactional businesses and their clients;</w:t>
      </w:r>
    </w:p>
    <w:p>
      <w:pPr>
        <w:sectPr>
          <w:pgSz w:w="11900" w:h="16838" w:orient="portrait"/>
          <w:cols w:equalWidth="0" w:num="2">
            <w:col w:w="5800" w:space="20"/>
            <w:col w:w="5600"/>
          </w:cols>
          <w:pgMar w:left="240" w:top="445" w:right="239" w:bottom="1440" w:gutter="0" w:footer="0" w:header="0"/>
          <w:type w:val="continuous"/>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demand for applications using emerging technologies and sophisticated analytics by both new entrants and industry incumbents;</w:t>
      </w:r>
    </w:p>
    <w:p>
      <w:pPr>
        <w:spacing w:after="0" w:line="1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expansion of the number of industries and emergence of new industries, seeking to use advanced market technology;</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intense competition among U.S. exchanges and dealer-owned systems for cash equity trading and strong competition between MTFs and exchanges in Europe for cash equity trading;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globalization of exchanges, customers and competitors extending the competitive horizon beyond national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Outlook</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key trends that may influence our business, see “Item 1. Business—2017 Strategic Review.” Our strategy consists of leveraging our market technology and information analytics expertise across our global capital markets. The focus for both our non-transactional and transactional businesses continues to include identifying organic growth and developing adjacent opportunities to our existing businesses. In addition, our strategy includes identifying acquisitions that both complement our strengths and extend our capabilities, and offer opportunities for revenue and expense synergies and increased shareholder value.</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non-transactional businesses seek to provide increased transparency and analytics to the investment community and to expand our market technology offerings that power trading, post-trade and surveillance. New competitors will arise from both startups and existing firms and some existing competitors will fade as continued rapid technological change dominates the competitive environment in 2018. We expect regulation to also evolve as governments and regulators respond to emerging technologies. The growth of a market place economy in financial services and beyond, the need for new analytic capabilities to process the data explosion, the evolution of the investment management industry, and our existing clients continued outsourcing of non-differentiating capabilities and processes create opportunities for our non-transactional businesses in 2018 and beyond.</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2018, we expect changes in both the competitive and regulatory environments in our transactional businesses. In the U.S., in 2017, CBOE completed its acquisition of BATS, trading commenced on Miami's second option exchange, NYSE announced plans to begin trading Tape B and Tape C stocks on its floor and to launch a fourth equities exchange, and CBOE and CME began trading bitcoin futures. We expect intense competition among U.S. equity and options marketplaces to continue and new entrants may also become part of our competitive environment. While the willingness of new entrants to commence operations can be taken as a positive sign of good health in the trading industry, as these organizations implement their strategies, they have the potential to affect the competitive environment we face.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European regulators are currently moving forward on a number of new policies affecting the operation and infrastructure of the financial markets. The implementation of EMIR is changing the way we structure and operate the Nordic clearinghouse. MiFID II, as well as the new regulations in MiFIR, will change the way our trading business operates and will create both challenges in our existing businesses, as well as new opportunities for growth. Industry response to the implementation of MiFID II in early 2018 is still unfolding, particularly the anticipated increase in the number of Systematic Internalizer trading systems operated by large financial service firms and electronic markets. Consequently, 2018 is an uncertain environment for our European transactional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2018 outlook for each of our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Economic and political uncertainty continue to weigh on the global economy and the debate over future fiscal and monetary policy in the U.S. and Europe continues. We believe that our diversified businesses position us well to compete in an uncertain market environment. If the increased levels of market volatility seen in early February 2018 persist into the balance of 2018, then many of the asset classes within our Market Services segment and our Data Products business will continue to benefit.</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NFX continues to expand its offering in its energy derivative products. We enter 2018 with plans to increase the number of clients running on the NFX platform, and we continue to identify additional products to bring to market.</w:t>
      </w:r>
    </w:p>
    <w:p>
      <w:pPr>
        <w:spacing w:after="0" w:line="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global markets to be influenced by significant change in 2018, driven by economic factors and regulatory initiatives in the U.S. and Europe as recently adopted regulations and legislation continue to be implemented. These changes could result in the continued fragmentation of U.S. equity derivative and cash equity markets, and trading could continue to migrate from exchanges to OTC systems, particularly in the U.S. We anticipate that trading volumes will move to new types of broker-operated systems in Europe and potentially from exchanges to broker-operated systems as the industry responds to European Union regulatory changes.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Services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we look toward the future, we continue to make progress in leveraging emerging technologies to expand the ways we serve clients, with our launch of the trading and analytics product suite, Analytics Hub, which leverages machine intelligence in its logic to serve investors.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continue to make strides in expanding our Index Licensing and Services business, in particular in our smart beta products, which make up a strong portion of our growing total assets under management. The 2017 acquisition of eVestment added the strong network effects of a leading analytics provider to our product offerings.</w:t>
      </w:r>
    </w:p>
    <w:p>
      <w:pPr>
        <w:sectPr>
          <w:pgSz w:w="11900" w:h="16838" w:orient="portrait"/>
          <w:cols w:equalWidth="0" w:num="3">
            <w:col w:w="5600" w:space="20"/>
            <w:col w:w="180" w:space="20"/>
            <w:col w:w="5600"/>
          </w:cols>
          <w:pgMar w:left="240" w:top="445" w:right="239" w:bottom="1440" w:gutter="0" w:footer="0" w:header="0"/>
          <w:type w:val="continuous"/>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performance of our market data products offerings reflect overall market conditions as well as our ability to offer market participants superior performance and efficiency relative to our competitors’ products. Our market data products also face pressure from our customers’ desire to minimize their costs and from regulatory changes in the regions where we operate.</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continue to look for opportunities to expand product sales through additional geographic expansion and new opportunities such as eVestment.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Services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we made significant progress in 2017 to enhance the client experience. In 2017, we combined our two board portal platforms. In addition, we created an architectural foundation for our next generation corporate solutions products using the cloud and machine learning to offer enhanced surveillance tools.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2017 was a record year for Nordic IPOs, while the IPO market was more subdued in the U.S. Nasdaq led U.S. exchanges for IPOs for the fifth consecutive year. There was strong momentum in U.S. listing switches with the largest issuer ever to switch their exchange listing to Nasdaq in 2017. Growth in 2018 for our Corporate Services segment will depend on a continued positive economic outlook, a lower level of merger and acquisition transactions and a reasonable level of volatility.</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our strategic review, we identified the areas of our Corporate Solutions business that were of greatest importance to our customer base, that demonstrated significant growth opportunities, and where we could apply our technology to enhance customer value and drive future growth. We determined that our Investor Relations and Board &amp; Leadership Services would be our area of focus and we commenced a process to evaluate strategic alternatives for the Public Relations Solutions and Digital Media Services businesses within our Corporate Solutions business and in January 2018, we announced the sale of these businesses. See “Definitive Agreement to Sell our Public Relations Solutions and Digital Media Services Businesses,” of Note 21, “Subsequent Events,” to the consolidated financial statements for further discussion.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we continued to invest in the Nasdaq Financial Framework, which is our market technology modular architecture that will provide next generation capital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capabilities, including the integration of blockchain technology across the issuance and settlement of securities, as well as cloud-enabled trading and clearing. Based on customer interest and sales during 2017, we expect this next generation platform to contribute meaningfully to our order intake in 2018 and beyond.</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during 2017, we enhanced our SMARTS product and acquired deeper surveillance and behavioral capabilities through Sybenetix. Our service delivery model continues to evolve as we move from deployed software to a Platform-as-a-Service approach as cloud capabilities and market acceptance mature.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future will continue to be determined by our ability to satisfy our customer's evolving needs and to allocate resources in strategic areas which will yield attractive returns.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our long-term strategy, we expect to leverage our technology strengths to offer new products that expand and strengthen our relationships with existing and new customers.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our continued focus on meeting our cost, revenue and technology objectives will enable us to benefit from any improving economic conditions in the future. We will continue to look for opportunities to further expand our business with enhanced product offerings and/or acquisitions that are complementary to our existing businesses.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manage, operate and provide our products and services in four business segments: Market Services, Corporate Services, Information Services and Market Technology. See Note 1, “Organization and Nature of Operations,” and Note 20, “Business Segments,” to the consolidated financial statements for further discussion of our reportable segments, as well as how management allocates resources, assesses performance and manages these businesses as four separate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Transaction-Based Expenses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“Revenue Recognition and Transaction-Based Expenses,” of Note 2, “Summary of Significant Accounting Policies,” to the consolidated financial statements for further discussion of our sources of revenues and transaction-based expenses.</w:t>
      </w:r>
    </w:p>
    <w:p>
      <w:pPr>
        <w:sectPr>
          <w:pgSz w:w="11900" w:h="16838" w:orient="portrait"/>
          <w:cols w:equalWidth="0" w:num="3">
            <w:col w:w="5600" w:space="20"/>
            <w:col w:w="180" w:space="20"/>
            <w:col w:w="5600"/>
          </w:cols>
          <w:pgMar w:left="240" w:top="445"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Nasdaq’s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Drivers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includes key drivers for our Market Services, Corporate Services, Information Services and Market Technology segments. In evaluating the performance of our business, our senior management closely evaluates these key drivers.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0"/>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2017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2015</w:t>
            </w:r>
          </w:p>
        </w:tc>
      </w:tr>
      <w:tr>
        <w:trPr>
          <w:trHeight w:val="23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b w:val="1"/>
                <w:bCs w:val="1"/>
                <w:color w:val="auto"/>
              </w:rPr>
              <w:t>Market Services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64"/>
        </w:trPr>
        <w:tc>
          <w:tcPr>
            <w:tcW w:w="7440" w:type="dxa"/>
            <w:vAlign w:val="bottom"/>
            <w:gridSpan w:val="15"/>
          </w:tcPr>
          <w:p>
            <w:pPr>
              <w:ind w:left="40"/>
              <w:spacing w:after="0"/>
              <w:rPr>
                <w:sz w:val="20"/>
                <w:szCs w:val="20"/>
                <w:color w:val="auto"/>
              </w:rPr>
            </w:pPr>
            <w:r>
              <w:rPr>
                <w:rFonts w:ascii="Arial" w:cs="Arial" w:eastAsia="Arial" w:hAnsi="Arial"/>
                <w:sz w:val="16"/>
                <w:szCs w:val="16"/>
                <w:b w:val="1"/>
                <w:bCs w:val="1"/>
                <w:color w:val="auto"/>
              </w:rPr>
              <w:t>Equity Derivative Trading and Clearing</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U.S. equity options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Total industry average daily volume (in millions)</w:t>
            </w:r>
          </w:p>
        </w:tc>
        <w:tc>
          <w:tcPr>
            <w:tcW w:w="3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14.8</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Nasdaq PHLX matched market share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The Nasdaq Options Market matched market share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Nasdaq BX Options matched market share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Nasdaq ISE Options matched market share</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Nasdaq GEMX Options matched market share</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440" w:type="dxa"/>
            <w:vAlign w:val="bottom"/>
            <w:tcBorders>
              <w:bottom w:val="single" w:sz="8" w:color="CCEEFF"/>
            </w:tcBorders>
            <w:gridSpan w:val="15"/>
          </w:tcPr>
          <w:p>
            <w:pPr>
              <w:ind w:left="40"/>
              <w:spacing w:after="0"/>
              <w:rPr>
                <w:sz w:val="20"/>
                <w:szCs w:val="20"/>
                <w:color w:val="auto"/>
              </w:rPr>
            </w:pPr>
            <w:r>
              <w:rPr>
                <w:rFonts w:ascii="Arial" w:cs="Arial" w:eastAsia="Arial" w:hAnsi="Arial"/>
                <w:sz w:val="16"/>
                <w:szCs w:val="16"/>
                <w:color w:val="auto"/>
              </w:rPr>
              <w:t>Nasdaq MRX Options matched market share</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Total matched market share executed on Nasdaq’s exchanges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7440" w:type="dxa"/>
            <w:vAlign w:val="bottom"/>
            <w:gridSpan w:val="15"/>
          </w:tcPr>
          <w:p>
            <w:pPr>
              <w:ind w:left="40"/>
              <w:spacing w:after="0"/>
              <w:rPr>
                <w:sz w:val="20"/>
                <w:szCs w:val="20"/>
                <w:color w:val="auto"/>
              </w:rPr>
            </w:pPr>
            <w:r>
              <w:rPr>
                <w:rFonts w:ascii="Arial" w:cs="Arial" w:eastAsia="Arial" w:hAnsi="Arial"/>
                <w:sz w:val="16"/>
                <w:szCs w:val="16"/>
                <w:i w:val="1"/>
                <w:iCs w:val="1"/>
                <w:color w:val="auto"/>
              </w:rPr>
              <w:t>Nasdaq Nordic and Nasdaq Baltic options and futures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Total average daily volume of options and futures contracts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330,218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376,730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380,725</w:t>
            </w:r>
          </w:p>
        </w:tc>
      </w:tr>
      <w:tr>
        <w:trPr>
          <w:trHeight w:val="264"/>
        </w:trPr>
        <w:tc>
          <w:tcPr>
            <w:tcW w:w="7440" w:type="dxa"/>
            <w:vAlign w:val="bottom"/>
            <w:gridSpan w:val="15"/>
          </w:tcPr>
          <w:p>
            <w:pPr>
              <w:ind w:left="40"/>
              <w:spacing w:after="0"/>
              <w:rPr>
                <w:sz w:val="20"/>
                <w:szCs w:val="20"/>
                <w:color w:val="auto"/>
              </w:rPr>
            </w:pPr>
            <w:r>
              <w:rPr>
                <w:rFonts w:ascii="Arial" w:cs="Arial" w:eastAsia="Arial" w:hAnsi="Arial"/>
                <w:sz w:val="16"/>
                <w:szCs w:val="16"/>
                <w:b w:val="1"/>
                <w:bCs w:val="1"/>
                <w:color w:val="auto"/>
              </w:rPr>
              <w:t>Cash Equity Trading</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Total U.S.-listed securities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Total industry average daily share volume (in billions)</w:t>
            </w:r>
          </w:p>
        </w:tc>
        <w:tc>
          <w:tcPr>
            <w:tcW w:w="3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6.91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Matched share volume (in billions)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327.7</w:t>
            </w: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The Nasdaq Stock Market matched market share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Nasdaq BX matched market share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Nasdaq PSX matched market share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Total matched market share executed on Nasdaq’s exchanges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Market share reported to the FINRA/Nasdaq Trade Reporting Facility</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Total market share</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0"/>
        </w:trPr>
        <w:tc>
          <w:tcPr>
            <w:tcW w:w="7440" w:type="dxa"/>
            <w:vAlign w:val="bottom"/>
            <w:gridSpan w:val="15"/>
          </w:tcPr>
          <w:p>
            <w:pPr>
              <w:ind w:left="40"/>
              <w:spacing w:after="0"/>
              <w:rPr>
                <w:sz w:val="20"/>
                <w:szCs w:val="20"/>
                <w:color w:val="auto"/>
              </w:rPr>
            </w:pPr>
            <w:r>
              <w:rPr>
                <w:rFonts w:ascii="Arial" w:cs="Arial" w:eastAsia="Arial" w:hAnsi="Arial"/>
                <w:sz w:val="16"/>
                <w:szCs w:val="16"/>
                <w:i w:val="1"/>
                <w:iCs w:val="1"/>
                <w:color w:val="auto"/>
              </w:rPr>
              <w:t>Nasdaq Nordic and Nasdaq Baltic securities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Average daily number of equity trades executed on Nasdaq’s exchanges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552,104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472,428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438,864</w:t>
            </w: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Total average daily value of shares traded (in billions)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Total market share executed on Nasdaq’s exchanges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64"/>
        </w:trPr>
        <w:tc>
          <w:tcPr>
            <w:tcW w:w="7440" w:type="dxa"/>
            <w:vAlign w:val="bottom"/>
            <w:gridSpan w:val="15"/>
          </w:tcPr>
          <w:p>
            <w:pPr>
              <w:ind w:left="40"/>
              <w:spacing w:after="0"/>
              <w:rPr>
                <w:sz w:val="20"/>
                <w:szCs w:val="20"/>
                <w:color w:val="auto"/>
              </w:rPr>
            </w:pPr>
            <w:r>
              <w:rPr>
                <w:rFonts w:ascii="Arial" w:cs="Arial" w:eastAsia="Arial" w:hAnsi="Arial"/>
                <w:sz w:val="16"/>
                <w:szCs w:val="16"/>
                <w:b w:val="1"/>
                <w:bCs w:val="1"/>
                <w:color w:val="auto"/>
              </w:rPr>
              <w:t>FICC</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Fixed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U.S. fixed income notional trading volume (in billions)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17,800</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21,504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29,234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Total average daily volume of Nasdaq Nordic and Nasdaq Baltic fixed income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115,185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108,708</w:t>
            </w:r>
          </w:p>
        </w:tc>
      </w:tr>
      <w:tr>
        <w:trPr>
          <w:trHeight w:val="230"/>
        </w:trPr>
        <w:tc>
          <w:tcPr>
            <w:tcW w:w="7440" w:type="dxa"/>
            <w:vAlign w:val="bottom"/>
            <w:gridSpan w:val="15"/>
          </w:tcPr>
          <w:p>
            <w:pPr>
              <w:ind w:left="40"/>
              <w:spacing w:after="0"/>
              <w:rPr>
                <w:sz w:val="20"/>
                <w:szCs w:val="20"/>
                <w:color w:val="auto"/>
              </w:rPr>
            </w:pPr>
            <w:r>
              <w:rPr>
                <w:rFonts w:ascii="Arial" w:cs="Arial" w:eastAsia="Arial" w:hAnsi="Arial"/>
                <w:sz w:val="16"/>
                <w:szCs w:val="16"/>
                <w:i w:val="1"/>
                <w:iCs w:val="1"/>
                <w:color w:val="auto"/>
              </w:rPr>
              <w:t>Commodities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Power contracts cleared (TWh)</w:t>
            </w:r>
            <w:r>
              <w:rPr>
                <w:rFonts w:ascii="Arial" w:cs="Arial" w:eastAsia="Arial" w:hAnsi="Arial"/>
                <w:sz w:val="21"/>
                <w:szCs w:val="21"/>
                <w:color w:val="auto"/>
                <w:vertAlign w:val="superscript"/>
              </w:rPr>
              <w:t>(4)</w:t>
            </w: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1,199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1,496</w:t>
            </w:r>
          </w:p>
        </w:tc>
      </w:tr>
      <w:tr>
        <w:trPr>
          <w:trHeight w:val="230"/>
        </w:trPr>
        <w:tc>
          <w:tcPr>
            <w:tcW w:w="7440" w:type="dxa"/>
            <w:vAlign w:val="bottom"/>
            <w:gridSpan w:val="15"/>
          </w:tcPr>
          <w:p>
            <w:pPr>
              <w:ind w:left="40"/>
              <w:spacing w:after="0"/>
              <w:rPr>
                <w:sz w:val="20"/>
                <w:szCs w:val="20"/>
                <w:color w:val="auto"/>
              </w:rPr>
            </w:pPr>
            <w:r>
              <w:rPr>
                <w:rFonts w:ascii="Arial" w:cs="Arial" w:eastAsia="Arial" w:hAnsi="Arial"/>
                <w:sz w:val="16"/>
                <w:szCs w:val="16"/>
                <w:b w:val="1"/>
                <w:bCs w:val="1"/>
                <w:color w:val="auto"/>
              </w:rPr>
              <w:t>Corporate Services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Initial public offerings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400" w:type="dxa"/>
            <w:vAlign w:val="bottom"/>
            <w:gridSpan w:val="14"/>
          </w:tcPr>
          <w:p>
            <w:pPr>
              <w:ind w:left="340"/>
              <w:spacing w:after="0"/>
              <w:rPr>
                <w:sz w:val="20"/>
                <w:szCs w:val="20"/>
                <w:color w:val="auto"/>
              </w:rPr>
            </w:pPr>
            <w:r>
              <w:rPr>
                <w:rFonts w:ascii="Arial" w:cs="Arial" w:eastAsia="Arial" w:hAnsi="Arial"/>
                <w:sz w:val="16"/>
                <w:szCs w:val="16"/>
                <w:color w:val="auto"/>
              </w:rPr>
              <w:t>The Nasdaq Stock Market</w:t>
            </w:r>
          </w:p>
        </w:tc>
        <w:tc>
          <w:tcPr>
            <w:tcW w:w="3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143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14"/>
            <w:shd w:val="clear" w:color="auto" w:fill="CCEEFF"/>
          </w:tcPr>
          <w:p>
            <w:pPr>
              <w:ind w:left="340"/>
              <w:spacing w:after="0"/>
              <w:rPr>
                <w:sz w:val="20"/>
                <w:szCs w:val="20"/>
                <w:color w:val="auto"/>
              </w:rPr>
            </w:pPr>
            <w:r>
              <w:rPr>
                <w:rFonts w:ascii="Arial" w:cs="Arial" w:eastAsia="Arial" w:hAnsi="Arial"/>
                <w:sz w:val="16"/>
                <w:szCs w:val="16"/>
                <w:color w:val="auto"/>
              </w:rPr>
              <w:t>Exchanges that comprise Nasdaq Nordic and Nasdaq Baltic</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w:t>
            </w:r>
          </w:p>
        </w:tc>
      </w:tr>
      <w:tr>
        <w:trPr>
          <w:trHeight w:val="230"/>
        </w:trPr>
        <w:tc>
          <w:tcPr>
            <w:tcW w:w="7440" w:type="dxa"/>
            <w:vAlign w:val="bottom"/>
            <w:gridSpan w:val="15"/>
          </w:tcPr>
          <w:p>
            <w:pPr>
              <w:ind w:left="40"/>
              <w:spacing w:after="0"/>
              <w:rPr>
                <w:sz w:val="20"/>
                <w:szCs w:val="20"/>
                <w:color w:val="auto"/>
              </w:rPr>
            </w:pPr>
            <w:r>
              <w:rPr>
                <w:rFonts w:ascii="Arial" w:cs="Arial" w:eastAsia="Arial" w:hAnsi="Arial"/>
                <w:sz w:val="16"/>
                <w:szCs w:val="16"/>
                <w:i w:val="1"/>
                <w:iCs w:val="1"/>
                <w:color w:val="auto"/>
              </w:rPr>
              <w:t>Total new listings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7400" w:type="dxa"/>
            <w:vAlign w:val="bottom"/>
            <w:gridSpan w:val="14"/>
            <w:shd w:val="clear" w:color="auto" w:fill="CCEEFF"/>
          </w:tcPr>
          <w:p>
            <w:pPr>
              <w:ind w:left="340"/>
              <w:spacing w:after="0"/>
              <w:rPr>
                <w:sz w:val="20"/>
                <w:szCs w:val="20"/>
                <w:color w:val="auto"/>
              </w:rPr>
            </w:pPr>
            <w:r>
              <w:rPr>
                <w:rFonts w:ascii="Arial" w:cs="Arial" w:eastAsia="Arial" w:hAnsi="Arial"/>
                <w:sz w:val="16"/>
                <w:szCs w:val="16"/>
                <w:color w:val="auto"/>
              </w:rPr>
              <w:t>The Nasdaq Stock Market</w:t>
            </w:r>
            <w:r>
              <w:rPr>
                <w:rFonts w:ascii="Arial" w:cs="Arial" w:eastAsia="Arial" w:hAnsi="Arial"/>
                <w:sz w:val="21"/>
                <w:szCs w:val="21"/>
                <w:color w:val="auto"/>
                <w:vertAlign w:val="superscript"/>
              </w:rPr>
              <w:t>(5)</w:t>
            </w: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274</w:t>
            </w:r>
          </w:p>
        </w:tc>
      </w:tr>
      <w:tr>
        <w:trPr>
          <w:trHeight w:val="270"/>
        </w:trPr>
        <w:tc>
          <w:tcPr>
            <w:tcW w:w="40" w:type="dxa"/>
            <w:vAlign w:val="bottom"/>
          </w:tcPr>
          <w:p>
            <w:pPr>
              <w:spacing w:after="0"/>
              <w:rPr>
                <w:sz w:val="23"/>
                <w:szCs w:val="23"/>
                <w:color w:val="auto"/>
              </w:rPr>
            </w:pPr>
          </w:p>
        </w:tc>
        <w:tc>
          <w:tcPr>
            <w:tcW w:w="7400" w:type="dxa"/>
            <w:vAlign w:val="bottom"/>
            <w:gridSpan w:val="14"/>
          </w:tcPr>
          <w:p>
            <w:pPr>
              <w:ind w:left="340"/>
              <w:spacing w:after="0"/>
              <w:rPr>
                <w:sz w:val="20"/>
                <w:szCs w:val="20"/>
                <w:color w:val="auto"/>
              </w:rPr>
            </w:pPr>
            <w:r>
              <w:rPr>
                <w:rFonts w:ascii="Arial" w:cs="Arial" w:eastAsia="Arial" w:hAnsi="Arial"/>
                <w:sz w:val="16"/>
                <w:szCs w:val="16"/>
                <w:color w:val="auto"/>
              </w:rPr>
              <w:t>Exchanges that comprise Nasdaq Nordic and Nasdaq Baltic</w:t>
            </w:r>
            <w:r>
              <w:rPr>
                <w:rFonts w:ascii="Arial" w:cs="Arial" w:eastAsia="Arial" w:hAnsi="Arial"/>
                <w:sz w:val="21"/>
                <w:szCs w:val="21"/>
                <w:color w:val="auto"/>
                <w:vertAlign w:val="superscript"/>
              </w:rPr>
              <w:t>(6)</w:t>
            </w:r>
          </w:p>
        </w:tc>
        <w:tc>
          <w:tcPr>
            <w:tcW w:w="34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91</w:t>
            </w:r>
          </w:p>
        </w:tc>
      </w:tr>
      <w:tr>
        <w:trPr>
          <w:trHeight w:val="23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Number of listed companies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70"/>
        </w:trPr>
        <w:tc>
          <w:tcPr>
            <w:tcW w:w="40" w:type="dxa"/>
            <w:vAlign w:val="bottom"/>
          </w:tcPr>
          <w:p>
            <w:pPr>
              <w:spacing w:after="0"/>
              <w:rPr>
                <w:sz w:val="23"/>
                <w:szCs w:val="23"/>
                <w:color w:val="auto"/>
              </w:rPr>
            </w:pPr>
          </w:p>
        </w:tc>
        <w:tc>
          <w:tcPr>
            <w:tcW w:w="7400" w:type="dxa"/>
            <w:vAlign w:val="bottom"/>
            <w:gridSpan w:val="14"/>
          </w:tcPr>
          <w:p>
            <w:pPr>
              <w:ind w:left="340"/>
              <w:spacing w:after="0"/>
              <w:rPr>
                <w:sz w:val="20"/>
                <w:szCs w:val="20"/>
                <w:color w:val="auto"/>
              </w:rPr>
            </w:pPr>
            <w:r>
              <w:rPr>
                <w:rFonts w:ascii="Arial" w:cs="Arial" w:eastAsia="Arial" w:hAnsi="Arial"/>
                <w:sz w:val="16"/>
                <w:szCs w:val="16"/>
                <w:color w:val="auto"/>
              </w:rPr>
              <w:t>The Nasdaq Stock Market</w:t>
            </w:r>
            <w:r>
              <w:rPr>
                <w:rFonts w:ascii="Arial" w:cs="Arial" w:eastAsia="Arial" w:hAnsi="Arial"/>
                <w:sz w:val="21"/>
                <w:szCs w:val="21"/>
                <w:color w:val="auto"/>
                <w:vertAlign w:val="superscript"/>
              </w:rPr>
              <w:t>(7)</w:t>
            </w:r>
          </w:p>
        </w:tc>
        <w:tc>
          <w:tcPr>
            <w:tcW w:w="34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2,949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2,859</w:t>
            </w:r>
          </w:p>
        </w:tc>
      </w:tr>
      <w:tr>
        <w:trPr>
          <w:trHeight w:val="270"/>
        </w:trPr>
        <w:tc>
          <w:tcPr>
            <w:tcW w:w="40" w:type="dxa"/>
            <w:vAlign w:val="bottom"/>
            <w:shd w:val="clear" w:color="auto" w:fill="CCEEFF"/>
          </w:tcPr>
          <w:p>
            <w:pPr>
              <w:spacing w:after="0"/>
              <w:rPr>
                <w:sz w:val="23"/>
                <w:szCs w:val="23"/>
                <w:color w:val="auto"/>
              </w:rPr>
            </w:pPr>
          </w:p>
        </w:tc>
        <w:tc>
          <w:tcPr>
            <w:tcW w:w="7400" w:type="dxa"/>
            <w:vAlign w:val="bottom"/>
            <w:gridSpan w:val="14"/>
            <w:shd w:val="clear" w:color="auto" w:fill="CCEEFF"/>
          </w:tcPr>
          <w:p>
            <w:pPr>
              <w:ind w:left="340"/>
              <w:spacing w:after="0"/>
              <w:rPr>
                <w:sz w:val="20"/>
                <w:szCs w:val="20"/>
                <w:color w:val="auto"/>
              </w:rPr>
            </w:pPr>
            <w:r>
              <w:rPr>
                <w:rFonts w:ascii="Arial" w:cs="Arial" w:eastAsia="Arial" w:hAnsi="Arial"/>
                <w:sz w:val="16"/>
                <w:szCs w:val="16"/>
                <w:color w:val="auto"/>
              </w:rPr>
              <w:t>Exchanges that comprise Nasdaq Nordic and Nasdaq Baltic</w:t>
            </w:r>
            <w:r>
              <w:rPr>
                <w:rFonts w:ascii="Arial" w:cs="Arial" w:eastAsia="Arial" w:hAnsi="Arial"/>
                <w:sz w:val="21"/>
                <w:szCs w:val="21"/>
                <w:color w:val="auto"/>
                <w:vertAlign w:val="superscript"/>
              </w:rPr>
              <w:t>(8)</w:t>
            </w: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852</w:t>
            </w:r>
          </w:p>
        </w:tc>
      </w:tr>
      <w:tr>
        <w:trPr>
          <w:trHeight w:val="230"/>
        </w:trPr>
        <w:tc>
          <w:tcPr>
            <w:tcW w:w="7440" w:type="dxa"/>
            <w:vAlign w:val="bottom"/>
            <w:gridSpan w:val="15"/>
          </w:tcPr>
          <w:p>
            <w:pPr>
              <w:ind w:left="40"/>
              <w:spacing w:after="0"/>
              <w:rPr>
                <w:sz w:val="20"/>
                <w:szCs w:val="20"/>
                <w:color w:val="auto"/>
              </w:rPr>
            </w:pPr>
            <w:r>
              <w:rPr>
                <w:rFonts w:ascii="Arial" w:cs="Arial" w:eastAsia="Arial" w:hAnsi="Arial"/>
                <w:sz w:val="16"/>
                <w:szCs w:val="16"/>
                <w:b w:val="1"/>
                <w:bCs w:val="1"/>
                <w:color w:val="auto"/>
              </w:rPr>
              <w:t>Information Services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Number of licensed ETPs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222</w:t>
            </w:r>
          </w:p>
        </w:tc>
      </w:tr>
      <w:tr>
        <w:trPr>
          <w:trHeight w:val="243"/>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ETP assets under management tracking Nasdaq indexes (in billions)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167</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b w:val="1"/>
                <w:bCs w:val="1"/>
                <w:color w:val="auto"/>
              </w:rPr>
              <w:t>Market Technology</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70"/>
        </w:trPr>
        <w:tc>
          <w:tcPr>
            <w:tcW w:w="7440" w:type="dxa"/>
            <w:vAlign w:val="bottom"/>
            <w:gridSpan w:val="15"/>
          </w:tcPr>
          <w:p>
            <w:pPr>
              <w:ind w:left="40"/>
              <w:spacing w:after="0"/>
              <w:rPr>
                <w:sz w:val="20"/>
                <w:szCs w:val="20"/>
                <w:color w:val="auto"/>
              </w:rPr>
            </w:pPr>
            <w:r>
              <w:rPr>
                <w:rFonts w:ascii="Arial" w:cs="Arial" w:eastAsia="Arial" w:hAnsi="Arial"/>
                <w:sz w:val="16"/>
                <w:szCs w:val="16"/>
                <w:color w:val="auto"/>
              </w:rPr>
              <w:t>Order intake (in millions)</w:t>
            </w:r>
            <w:r>
              <w:rPr>
                <w:rFonts w:ascii="Arial" w:cs="Arial" w:eastAsia="Arial" w:hAnsi="Arial"/>
                <w:sz w:val="21"/>
                <w:szCs w:val="21"/>
                <w:color w:val="auto"/>
                <w:vertAlign w:val="superscript"/>
              </w:rPr>
              <w:t>(9)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292</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271</w:t>
            </w:r>
          </w:p>
        </w:tc>
      </w:tr>
      <w:tr>
        <w:trPr>
          <w:trHeight w:val="270"/>
        </w:trPr>
        <w:tc>
          <w:tcPr>
            <w:tcW w:w="74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Total order value (in millions)</w:t>
            </w:r>
            <w:r>
              <w:rPr>
                <w:rFonts w:ascii="Arial" w:cs="Arial" w:eastAsia="Arial" w:hAnsi="Arial"/>
                <w:sz w:val="21"/>
                <w:szCs w:val="21"/>
                <w:color w:val="auto"/>
                <w:vertAlign w:val="superscript"/>
              </w:rPr>
              <w:t>(10)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847</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788</w:t>
            </w:r>
          </w:p>
        </w:tc>
      </w:tr>
    </w:tbl>
    <w:p>
      <w:pPr>
        <w:sectPr>
          <w:pgSz w:w="11900" w:h="16838" w:orient="portrait"/>
          <w:cols w:equalWidth="0" w:num="1">
            <w:col w:w="11420"/>
          </w:cols>
          <w:pgMar w:left="240" w:top="445" w:right="239" w:bottom="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019"/>
          </w:cols>
          <w:pgMar w:left="1440" w:top="368" w:right="1440"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w:t>
      </w:r>
    </w:p>
    <w:p>
      <w:pPr>
        <w:spacing w:after="0" w:line="63" w:lineRule="exact"/>
        <w:rPr>
          <w:sz w:val="20"/>
          <w:szCs w:val="20"/>
          <w:color w:val="auto"/>
        </w:rPr>
      </w:pPr>
    </w:p>
    <w:p>
      <w:pPr>
        <w:ind w:left="340" w:hanging="332"/>
        <w:spacing w:after="0" w:line="216"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For the year ended December 31, 2016, Nasdaq ISE, Nasdaq GEMX and Nasdaq MRX matched market share represents trading volume which commenced on June 30, 2016.</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Finnish option contracts traded on Eurex.</w:t>
      </w:r>
    </w:p>
    <w:p>
      <w:pPr>
        <w:spacing w:after="0" w:line="2"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transactions executed on The Nasdaq Stock Market’s, Nasdaq BX’s and Nasdaq PSX’s systems plus trades reported through the FINRA/Nasdaq Trade Reporting Facility.</w:t>
      </w:r>
    </w:p>
    <w:p>
      <w:pPr>
        <w:spacing w:after="0" w:line="1"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Transactions executed on Nasdaq Commodities or OTC and reported for clearing to Nasdaq Commodities measured by Terawatt hours (TWh).</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New listings include IPOs, including those completed on a best efforts basis, issuers that switched from other listing venues, closed-end funds and separately listed ETPs.</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New listings include IPOs and represent companies listed on the Nasdaq Nordic and Nasdaq Baltic exchanges and companies on the alternative markets of Nasdaq First North.</w:t>
      </w:r>
    </w:p>
    <w:p>
      <w:pPr>
        <w:spacing w:after="0" w:line="1" w:lineRule="exact"/>
        <w:rPr>
          <w:rFonts w:ascii="Arial" w:cs="Arial" w:eastAsia="Arial" w:hAnsi="Arial"/>
          <w:sz w:val="25"/>
          <w:szCs w:val="25"/>
          <w:color w:val="auto"/>
          <w:vertAlign w:val="superscript"/>
        </w:rPr>
      </w:pPr>
    </w:p>
    <w:p>
      <w:pPr>
        <w:ind w:left="340" w:hanging="332"/>
        <w:spacing w:after="0" w:line="205"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Number of total listings on The Nasdaq Stock Market at period end, including 373 ETPs as of December 31, 2017 and 328 as of December 31, 2016.</w:t>
      </w:r>
    </w:p>
    <w:p>
      <w:pPr>
        <w:spacing w:after="0" w:line="1" w:lineRule="exact"/>
        <w:rPr>
          <w:rFonts w:ascii="Arial" w:cs="Arial" w:eastAsia="Arial" w:hAnsi="Arial"/>
          <w:sz w:val="22"/>
          <w:szCs w:val="22"/>
          <w:color w:val="auto"/>
          <w:vertAlign w:val="superscript"/>
        </w:rPr>
      </w:pPr>
    </w:p>
    <w:p>
      <w:pPr>
        <w:ind w:left="340" w:hanging="332"/>
        <w:spacing w:after="0" w:line="208"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companies listed on the Nasdaq Nordic and Nasdaq Baltic exchanges and companies on the alternative markets of Nasdaq First North at period end.</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Total contract value of orders signed during the period.</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total contract value of signed orders that are yet to be recognized as revenue. Market technology deferred revenue, as discussed in Note 9, “Deferred Revenue,” to the consolidated financial statements, represents consideration received that is yet to be recognized as revenue for these signed orders.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summarizes our financial performance for the year ended December 31, 2017 when compared with the same period in 2016 and for the year ended December 31, 2016 when compared with the same period in 2015. The comparability of our results of operations between reported periods is impacted by the acquisitions of: eVestment in October 2017, Nasdaq Canada and Marketwired in February 2016, Boardvantage in May 2016, ISE in June 2016 and DWA in January 2015. See Note 4, “Acquisitions,” to the consolidated financial statements for further discussion of the above acquisitions. For a detailed discussion of our results of operations, see “Segment Operating Results”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center"/>
              <w:ind w:right="152"/>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92"/>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2017 vs. 2016</w:t>
            </w:r>
          </w:p>
        </w:tc>
        <w:tc>
          <w:tcPr>
            <w:tcW w:w="1140" w:type="dxa"/>
            <w:vAlign w:val="bottom"/>
          </w:tcPr>
          <w:p>
            <w:pPr>
              <w:jc w:val="right"/>
              <w:ind w:right="132"/>
              <w:spacing w:after="0"/>
              <w:rPr>
                <w:sz w:val="20"/>
                <w:szCs w:val="20"/>
                <w:color w:val="auto"/>
              </w:rPr>
            </w:pPr>
            <w:r>
              <w:rPr>
                <w:rFonts w:ascii="Arial" w:cs="Arial" w:eastAsia="Arial" w:hAnsi="Arial"/>
                <w:sz w:val="13"/>
                <w:szCs w:val="13"/>
                <w:b w:val="1"/>
                <w:bCs w:val="1"/>
                <w:color w:val="auto"/>
              </w:rPr>
              <w:t>2016 vs. 2015</w:t>
            </w:r>
          </w:p>
        </w:tc>
      </w:tr>
      <w:tr>
        <w:trPr>
          <w:trHeight w:val="289"/>
        </w:trPr>
        <w:tc>
          <w:tcPr>
            <w:tcW w:w="5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gridSpan w:val="8"/>
          </w:tcPr>
          <w:p>
            <w:pPr>
              <w:jc w:val="center"/>
              <w:ind w:right="132"/>
              <w:spacing w:after="0"/>
              <w:rPr>
                <w:sz w:val="20"/>
                <w:szCs w:val="20"/>
                <w:color w:val="auto"/>
              </w:rPr>
            </w:pPr>
            <w:r>
              <w:rPr>
                <w:rFonts w:ascii="Arial" w:cs="Arial" w:eastAsia="Arial" w:hAnsi="Arial"/>
                <w:sz w:val="13"/>
                <w:szCs w:val="13"/>
                <w:b w:val="1"/>
                <w:bCs w:val="1"/>
                <w:color w:val="auto"/>
                <w:w w:val="86"/>
              </w:rPr>
              <w:t>(in millions, except per share amounts)</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8"/>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21.6 %</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N/M</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547.1 %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421.4 %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Net income attributable to Nasdaq</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734</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579.6 %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576.6 %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0.90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34.4 %</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7A. Quantitative and Qualitative Disclosures about Market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5"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our revenues by segment, transaction-based expenses for our Market Services segment and total revenues less transaction-based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213"/>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1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b w:val="1"/>
                <w:bCs w:val="1"/>
                <w:color w:val="auto"/>
              </w:rPr>
              <w:t>2017 vs. 2016</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2016 vs. 2015</w:t>
            </w:r>
          </w:p>
        </w:tc>
      </w:tr>
      <w:tr>
        <w:trPr>
          <w:trHeight w:val="289"/>
        </w:trPr>
        <w:tc>
          <w:tcPr>
            <w:tcW w:w="57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(in millions)</w:t>
            </w: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8"/>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2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Services revenues less transaction-based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Corporate Services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Market Technology</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 less transaction-based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charts show our Market Services, Corporate Services, Information Services and Market Technology segments as a percentage of our total revenues less transaction-based expenses of $2,428 million in 2017, $2,277 million in 2016 and $2,090 million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117475</wp:posOffset>
            </wp:positionV>
            <wp:extent cx="6500495" cy="3070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049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5"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787015" cy="3070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701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45" w:right="1440"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total revenues, transaction-based expenses, and total revenues less transaction-based expenses from our Market Services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3"/>
                <w:szCs w:val="13"/>
                <w:b w:val="1"/>
                <w:bCs w:val="1"/>
                <w:color w:val="auto"/>
                <w:w w:val="87"/>
              </w:rPr>
              <w:t>Year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277"/>
        </w:trPr>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5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232"/>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2017 vs. 2016</w:t>
            </w:r>
          </w:p>
        </w:tc>
        <w:tc>
          <w:tcPr>
            <w:tcW w:w="1060" w:type="dxa"/>
            <w:vAlign w:val="bottom"/>
          </w:tcPr>
          <w:p>
            <w:pPr>
              <w:jc w:val="right"/>
              <w:ind w:right="92"/>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289"/>
        </w:trPr>
        <w:tc>
          <w:tcPr>
            <w:tcW w:w="6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(in millions)</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 Services Revenues:</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40"/>
              <w:spacing w:after="0" w:line="270" w:lineRule="exact"/>
              <w:rPr>
                <w:sz w:val="20"/>
                <w:szCs w:val="20"/>
                <w:color w:val="auto"/>
              </w:rPr>
            </w:pPr>
            <w:r>
              <w:rPr>
                <w:rFonts w:ascii="Arial" w:cs="Arial" w:eastAsia="Arial" w:hAnsi="Arial"/>
                <w:sz w:val="18"/>
                <w:szCs w:val="18"/>
                <w:color w:val="auto"/>
              </w:rPr>
              <w:t>Equity Derivative Trading and Clearing Revenues</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160" w:type="dxa"/>
            <w:vAlign w:val="bottom"/>
            <w:gridSpan w:val="2"/>
          </w:tcPr>
          <w:p>
            <w:pPr>
              <w:jc w:val="right"/>
              <w:ind w:right="3"/>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7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Transaction-based expenses:</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380"/>
              <w:spacing w:after="0"/>
              <w:rPr>
                <w:sz w:val="20"/>
                <w:szCs w:val="20"/>
                <w:color w:val="auto"/>
              </w:rPr>
            </w:pPr>
            <w:r>
              <w:rPr>
                <w:rFonts w:ascii="Arial" w:cs="Arial" w:eastAsia="Arial" w:hAnsi="Arial"/>
                <w:sz w:val="18"/>
                <w:szCs w:val="18"/>
                <w:color w:val="auto"/>
              </w:rPr>
              <w:t>Transaction rebates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1160" w:type="dxa"/>
            <w:vAlign w:val="bottom"/>
            <w:gridSpan w:val="2"/>
          </w:tcPr>
          <w:p>
            <w:pPr>
              <w:jc w:val="right"/>
              <w:ind w:right="3"/>
              <w:spacing w:after="0"/>
              <w:rPr>
                <w:sz w:val="20"/>
                <w:szCs w:val="20"/>
                <w:color w:val="auto"/>
              </w:rPr>
            </w:pPr>
            <w:r>
              <w:rPr>
                <w:rFonts w:ascii="Arial" w:cs="Arial" w:eastAsia="Arial" w:hAnsi="Arial"/>
                <w:sz w:val="18"/>
                <w:szCs w:val="18"/>
                <w:color w:val="auto"/>
              </w:rPr>
              <w:t>56.3 %</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72.0 %</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5"/>
        </w:trPr>
        <w:tc>
          <w:tcPr>
            <w:tcW w:w="6160" w:type="dxa"/>
            <w:vAlign w:val="bottom"/>
          </w:tcPr>
          <w:p>
            <w:pPr>
              <w:ind w:left="380"/>
              <w:spacing w:after="0" w:line="205" w:lineRule="exact"/>
              <w:rPr>
                <w:sz w:val="20"/>
                <w:szCs w:val="20"/>
                <w:color w:val="auto"/>
              </w:rPr>
            </w:pPr>
            <w:r>
              <w:rPr>
                <w:rFonts w:ascii="Arial" w:cs="Arial" w:eastAsia="Arial" w:hAnsi="Arial"/>
                <w:sz w:val="18"/>
                <w:szCs w:val="18"/>
                <w:b w:val="1"/>
                <w:bCs w:val="1"/>
                <w:color w:val="auto"/>
                <w:w w:val="95"/>
              </w:rPr>
              <w:t>Equity derivative trading and clearing revenues less transaction-based</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5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188</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21.3 %</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Cash Equity Trading Revenues</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rebates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16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Cash equity trading revenues less transaction-based expenses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0.8 %</w:t>
            </w:r>
          </w:p>
        </w:tc>
        <w:tc>
          <w:tcPr>
            <w:tcW w:w="0" w:type="dxa"/>
            <w:vAlign w:val="bottom"/>
          </w:tcPr>
          <w:p>
            <w:pPr>
              <w:spacing w:after="0"/>
              <w:rPr>
                <w:sz w:val="1"/>
                <w:szCs w:val="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FICC Revenues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Transaction-based expenses:</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380"/>
              <w:spacing w:after="0"/>
              <w:rPr>
                <w:sz w:val="20"/>
                <w:szCs w:val="20"/>
                <w:color w:val="auto"/>
              </w:rPr>
            </w:pPr>
            <w:r>
              <w:rPr>
                <w:rFonts w:ascii="Arial" w:cs="Arial" w:eastAsia="Arial" w:hAnsi="Arial"/>
                <w:sz w:val="18"/>
                <w:szCs w:val="18"/>
                <w:color w:val="auto"/>
              </w:rPr>
              <w:t>Transaction rebates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375.0 %</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Brokerage, clearance and exchange fees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6160" w:type="dxa"/>
            <w:vAlign w:val="bottom"/>
          </w:tcPr>
          <w:p>
            <w:pPr>
              <w:ind w:left="380"/>
              <w:spacing w:after="0"/>
              <w:rPr>
                <w:sz w:val="20"/>
                <w:szCs w:val="20"/>
                <w:color w:val="auto"/>
              </w:rPr>
            </w:pPr>
            <w:r>
              <w:rPr>
                <w:rFonts w:ascii="Arial" w:cs="Arial" w:eastAsia="Arial" w:hAnsi="Arial"/>
                <w:sz w:val="18"/>
                <w:szCs w:val="18"/>
                <w:b w:val="1"/>
                <w:bCs w:val="1"/>
                <w:color w:val="auto"/>
              </w:rPr>
              <w:t>FICC revenues less transaction-based expenses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b w:val="1"/>
                <w:bCs w:val="1"/>
                <w:color w:val="auto"/>
              </w:rPr>
              <w:t>— %</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Trade Management Services Revenues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9.4 %</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11.3 %</w:t>
            </w:r>
          </w:p>
        </w:tc>
        <w:tc>
          <w:tcPr>
            <w:tcW w:w="0" w:type="dxa"/>
            <w:vAlign w:val="bottom"/>
          </w:tcPr>
          <w:p>
            <w:pPr>
              <w:spacing w:after="0"/>
              <w:rPr>
                <w:sz w:val="1"/>
                <w:szCs w:val="1"/>
                <w:color w:val="auto"/>
              </w:rPr>
            </w:pPr>
          </w:p>
        </w:tc>
      </w:tr>
      <w:tr>
        <w:trPr>
          <w:trHeight w:val="257"/>
        </w:trPr>
        <w:tc>
          <w:tcPr>
            <w:tcW w:w="6160" w:type="dxa"/>
            <w:vAlign w:val="bottom"/>
          </w:tcPr>
          <w:p>
            <w:pPr>
              <w:ind w:left="380"/>
              <w:spacing w:after="0"/>
              <w:rPr>
                <w:sz w:val="20"/>
                <w:szCs w:val="20"/>
                <w:color w:val="auto"/>
              </w:rPr>
            </w:pPr>
            <w:r>
              <w:rPr>
                <w:rFonts w:ascii="Arial" w:cs="Arial" w:eastAsia="Arial" w:hAnsi="Arial"/>
                <w:sz w:val="18"/>
                <w:szCs w:val="18"/>
                <w:b w:val="1"/>
                <w:bCs w:val="1"/>
                <w:color w:val="auto"/>
              </w:rPr>
              <w:t>Total Market Services revenues less transaction-based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881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827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771</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6.5 %</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7.3 %</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20" w:right="20" w:hanging="412"/>
        <w:spacing w:after="0" w:line="216" w:lineRule="auto"/>
        <w:tabs>
          <w:tab w:leader="none" w:pos="42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Section 31 fees of $40 million in 2017, $24 million in 2016 and $19 million in 2015. Section 31 fees are recorded as equity derivative trading and clearing revenues with a corresponding amount recorded in transaction-based expenses.</w:t>
      </w:r>
    </w:p>
    <w:p>
      <w:pPr>
        <w:spacing w:after="0" w:line="1" w:lineRule="exact"/>
        <w:rPr>
          <w:rFonts w:ascii="Arial" w:cs="Arial" w:eastAsia="Arial" w:hAnsi="Arial"/>
          <w:sz w:val="25"/>
          <w:szCs w:val="25"/>
          <w:color w:val="auto"/>
          <w:vertAlign w:val="superscript"/>
        </w:rPr>
      </w:pPr>
    </w:p>
    <w:p>
      <w:pPr>
        <w:ind w:left="420" w:hanging="412"/>
        <w:spacing w:after="0" w:line="209" w:lineRule="auto"/>
        <w:tabs>
          <w:tab w:leader="none" w:pos="42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Section 31 fees of $319 million in 2017, $290 million in 2016 and $282 million in 2015. Section 31 fees are recorded as cash equity trading revenues with a corresponding amount recorded in transaction-based expenses.</w:t>
      </w:r>
    </w:p>
    <w:p>
      <w:pPr>
        <w:sectPr>
          <w:pgSz w:w="11900" w:h="16838" w:orient="portrait"/>
          <w:cols w:equalWidth="0" w:num="1">
            <w:col w:w="11420"/>
          </w:cols>
          <w:pgMar w:left="240" w:top="445" w:right="23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Derivative Trading and Clearing Revenues</w:t>
      </w:r>
    </w:p>
    <w:p>
      <w:pPr>
        <w:spacing w:after="0" w:line="9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Equity derivative trading and clearing revenues and equity derivative trading and clearing revenues less transaction-based expenses increased in both 2017 compared with 2016 and 2016 compared with 2015.</w:t>
      </w:r>
    </w:p>
    <w:p>
      <w:pPr>
        <w:spacing w:after="0" w:line="30"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The increases in 2017 were primarily due to the inclusion of a full year of revenues from our acquisition of ISE compared with six months in 2016, higher U.S. industry trading volumes and an increase in our overall U.S. matched market share. Further impacting the increase in equity derivative trading revenues was higher Section 31 pass-through fee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2016 were primarily due to:</w:t>
      </w:r>
    </w:p>
    <w:p>
      <w:pPr>
        <w:spacing w:after="0" w:line="11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inclusion of revenues from our acquisition of ISE, partially offset by;</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U.S. industry trading volumes;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market share at Nasdaq PHLX.</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Section 31 fees are recorded as equity derivative trading and clearing revenues with a corresponding amount recorded as transaction-based expenses. In the U.S.,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of shares traded. Since the amount recorded in revenues is equal to the amount recorded as transaction-based expenses, there is no impact on our revenues less transaction-based expenses. The increase in 2017 compared with 2016 is primarily due to the inclusion of a full year of Section 31 fees from our acquisition of ISE compared with six months in 2016. The increase in 2016 compared with 2015 is primarily due to the inclusion of six months of Section 31 fees from our acquisition of ISE.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Transaction rebates, in which we credit a portion of the per share execution charge to the market participant, increased in both</w:t>
      </w:r>
    </w:p>
    <w:p>
      <w:pPr>
        <w:sectPr>
          <w:pgSz w:w="11900" w:h="16838" w:orient="portrait"/>
          <w:cols w:equalWidth="0" w:num="2">
            <w:col w:w="5800" w:space="20"/>
            <w:col w:w="5600"/>
          </w:cols>
          <w:pgMar w:left="240" w:top="445" w:right="239" w:bottom="1440" w:gutter="0" w:footer="0" w:header="0"/>
          <w:type w:val="continuous"/>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2017 compared with 2016 and 2016 compared to 2015. The increase in 2017 was primarily due to the inclusion of a full year of rebates associated with our acquisition of ISE compared with six months in 2016, increases in rebate capture, higher U.S. industry trading volumes, and an increase in our overall U.S. matched market share. The increase in 2016 was primarily due to the inclusion of six months of rebates associated with our acquisition of ISE, partially offset by lower U.S. industry trading volumes and lower market share at Nasdaq PHLX.</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Brokerage, clearance and exchange fees increased in both 2017 compared with 2016 and 2016 compared with 2015. The increase in both 2017 and 2016 was primarily due to higher Section 31 pass-through fees associated with our acquisition of ISE, as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Equity Trading Revenues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equity trading revenues and cash equity trading revenues less transaction-based expenses decreased in 2017 compared with 2016 and increased in 2016 compared with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decreases in 2017 were primarily due to:</w:t>
      </w:r>
    </w:p>
    <w:p>
      <w:pPr>
        <w:spacing w:after="0" w:line="9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U.S. industry trading volumes, partially offset by;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European industry trading volumes; and</w:t>
      </w:r>
    </w:p>
    <w:p>
      <w:pPr>
        <w:spacing w:after="0" w:line="9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our overall U.S. matched market share and European market share executed on Nasdaq's exchanges.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cash equity trading revenues in 2017 was also partially offset by an increase in Section 31 pass-through fee revenue.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2016 were primarily due to:</w:t>
      </w:r>
    </w:p>
    <w:p>
      <w:pPr>
        <w:spacing w:after="0" w:line="90"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inclusion of revenues associated with our acquisition of Nasdaq Canada; and</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higher U.S. and European industry trading volumes, partially offset by a;</w:t>
      </w:r>
    </w:p>
    <w:p>
      <w:pPr>
        <w:spacing w:after="0" w:line="113"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 in our overall U.S. and European matched market share executed on Nasdaq’s exchanges.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cash equity trading revenues less transaction-based expenses in 2016 was also unfavorably impacted by a decrease in the U.S. average net capture rate.</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Similar to equity derivative trading and clearing, in the U.S. we record Section 31 fees as cash equity trading revenues with a corresponding amount recorded as transaction-based expenses. We are assessed these fees from the SEC and pass them through to our customers in the form of incremental fees. Since the amount recorded as revenues is equal to the amount recorded as transaction-based expenses, there is no impact on our revenues less transaction-based expenses. The increases in Section 31 fees in 2017 compared with 2016 and 2016 compared with 2015 were primarily due to higher dollar value traded on Nasdaq’s exchanges and higher SEC fee rates.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rebates decreased in 2017 compared with 2016 and increased in 2016 compared with 2015. For The Nasdaq Stock Market, Nasdaq PSX and Nasdaq Canada, we credit a portion of the per share execution charge to the market participant that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provides the liquidity, and for Nasdaq BX, we credit a portion of the per share execution charge to the market participant that takes the liquidity.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2017 was primarily due to:</w:t>
      </w:r>
    </w:p>
    <w:p>
      <w:pPr>
        <w:spacing w:after="0" w:line="11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U.S. industry trading volumes, partially offset by;</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our overall U.S. matched market share executed on Nasdaq’s exchanges.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2016 was primarily due to:</w:t>
      </w:r>
    </w:p>
    <w:p>
      <w:pPr>
        <w:spacing w:after="0" w:line="11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U.S. industry trading volumes;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inclusion of rebates associated with our acquisition of Nasdaq Canada, partially offset by a;</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 in our overall U.S. matched market share executed on Nasdaq’s exchanges.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Brokerage, clearance and exchange fees increased in both 2017 compared with 2016 and 2016 when compared with 2015. The increase in 2017 was primarily due to higher Section 31 pass-through fees, as discussed above, partially offset by a decline in routing fees. The increase in 2016 was primarily due to an increase in Section 31 pass-through fees.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FICC Revenues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FICC revenues decreased in 2017 compared with the same period in 2016 primarily due to volume declines in European commodities products and U.S. fixed income products, partially offset by higher volumes and pricing changes at NFX. FICC revenues less transaction-based expenses were flat in 2017 compared with 2016 as declines in European commodities products and U.S. fixed income products were offset by higher volumes and pricing changes at NFX.</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FICC revenues increased slightly in 2016 compared with 2015 and FICC revenues less transaction-based expenses decreased in 2016 compared with 2015. The decrease in FICC revenues less transaction-based expenses in 2016 was primarily due to the impact of NFX trading incentives and a decline in U.S. fixed income revenues, partially offset by higher commodities revenues.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Management Services Revenues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Trade management services revenues increased in both 2017 compared with 2016 and 2016 compared with 2015. The increase in 2017 was primarily due to an increase in customer demand for third party connectivity, co-location, and test facilities and the inclusion of a full year of revenues from our acquisition of ISE compared with six months in 2016. The increase in 2016 was primarily due to an increase in customer demand for network connectivity and the inclusion of six months of revenues from our acquisition of ISE.</w:t>
      </w:r>
    </w:p>
    <w:p>
      <w:pPr>
        <w:spacing w:after="0" w:line="1231"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45" w:right="239" w:bottom="1440" w:gutter="0" w:footer="0" w:header="0"/>
          <w:type w:val="continuous"/>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revenues from our Corporate Services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right"/>
              <w:ind w:right="257"/>
              <w:spacing w:after="0"/>
              <w:rPr>
                <w:sz w:val="20"/>
                <w:szCs w:val="20"/>
                <w:color w:val="auto"/>
              </w:rPr>
            </w:pPr>
            <w:r>
              <w:rPr>
                <w:rFonts w:ascii="Arial" w:cs="Arial" w:eastAsia="Arial" w:hAnsi="Arial"/>
                <w:sz w:val="13"/>
                <w:szCs w:val="13"/>
                <w:b w:val="1"/>
                <w:bCs w:val="1"/>
                <w:color w:val="auto"/>
                <w:w w:val="98"/>
              </w:rPr>
              <w:t>Year Ended December 31,</w:t>
            </w:r>
          </w:p>
        </w:tc>
        <w:tc>
          <w:tcPr>
            <w:tcW w:w="100" w:type="dxa"/>
            <w:vAlign w:val="bottom"/>
          </w:tcPr>
          <w:p>
            <w:pPr>
              <w:spacing w:after="0"/>
              <w:rPr>
                <w:sz w:val="15"/>
                <w:szCs w:val="15"/>
                <w:color w:val="auto"/>
              </w:rPr>
            </w:pPr>
          </w:p>
        </w:tc>
        <w:tc>
          <w:tcPr>
            <w:tcW w:w="174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277"/>
        </w:trPr>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101"/>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2017 vs. 2016</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8"/>
              </w:rPr>
              <w:t>2016 vs. 2015</w:t>
            </w:r>
          </w:p>
        </w:tc>
        <w:tc>
          <w:tcPr>
            <w:tcW w:w="0" w:type="dxa"/>
            <w:vAlign w:val="bottom"/>
          </w:tcPr>
          <w:p>
            <w:pPr>
              <w:spacing w:after="0"/>
              <w:rPr>
                <w:sz w:val="1"/>
                <w:szCs w:val="1"/>
                <w:color w:val="auto"/>
              </w:rPr>
            </w:pPr>
          </w:p>
        </w:tc>
      </w:tr>
      <w:tr>
        <w:trPr>
          <w:trHeight w:val="276"/>
        </w:trPr>
        <w:tc>
          <w:tcPr>
            <w:tcW w:w="16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w w:val="95"/>
              </w:rPr>
              <w:t>(in millions)</w:t>
            </w:r>
          </w:p>
        </w:tc>
        <w:tc>
          <w:tcPr>
            <w:tcW w:w="1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Corporate Services:</w:t>
            </w: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120"/>
              <w:spacing w:after="0"/>
              <w:rPr>
                <w:sz w:val="20"/>
                <w:szCs w:val="20"/>
                <w:color w:val="auto"/>
              </w:rPr>
            </w:pPr>
            <w:r>
              <w:rPr>
                <w:rFonts w:ascii="Arial" w:cs="Arial" w:eastAsia="Arial" w:hAnsi="Arial"/>
                <w:sz w:val="18"/>
                <w:szCs w:val="18"/>
                <w:b w:val="1"/>
                <w:bCs w:val="1"/>
                <w:color w:val="auto"/>
              </w:rPr>
              <w:t>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Listing Services</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5"/>
        </w:trPr>
        <w:tc>
          <w:tcPr>
            <w:tcW w:w="16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Total Corporate</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120"/>
              <w:spacing w:after="0"/>
              <w:rPr>
                <w:sz w:val="20"/>
                <w:szCs w:val="20"/>
                <w:color w:val="auto"/>
              </w:rPr>
            </w:pPr>
            <w:r>
              <w:rPr>
                <w:rFonts w:ascii="Arial" w:cs="Arial" w:eastAsia="Arial" w:hAnsi="Arial"/>
                <w:sz w:val="18"/>
                <w:szCs w:val="18"/>
                <w:b w:val="1"/>
                <w:bCs w:val="1"/>
                <w:color w:val="auto"/>
              </w:rPr>
              <w:t>Services</w:t>
            </w:r>
          </w:p>
        </w:tc>
        <w:tc>
          <w:tcPr>
            <w:tcW w:w="1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Solutions Revenues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solutions revenues increased in both 2017 compared with 2016 and 2016 compared with 2015. The increase was primarily due to the inclusion of revenues associated with the acquisitions of Boardvantage and Marketwired. See “Acquisition of Boardvantage,” and “Acquisition of Marketwired,” of Note 4, “Acquisitions,” to the consolidated financial statements for further discussion of the Boardvantage and Marketwired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Services Revenues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Listing services revenues decreased in 2017 compared with 2016 and increased in 2016 compared with 2015. The decrease in 2017 was primarily due to a decrease in U.S. listing of additional share fees as a result of our all-inclusive annual listing fee program, partially offset by an increase in European listing services revenues due to new company listings. The increase in 2016 was primarily due to an increase in European revenues due to new company listings.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SERVICES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revenues from our Information Services segment:</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220" w:type="dxa"/>
            <w:vAlign w:val="bottom"/>
            <w:gridSpan w:val="4"/>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1640" w:type="dxa"/>
            <w:vAlign w:val="bottom"/>
            <w:gridSpan w:val="3"/>
          </w:tcPr>
          <w:p>
            <w:pPr>
              <w:ind w:left="320"/>
              <w:spacing w:after="0"/>
              <w:rPr>
                <w:sz w:val="20"/>
                <w:szCs w:val="20"/>
                <w:color w:val="auto"/>
              </w:rPr>
            </w:pPr>
            <w:r>
              <w:rPr>
                <w:rFonts w:ascii="Arial" w:cs="Arial" w:eastAsia="Arial" w:hAnsi="Arial"/>
                <w:sz w:val="13"/>
                <w:szCs w:val="13"/>
                <w:b w:val="1"/>
                <w:bCs w:val="1"/>
                <w:color w:val="auto"/>
              </w:rPr>
              <w:t>Percentage Change</w:t>
            </w:r>
          </w:p>
        </w:tc>
      </w:tr>
      <w:tr>
        <w:trPr>
          <w:trHeight w:val="144"/>
        </w:trPr>
        <w:tc>
          <w:tcPr>
            <w:tcW w:w="6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2016 vs.</w:t>
            </w:r>
          </w:p>
        </w:tc>
      </w:tr>
      <w:tr>
        <w:trPr>
          <w:trHeight w:val="174"/>
        </w:trPr>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2016</w:t>
            </w: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5"/>
                <w:szCs w:val="15"/>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8"/>
              </w:rPr>
              <w:t>2017 vs. 2016</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2015</w:t>
            </w:r>
          </w:p>
        </w:tc>
      </w:tr>
    </w:tbl>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associated with the acquisitions of ISE and Nasdaq Canada, and higher index data products revenues.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Index Licensing and Services Revenues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Index licensing and services revenues increased in 2017 compared with 2016 and was flat in 2016 compared with 2015. The increase in 2017 was primarily due to higher assets under management in ETPs linked to Nasdaq indexes. Index licensing and services revenues were flat in 2016 as an increase in revenues associated with the acquisition of ISE was offset by a decrease in average fees on ETPs tracking to Nasdaq indexes and a decrease in the value of underlying assets associated with non-ETP Nasdaq-licensed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revenues from our Market Technology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10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230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24"/>
                <w:szCs w:val="24"/>
                <w:color w:val="auto"/>
              </w:rPr>
            </w:pPr>
          </w:p>
        </w:tc>
        <w:tc>
          <w:tcPr>
            <w:tcW w:w="640" w:type="dxa"/>
            <w:vAlign w:val="bottom"/>
          </w:tcPr>
          <w:p>
            <w:pPr>
              <w:jc w:val="right"/>
              <w:ind w:right="12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8"/>
              </w:rPr>
              <w:t>2017 vs. 2016</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8"/>
              </w:rPr>
              <w:t>2016 vs. 2015</w:t>
            </w:r>
          </w:p>
        </w:tc>
      </w:tr>
      <w:tr>
        <w:trPr>
          <w:trHeight w:val="276"/>
        </w:trPr>
        <w:tc>
          <w:tcPr>
            <w:tcW w:w="166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 millions)</w:t>
            </w: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72"/>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Market Technology  </w:t>
            </w:r>
            <w:r>
              <w:rPr>
                <w:rFonts w:ascii="Arial" w:cs="Arial" w:eastAsia="Arial" w:hAnsi="Arial"/>
                <w:sz w:val="18"/>
                <w:szCs w:val="18"/>
                <w:color w:val="auto"/>
              </w:rPr>
              <w:t>$  303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275</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Market technology revenues increased in both 2017 compared with 2016 and 2016 compared with 2015. The increase in 2017 was primarily due to higher change request revenues and an increase in revenues from software as a service. The increase in 2016 was primarily due to an increase in revenues from software, licensing and support as well as surveillance products.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Order Value</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Total order value, which represents the total contract value of orders signed that are yet to be recognized as revenues, was $847 million as of December 31, 2017 and $777 million as of December 31, 2016. As of December 31, 2017, market technology deferred revenue of $173 million represents consideration received that is yet to be recognized as revenue for these signed orders. See Note 9, “Deferred Revenue,” to the consolidated financial statements for further discussion. The recognition and timing of these revenues depend on many factors, including those that are not within our control. As such, the following table of market technology revenues to be recognized in the future represents our best estimate:</w:t>
      </w:r>
    </w:p>
    <w:p>
      <w:pPr>
        <w:spacing w:after="0" w:line="214"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0"/>
              </w:rPr>
              <w:t>Information Services:</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Data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color w:val="auto"/>
                <w:w w:val="87"/>
              </w:rPr>
              <w:t>Fiscal year ended:</w:t>
            </w: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Index Licensing</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and Services</w:t>
            </w:r>
          </w:p>
        </w:tc>
        <w:tc>
          <w:tcPr>
            <w:tcW w:w="2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ind w:left="28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5"/>
        </w:trPr>
        <w:tc>
          <w:tcPr>
            <w:tcW w:w="17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Total Information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512</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ind w:left="280"/>
              <w:spacing w:after="0" w:line="205"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46"/>
        </w:trPr>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Services</w:t>
            </w:r>
          </w:p>
        </w:tc>
        <w:tc>
          <w:tcPr>
            <w:tcW w:w="2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580" w:type="dxa"/>
            <w:vAlign w:val="bottom"/>
          </w:tcPr>
          <w:p>
            <w:pPr>
              <w:ind w:left="28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3"/>
          <w:szCs w:val="13"/>
          <w:b w:val="1"/>
          <w:bCs w:val="1"/>
          <w:color w:val="auto"/>
        </w:rPr>
        <w:t>Total Order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19685</wp:posOffset>
            </wp:positionV>
            <wp:extent cx="354203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2030" cy="188595"/>
                    </a:xfrm>
                    <a:prstGeom prst="rect">
                      <a:avLst/>
                    </a:prstGeom>
                    <a:noFill/>
                  </pic:spPr>
                </pic:pic>
              </a:graphicData>
            </a:graphic>
          </wp:anchor>
        </w:drawing>
      </w:r>
    </w:p>
    <w:p>
      <w:pPr>
        <w:spacing w:after="0" w:line="321"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46355</wp:posOffset>
            </wp:positionV>
            <wp:extent cx="35420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17145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31750</wp:posOffset>
            </wp:positionV>
            <wp:extent cx="35420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2030" cy="17145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8660" w:space="720"/>
            <w:col w:w="2040"/>
          </w:cols>
          <w:pgMar w:left="240" w:top="445"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Products Revenues</w:t>
      </w:r>
    </w:p>
    <w:p>
      <w:pPr>
        <w:spacing w:after="0" w:line="11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Data products revenues increased in both 2017 compared with 2016 and 2016 compared with 2015. The increase in 2017 was primarily due to growth in proprietary data products revenues and the inclusion of revenues associated with the acquisition of eVestment. The increase in 2016 was primarily due to growth in proprietary data products revenues, the inclusion of revenues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2023 and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8"/>
          <w:szCs w:val="18"/>
          <w:color w:val="auto"/>
        </w:rPr>
        <w:t>102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31750</wp:posOffset>
            </wp:positionV>
            <wp:extent cx="35420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4203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7"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46355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63500</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3">
            <w:col w:w="5800" w:space="60"/>
            <w:col w:w="2800" w:space="720"/>
            <w:col w:w="2040"/>
          </w:cols>
          <w:pgMar w:left="240" w:top="445" w:right="239" w:bottom="1440" w:gutter="0" w:footer="0" w:header="0"/>
          <w:type w:val="continuous"/>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2018, we adopted ASU 2014-09, “Revenue from Contracts with Customers.” As a result, a portion of revenues that were previously deferred were recognized either in prior period revenues, through restatement, or as an adjustment to</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retained earnings upon adoption of the new standard. See “Recent Accounting Pronouncements,” of Note 2, “Summary of Significant Accounting Policies,” for further discussion and the impact to the deferred revenue balance.</w:t>
      </w:r>
    </w:p>
    <w:p>
      <w:pPr>
        <w:spacing w:after="0" w:line="7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i w:val="1"/>
          <w:iCs w:val="1"/>
          <w:color w:val="auto"/>
        </w:rPr>
        <w:t>* * * * * *</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operating expenses: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3"/>
                <w:szCs w:val="13"/>
                <w:b w:val="1"/>
                <w:bCs w:val="1"/>
                <w:color w:val="auto"/>
                <w:w w:val="87"/>
              </w:rPr>
              <w:t>Year Ended 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ind w:right="192"/>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54"/>
              <w:spacing w:after="0"/>
              <w:rPr>
                <w:sz w:val="20"/>
                <w:szCs w:val="20"/>
                <w:color w:val="auto"/>
              </w:rPr>
            </w:pPr>
            <w:r>
              <w:rPr>
                <w:rFonts w:ascii="Arial" w:cs="Arial" w:eastAsia="Arial" w:hAnsi="Arial"/>
                <w:sz w:val="13"/>
                <w:szCs w:val="13"/>
                <w:b w:val="1"/>
                <w:bCs w:val="1"/>
                <w:color w:val="auto"/>
                <w:w w:val="82"/>
              </w:rPr>
              <w:t>2016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52"/>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2017 vs. 2016</w:t>
            </w:r>
          </w:p>
        </w:tc>
        <w:tc>
          <w:tcPr>
            <w:tcW w:w="1040" w:type="dxa"/>
            <w:vAlign w:val="bottom"/>
          </w:tcPr>
          <w:p>
            <w:pPr>
              <w:jc w:val="right"/>
              <w:ind w:right="72"/>
              <w:spacing w:after="0"/>
              <w:rPr>
                <w:sz w:val="20"/>
                <w:szCs w:val="20"/>
                <w:color w:val="auto"/>
              </w:rPr>
            </w:pPr>
            <w:r>
              <w:rPr>
                <w:rFonts w:ascii="Arial" w:cs="Arial" w:eastAsia="Arial" w:hAnsi="Arial"/>
                <w:sz w:val="13"/>
                <w:szCs w:val="13"/>
                <w:b w:val="1"/>
                <w:bCs w:val="1"/>
                <w:color w:val="auto"/>
              </w:rPr>
              <w:t>2016 vs. 2015</w:t>
            </w:r>
          </w:p>
        </w:tc>
      </w:tr>
      <w:tr>
        <w:trPr>
          <w:trHeight w:val="289"/>
        </w:trPr>
        <w:tc>
          <w:tcPr>
            <w:tcW w:w="58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(in millions)</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8"/>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Professional and contract services</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operations and data communications</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Marketing and advertising</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Regulatory</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29.6 %</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strategic initiatives</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7"/>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58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type w:val="continuous"/>
        </w:sectPr>
      </w:pP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increase in compensation and benefits expense in 2017 was primarily due to overall higher compensation costs resulting from our 2017 and 2016 acquisitions and an unfavorable impact from foreign exchange of $2 million, partially offset by lower compensation expense reflecting lower performance incentives. Also impacting the change in compensation expense in 2017 was accelerated expense recorded in 2016 due to the retirement of the company's former CEO for equity awards previously granted. The increase in 2016 was primarily due to overall higher compensation costs resulting from our 2016 acquisitions and accelerated expense due to the retirement of the company’s former CEO discussed above. Partially offsetting the 2016 increases was lower compensation expense reflecting lower performance incentives and a favorable impact from foreign exchange of $3 million.</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Headcount increased to 4,734 employees as of December 31, 2017 from 4,325 as of December 31, 2016 primarily due to our acquisition of eVestment.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professional and contract services expense in 2017 was primarily associated with our 2017 and 2016 acquisitions and the increase in 2016 was primarily associated with our 2016 acquisitions.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computer operations and data communications expense in 2017 and 2016 was primarily due to higher hardware and license costs. The increase in 2017 was associated with our 2017 and 2016 acquisitions and the increase in 2016 was primarily associated with our 2016 acquisitions.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increase in occupancy expense in 2017 and 2016 primarily reflects additional facility and rent costs. The increase in 2017 was associated with our 2017 and 2016 acquisitions and the increase in 2016 was associated with our 2016 acquisitions. The increase in 2016 is partially offset by lower facility and rent costs as a result of our restructuring activities.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general, administrative and other expense in 2017 was primarily due to a pre-tax charge of $10 million which primarily included a make-whole redemption price premium paid on the early extinguishment of our $370 million aggregate principal amount of 5.25% senior unsecured notes, or the 2018 Notes, and lower regulatory fine collections. The increase in 2016 is primarily associated with our 2016 acquisitions.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and advertising expense increased in both 2017 and 2016 primarily due to an increase in advertising spend.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depreciation and amortization expense in 2017 and 2016 was primarily due to additional amortization expense associated with acquired intangible assets. The increase in 2017 was associated with our 2017 and 2016 acquisitions and the increase in 2016 was primarily associated with our 2016 acquisitions. The increase in 2016 was also due to additional amortization expense associated with software assets placed in service.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regulatory expense in 2017 was primarily due to costs incurred in 2016 related to the investigations of cybersecurity processes at our Nordic exchanges and clearinghouse, which are discussed below, partially offset by a rate increase for regulatory services and trade surveillance. The</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45" w:right="239" w:bottom="1440" w:gutter="0" w:footer="0" w:header="0"/>
          <w:type w:val="continuous"/>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increase in 2016 was due to investigations of cybersecurity processes at our Nordic exchanges and clearinghouse. In December 2016, we were issued a $6 million fine by the SFSA as a result of findings in connection with its investigation. The SFSA’s conclusions related to governance issues rather than systems and platform security. We have appealed the SFSA’s decision, including the amount of the fine. The court has not yet reached a decision on our appeal.</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Merger and strategic initiatives expense for 2017 was primarily related to our acquisitions of eVestment and ISE as well as costs associated with our review of strategic alternatives for our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Public Relations Solutions and Digital Media Services businesses within our Corporate Solutions business. Merger and strategic initiatives expense for 2016 was primarily related to our acquisitions of ISE, Boardvantage, and Marketwired. Merger and strategic initiatives expense for 2015 was primarily related to certain strategic initiatives and our acquisition of DWA.</w:t>
      </w:r>
    </w:p>
    <w:p>
      <w:pPr>
        <w:spacing w:after="0" w:line="5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See Note 3, “Restructuring Charges,” to the consolidated financial statements for a discussion of our restructuring charges recorded during 2016 and 2015.</w:t>
      </w:r>
    </w:p>
    <w:p>
      <w:pPr>
        <w:spacing w:after="0" w:line="663"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i w:val="1"/>
          <w:iCs w:val="1"/>
          <w:color w:val="auto"/>
        </w:rPr>
        <w:t>* *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non-operating income and expenses: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53"/>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96"/>
              <w:spacing w:after="0"/>
              <w:rPr>
                <w:sz w:val="20"/>
                <w:szCs w:val="20"/>
                <w:color w:val="auto"/>
              </w:rPr>
            </w:pPr>
            <w:r>
              <w:rPr>
                <w:rFonts w:ascii="Arial" w:cs="Arial" w:eastAsia="Arial" w:hAnsi="Arial"/>
                <w:sz w:val="13"/>
                <w:szCs w:val="13"/>
                <w:b w:val="1"/>
                <w:bCs w:val="1"/>
                <w:color w:val="auto"/>
                <w:w w:val="82"/>
              </w:rPr>
              <w:t>2016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53"/>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Arial" w:cs="Arial" w:eastAsia="Arial" w:hAnsi="Arial"/>
                <w:sz w:val="13"/>
                <w:szCs w:val="13"/>
                <w:b w:val="1"/>
                <w:bCs w:val="1"/>
                <w:color w:val="auto"/>
              </w:rPr>
              <w:t>2017 vs. 2016</w:t>
            </w:r>
          </w:p>
        </w:tc>
        <w:tc>
          <w:tcPr>
            <w:tcW w:w="1260" w:type="dxa"/>
            <w:vAlign w:val="bottom"/>
          </w:tcPr>
          <w:p>
            <w:pPr>
              <w:jc w:val="right"/>
              <w:ind w:right="19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276"/>
        </w:trPr>
        <w:tc>
          <w:tcPr>
            <w:tcW w:w="468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Asset impairment charge</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income from unconsolidated investees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650.0 %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non-operating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auto"/>
              </w:rPr>
              <w:t>N/M Not meaningful.</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in both 2017 and 2016 primarily due to an increase in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interest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4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99"/>
              <w:spacing w:after="0"/>
              <w:rPr>
                <w:sz w:val="20"/>
                <w:szCs w:val="20"/>
                <w:color w:val="auto"/>
              </w:rPr>
            </w:pPr>
            <w:r>
              <w:rPr>
                <w:rFonts w:ascii="Arial" w:cs="Arial" w:eastAsia="Arial" w:hAnsi="Arial"/>
                <w:sz w:val="13"/>
                <w:szCs w:val="13"/>
                <w:b w:val="1"/>
                <w:bCs w:val="1"/>
                <w:color w:val="auto"/>
                <w:w w:val="82"/>
              </w:rPr>
              <w:t>2016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55"/>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24"/>
                <w:szCs w:val="24"/>
                <w:color w:val="auto"/>
              </w:rPr>
            </w:pPr>
          </w:p>
        </w:tc>
        <w:tc>
          <w:tcPr>
            <w:tcW w:w="1420" w:type="dxa"/>
            <w:vAlign w:val="bottom"/>
            <w:gridSpan w:val="2"/>
          </w:tcPr>
          <w:p>
            <w:pPr>
              <w:ind w:left="240"/>
              <w:spacing w:after="0"/>
              <w:rPr>
                <w:sz w:val="20"/>
                <w:szCs w:val="20"/>
                <w:color w:val="auto"/>
              </w:rPr>
            </w:pPr>
            <w:r>
              <w:rPr>
                <w:rFonts w:ascii="Arial" w:cs="Arial" w:eastAsia="Arial" w:hAnsi="Arial"/>
                <w:sz w:val="13"/>
                <w:szCs w:val="13"/>
                <w:b w:val="1"/>
                <w:bCs w:val="1"/>
                <w:color w:val="auto"/>
              </w:rPr>
              <w:t>2017 vs. 2016</w:t>
            </w:r>
          </w:p>
        </w:tc>
        <w:tc>
          <w:tcPr>
            <w:tcW w:w="1220" w:type="dxa"/>
            <w:vAlign w:val="bottom"/>
          </w:tcPr>
          <w:p>
            <w:pPr>
              <w:jc w:val="right"/>
              <w:ind w:right="175"/>
              <w:spacing w:after="0"/>
              <w:rPr>
                <w:sz w:val="20"/>
                <w:szCs w:val="20"/>
                <w:color w:val="auto"/>
              </w:rPr>
            </w:pPr>
            <w:r>
              <w:rPr>
                <w:rFonts w:ascii="Arial" w:cs="Arial" w:eastAsia="Arial" w:hAnsi="Arial"/>
                <w:sz w:val="13"/>
                <w:szCs w:val="13"/>
                <w:b w:val="1"/>
                <w:bCs w:val="1"/>
                <w:color w:val="auto"/>
              </w:rPr>
              <w:t>2016 vs. 2015</w:t>
            </w:r>
          </w:p>
        </w:tc>
      </w:tr>
      <w:tr>
        <w:trPr>
          <w:trHeight w:val="289"/>
        </w:trPr>
        <w:tc>
          <w:tcPr>
            <w:tcW w:w="47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debt</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135</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Accretion of debt issuance costs and debt discount</w:t>
            </w:r>
          </w:p>
        </w:tc>
        <w:tc>
          <w:tcPr>
            <w:tcW w:w="7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bank and investment-related fees</w:t>
            </w: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143</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4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45" w:right="239" w:bottom="1440" w:gutter="0" w:footer="0" w:header="0"/>
          <w:type w:val="continuous"/>
        </w:sectPr>
      </w:pPr>
    </w:p>
    <w:p>
      <w:pPr>
        <w:jc w:val="both"/>
        <w:ind w:right="200"/>
        <w:spacing w:after="0" w:line="257" w:lineRule="auto"/>
        <w:rPr>
          <w:sz w:val="20"/>
          <w:szCs w:val="20"/>
          <w:color w:val="auto"/>
        </w:rPr>
      </w:pPr>
      <w:r>
        <w:rPr>
          <w:rFonts w:ascii="Arial" w:cs="Arial" w:eastAsia="Arial" w:hAnsi="Arial"/>
          <w:sz w:val="18"/>
          <w:szCs w:val="18"/>
          <w:color w:val="auto"/>
        </w:rPr>
        <w:t>Interest expense increased in 2017 and 2016 primarily due to debt issuances related to our acquisitions, partially offset by refinancing to lower cost debt. The increase in 2017 was primarily associated with our 2017 and 2016 acquisitions and the increase in 2016 was primarily associated with our 2016 acquisitions.</w:t>
      </w:r>
    </w:p>
    <w:p>
      <w:pPr>
        <w:spacing w:after="0" w:line="134"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See Note 10, “Debt Obligations,” to the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auto"/>
        </w:rPr>
        <w:t>Asset Impairment Charge</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asset impairment charge in 2016 relates to a pre-tax, non-cash intangible asset impairment charge related to the full write-off of the eSpeed trade name due to a continued decline in the operating performance of the eSpeed business during 2016 and a rebranding of our Fixed Income business under a single brand called Nasdaq Fixed Income.</w:t>
      </w:r>
    </w:p>
    <w:p>
      <w:pPr>
        <w:spacing w:after="0" w:line="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See “Intangible Asset Impairment Charges,” of Note 6, “Goodwill and Acquired Intangible Assets,” to the consolidated financial statements for further discussion of the intangible asset impairment charge in 2016.</w:t>
      </w:r>
    </w:p>
    <w:p>
      <w:pPr>
        <w:sectPr>
          <w:pgSz w:w="11900" w:h="16838" w:orient="portrait"/>
          <w:cols w:equalWidth="0" w:num="2">
            <w:col w:w="5800" w:space="20"/>
            <w:col w:w="5600"/>
          </w:cols>
          <w:pgMar w:left="240" w:top="445"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from Unconsolidated Investees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from unconsolidated investees in 2017 and 2015 primarily relates to income recognized from our equity method investment in OCC. Net income from unconsolidated investees in 2016 includes income recognized from our equity method investments in OCC and EuroCCP N.V. , partially offset by the write-off of an equity method investment. See “Equity Method Investments,” of Note 7, “Investments,” to the consolidated financial statements for further discussion of our equity method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Tax Cuts and Jobs Act was enacted on December 22, 2017 and is effective January 1, 2018. The new legislation contains several key provisions, including a reduction of the U.S. corporate income tax rate from 35% to 21%. We are required to remeasure all our U.S. deferred tax assets and liabilities as of December 22, 2017 and record the impact of such remeasurement in our 2017 financial statements. For the year ended December 31, 2017, we recorded a decrease to tax expense of $87 million, substantially all of which reflects the estimated impact associated with the remeasurement of our net U.S. deferred tax liability at the lower U.S. federal corporate income tax rate. The Tax Cuts and Jobs Act also imposes a transition tax on unremitted aggregate accumulated earnings of non-U.S. subsidiaries, which did not impact us.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income tax provision and effective tax rate:</w:t>
      </w: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5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Percentage Change</w:t>
            </w:r>
          </w:p>
        </w:tc>
      </w:tr>
      <w:tr>
        <w:trPr>
          <w:trHeight w:val="264"/>
        </w:trPr>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2016</w:t>
            </w:r>
          </w:p>
        </w:tc>
        <w:tc>
          <w:tcPr>
            <w:tcW w:w="540" w:type="dxa"/>
            <w:vAlign w:val="bottom"/>
          </w:tcPr>
          <w:p>
            <w:pPr>
              <w:jc w:val="right"/>
              <w:ind w:right="197"/>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2017 vs. 2016</w:t>
            </w:r>
          </w:p>
        </w:tc>
        <w:tc>
          <w:tcPr>
            <w:tcW w:w="860" w:type="dxa"/>
            <w:vAlign w:val="bottom"/>
          </w:tcPr>
          <w:p>
            <w:pPr>
              <w:ind w:left="80"/>
              <w:spacing w:after="0"/>
              <w:rPr>
                <w:sz w:val="20"/>
                <w:szCs w:val="20"/>
                <w:color w:val="auto"/>
              </w:rPr>
            </w:pPr>
            <w:r>
              <w:rPr>
                <w:rFonts w:ascii="Arial" w:cs="Arial" w:eastAsia="Arial" w:hAnsi="Arial"/>
                <w:sz w:val="13"/>
                <w:szCs w:val="13"/>
                <w:b w:val="1"/>
                <w:bCs w:val="1"/>
                <w:color w:val="auto"/>
                <w:w w:val="91"/>
              </w:rPr>
              <w:t>2016 vs. 2015</w:t>
            </w:r>
          </w:p>
        </w:tc>
      </w:tr>
      <w:tr>
        <w:trPr>
          <w:trHeight w:val="254"/>
        </w:trPr>
        <w:tc>
          <w:tcPr>
            <w:tcW w:w="5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in millions)</w:t>
            </w: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lower effective tax rate in 2017 when compared to 2016 is primarily due to a decrease to tax expense associated with the remeasurement of our net U.S. deferred tax liability as a result of enactment of the Tax Cuts and Jobs Act. The decrease in the effective tax rate in 2017 is also due to the recognition of excess tax benefits associated with the vesting of employee share-based compensation arrangements. The lower effective tax rate in 2016 when compared to 2015 is primarily due to a shift in the geographic mix of earnings, largely driven by the write-off of the eSpeed trade name, partially offset by an unfavorable ruling from the Finnish Supreme Administrative Court.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may also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further discussion of our tax matters, see “Tax Matters,” and “Recent Accounting Pronouncements,” of Note 2, “Summary of Significant Accounting Policies,” and Note 11, “Income Taxes,” to the consolidated financial statements.</w:t>
      </w:r>
    </w:p>
    <w:p>
      <w:pPr>
        <w:spacing w:after="0" w:line="1663"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tbl>
      <w:tblPr>
        <w:tblLayout w:type="fixed"/>
        <w:tblInd w:w="0" w:type="dxa"/>
        <w:tblCellMar>
          <w:top w:w="0" w:type="dxa"/>
          <w:left w:w="0" w:type="dxa"/>
          <w:bottom w:w="0" w:type="dxa"/>
          <w:right w:w="0" w:type="dxa"/>
        </w:tblCellMar>
      </w:tblPr>
      <w:tr>
        <w:trPr>
          <w:trHeight w:val="225"/>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1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146</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28</w:t>
            </w:r>
          </w:p>
        </w:tc>
        <w:tc>
          <w:tcPr>
            <w:tcW w:w="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  203</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421.4%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29"/>
        </w:trPr>
        <w:tc>
          <w:tcPr>
            <w:tcW w:w="1060" w:type="dxa"/>
            <w:vAlign w:val="bottom"/>
          </w:tcPr>
          <w:p>
            <w:pPr>
              <w:ind w:left="40"/>
              <w:spacing w:after="0"/>
              <w:rPr>
                <w:sz w:val="20"/>
                <w:szCs w:val="20"/>
                <w:color w:val="auto"/>
              </w:rPr>
            </w:pPr>
            <w:r>
              <w:rPr>
                <w:rFonts w:ascii="Arial" w:cs="Arial" w:eastAsia="Arial" w:hAnsi="Arial"/>
                <w:sz w:val="18"/>
                <w:szCs w:val="18"/>
                <w:color w:val="auto"/>
              </w:rPr>
              <w:t>Effective tax</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60" w:type="dxa"/>
            <w:vAlign w:val="bottom"/>
          </w:tcPr>
          <w:p>
            <w:pPr>
              <w:ind w:left="200"/>
              <w:spacing w:after="0"/>
              <w:rPr>
                <w:sz w:val="20"/>
                <w:szCs w:val="20"/>
                <w:color w:val="auto"/>
              </w:rPr>
            </w:pPr>
            <w:r>
              <w:rPr>
                <w:rFonts w:ascii="Arial" w:cs="Arial" w:eastAsia="Arial" w:hAnsi="Arial"/>
                <w:sz w:val="18"/>
                <w:szCs w:val="18"/>
                <w:color w:val="auto"/>
              </w:rPr>
              <w:t>rate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ectPr>
          <w:pgSz w:w="11900" w:h="16838" w:orient="portrait"/>
          <w:cols w:equalWidth="0" w:num="1">
            <w:col w:w="11420"/>
          </w:cols>
          <w:pgMar w:left="240" w:top="445" w:right="2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disclosing results determined in accordance with U.S. GAAP, we also have provided non-GAAP net income attributable to Nasdaq and non-GAAP diluted earnings per share.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results as the items described below do not reflect ongoing operating performance.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measures are not in accordance with, or an alternative to, U.S. GAAP, and may be different from non-GAAP measures used by other companies. Investors should not rely on any single financial measure when evaluating our business. We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spacing w:after="0" w:line="81"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Non-GAAP net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ectPr>
          <w:pgSz w:w="11900" w:h="16838" w:orient="portrait"/>
          <w:cols w:equalWidth="0" w:num="2">
            <w:col w:w="5600" w:space="20"/>
            <w:col w:w="5800"/>
          </w:cols>
          <w:pgMar w:left="240" w:top="445" w:right="239" w:bottom="1440" w:gutter="0" w:footer="0" w:header="0"/>
          <w:type w:val="continuous"/>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attributable to Nasdaq for the periods presented below is calculated by adjusting for the following items: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Amortization expense of acquired intangible assets: </w:t>
      </w:r>
      <w:r>
        <w:rPr>
          <w:rFonts w:ascii="Arial" w:cs="Arial" w:eastAsia="Arial" w:hAnsi="Arial"/>
          <w:sz w:val="16"/>
          <w:szCs w:val="16"/>
          <w:color w:val="auto"/>
        </w:rPr>
        <w:t>We amortize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the relative operating performance of the businesses between periods, and the earnings power of Nasdaq. Performance measures excluding intangible asset amortization therefore provide investors with a more useful representation of our businesses’ ongoing activity in each period.</w:t>
      </w:r>
    </w:p>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Merger and strategic initiatives expense: </w:t>
      </w:r>
      <w:r>
        <w:rPr>
          <w:rFonts w:ascii="Arial" w:cs="Arial" w:eastAsia="Arial" w:hAnsi="Arial"/>
          <w:sz w:val="17"/>
          <w:szCs w:val="17"/>
          <w:color w:val="auto"/>
        </w:rPr>
        <w:t>We have pursued various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initiatives and completed a number of acquisitions in recent years which have resulted in expenses which would not have otherwise been incurred. These expenses generally include integration costs, as well as legal, due diligence and other third party transaction costs. The frequency and the amount of such expenses vary significantly based on the size, timing and complexity of the transaction. Accordingly, we exclude these costs for purposes of calculating non-GAAP measures which provide a more meaningful analysis of Nasdaq’s ongoing operating performance or comparison in Nasdaq’s performance between periods.</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are associated with our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plan to improve performance, cut costs and reduce spending and were primarily related to (i) severance and other termination benefits, (ii) asset impairment charges, and (iii) other charges. We exclude these restructuring costs because these costs do not reflect future operating expenses and do not contribute to a meaningful evaluation of Nasdaq’s ongoing operating performance or comparison of Nasdaq’s performance between periods.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Asset impairment charge: </w:t>
      </w:r>
      <w:r>
        <w:rPr>
          <w:rFonts w:ascii="Arial" w:cs="Arial" w:eastAsia="Arial" w:hAnsi="Arial"/>
          <w:sz w:val="17"/>
          <w:szCs w:val="17"/>
          <w:color w:val="auto"/>
        </w:rPr>
        <w:t>Intangible assets that have indefinite lives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reviewed for impairment at least annually, or when indicators of impairment are present. In December </w:t>
      </w:r>
      <w:r>
        <w:rPr>
          <w:rFonts w:ascii="Arial" w:cs="Arial" w:eastAsia="Arial" w:hAnsi="Arial"/>
          <w:sz w:val="17"/>
          <w:szCs w:val="17"/>
          <w:i w:val="1"/>
          <w:iCs w:val="1"/>
          <w:color w:val="auto"/>
        </w:rPr>
        <w:t>2</w:t>
      </w:r>
      <w:r>
        <w:rPr>
          <w:rFonts w:ascii="Arial" w:cs="Arial" w:eastAsia="Arial" w:hAnsi="Arial"/>
          <w:sz w:val="17"/>
          <w:szCs w:val="17"/>
          <w:color w:val="auto"/>
        </w:rPr>
        <w:t>016, we recorded a pre-tax, non-cash intangible asset impairment charge of $578 million related to the full write-off of the eSpeed trade name. The impairment charge was the result of a decline in operating performance and the rebranding of our Fixed Income business. We exclude asset impairment charges because they do not reflect future operating expenses and do not contribute to a meaningful evaluation of Nasdaq’s ongoing operating performance or comparison of Nasdaq’s performance between periods.</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Other significant items: </w:t>
      </w:r>
      <w:r>
        <w:rPr>
          <w:rFonts w:ascii="Arial" w:cs="Arial" w:eastAsia="Arial" w:hAnsi="Arial"/>
          <w:sz w:val="16"/>
          <w:szCs w:val="16"/>
          <w:color w:val="auto"/>
        </w:rPr>
        <w:t>We have excluded certain other charges or gains,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certain tax items, that are the result of other non-comparable events to measure operating performance. We believe the exclusion of such amounts allows management and investors to better understand the ongoing financial results of Nasdaq. For 2017, other significant items primarily include a make-whole redemption price premium paid on the early</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extinguishment of our 2018 Notes, a sublease loss reserve charge recorded on space we currently occupy due to excess capacity, and wind down costs associated with an equity method investment that was previously written off. For 2016, other significant items primarily include accelerated expense for equity awards previously granted due to the retirement of the company’s former CEO, a regulatory fine received by our Nordic exchanges and clearinghouse, the release of a sublease loss reserve due to the early exit of a facility, and the impact of the write-off of an equity method investment, partially offset by a gain resulting from the sale of a percentage of a separate equity method investment. For 2015, other significant items include income from our equity investment in OCC where we were not able to determine what our share of OCC’s income was for the year ended December 31, 2014 until the first quarter of 2015, when financial statements were made available to us. As a result, we recorded other income in the first quarter of 2015 relating to our share of OCC’s income for the year ended December 31, 2014. For 2015, other significant adjustments also included the reversal of a VAT refund.</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Significant tax items: </w:t>
      </w:r>
      <w:r>
        <w:rPr>
          <w:rFonts w:ascii="Arial" w:cs="Arial" w:eastAsia="Arial" w:hAnsi="Arial"/>
          <w:sz w:val="18"/>
          <w:szCs w:val="18"/>
          <w:color w:val="auto"/>
        </w:rPr>
        <w:t>The adjustment to the income tax provision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the tax impact of each non-GAAP adjustment in addition to the following items:</w:t>
      </w:r>
    </w:p>
    <w:p>
      <w:pPr>
        <w:spacing w:after="0" w:line="73" w:lineRule="exact"/>
        <w:rPr>
          <w:sz w:val="20"/>
          <w:szCs w:val="20"/>
          <w:color w:val="auto"/>
        </w:rPr>
      </w:pPr>
    </w:p>
    <w:p>
      <w:pPr>
        <w:jc w:val="both"/>
        <w:ind w:left="3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recognition of previously unrecognized tax benefits of $12 million associated with positions taken in prior years for the year ended December 31, 2017.</w:t>
      </w:r>
    </w:p>
    <w:p>
      <w:pPr>
        <w:spacing w:after="0" w:line="73"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recorded a $27 million tax expense for the year ended December 31, 2016, due to an unfavorable tax ruling received during the second quarter of 2016, the impact of which is related to prior periods.</w:t>
      </w:r>
    </w:p>
    <w:p>
      <w:pPr>
        <w:spacing w:after="0" w:line="57" w:lineRule="exact"/>
        <w:rPr>
          <w:rFonts w:ascii="Arial" w:cs="Arial" w:eastAsia="Arial" w:hAnsi="Arial"/>
          <w:sz w:val="17"/>
          <w:szCs w:val="17"/>
          <w:color w:val="auto"/>
        </w:rPr>
      </w:pPr>
    </w:p>
    <w:p>
      <w:pPr>
        <w:jc w:val="both"/>
        <w:ind w:left="340" w:hanging="332"/>
        <w:spacing w:after="0" w:line="290"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impact of newly enacted U.S. tax legislation is related to the Tax Cuts and Jobs Act which was enacted on December 22, 2017. For the year ended December 31, 2017, we recorded a decrease to tax expense of $87 million, which reflects the estimated impact associated with the enactment of this act. The decrease in tax expense primarily relates to the remeasurement of our net U.S. deferred tax liability at the lower U.S. federal corporate income tax rate. The estimate may be refined in the future as new information becomes available.</w:t>
      </w:r>
    </w:p>
    <w:p>
      <w:pPr>
        <w:spacing w:after="0" w:line="58" w:lineRule="exact"/>
        <w:rPr>
          <w:rFonts w:ascii="Arial" w:cs="Arial" w:eastAsia="Arial" w:hAnsi="Arial"/>
          <w:sz w:val="16"/>
          <w:szCs w:val="16"/>
          <w:color w:val="auto"/>
        </w:rPr>
      </w:pPr>
    </w:p>
    <w:p>
      <w:pPr>
        <w:jc w:val="both"/>
        <w:ind w:left="340" w:hanging="332"/>
        <w:spacing w:after="0" w:line="288"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Excess tax benefits related to employee share-based compensation of $40 million for the year ended December 31, 2017 was recorded as a result of the adoption of new accounting guidance on January 1, 2017. This guidance requires all income tax effects of share-based awards to be recognized as income tax expense or benefit in the income statement when the awards vest or are settled on a prospective basis, as opposed to stockholders’ equity where it was previously recorded, and will be a recurring item going forward. This item is subject to volatility and will vary based on the timing of the vesting of employee share-based compensation arrangements and fluctuation in our stock price.</w:t>
      </w:r>
    </w:p>
    <w:p>
      <w:pPr>
        <w:spacing w:after="0" w:line="68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45"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represents reconciliations between U.S. GAAP net income attributable to Nasdaq and diluted earnings per share and non-GAAP net income attributable to Nasdaq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3"/>
                <w:szCs w:val="13"/>
                <w:b w:val="1"/>
                <w:bCs w:val="1"/>
                <w:color w:val="auto"/>
              </w:rPr>
              <w:t>Year Ended December 31, 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3"/>
                <w:szCs w:val="13"/>
                <w:b w:val="1"/>
                <w:bCs w:val="1"/>
                <w:color w:val="auto"/>
                <w:w w:val="98"/>
              </w:rPr>
              <w:t>Year Ended December 31, 2016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3"/>
                <w:szCs w:val="13"/>
                <w:b w:val="1"/>
                <w:bCs w:val="1"/>
                <w:color w:val="auto"/>
                <w:w w:val="97"/>
              </w:rPr>
              <w:t>Year Ended December 31, 2015</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3"/>
              <w:spacing w:after="0" w:line="144" w:lineRule="exact"/>
              <w:rPr>
                <w:sz w:val="20"/>
                <w:szCs w:val="20"/>
                <w:color w:val="auto"/>
              </w:rPr>
            </w:pPr>
            <w:r>
              <w:rPr>
                <w:rFonts w:ascii="Arial" w:cs="Arial" w:eastAsia="Arial" w:hAnsi="Arial"/>
                <w:sz w:val="13"/>
                <w:szCs w:val="13"/>
                <w:b w:val="1"/>
                <w:bCs w:val="1"/>
                <w:color w:val="auto"/>
                <w:w w:val="96"/>
              </w:rPr>
              <w:t>Diluted Earnings Per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Diluted Earnings Per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31"/>
              <w:spacing w:after="0" w:line="144" w:lineRule="exact"/>
              <w:rPr>
                <w:sz w:val="20"/>
                <w:szCs w:val="20"/>
                <w:color w:val="auto"/>
              </w:rPr>
            </w:pPr>
            <w:r>
              <w:rPr>
                <w:rFonts w:ascii="Arial" w:cs="Arial" w:eastAsia="Arial" w:hAnsi="Arial"/>
                <w:sz w:val="13"/>
                <w:szCs w:val="13"/>
                <w:b w:val="1"/>
                <w:bCs w:val="1"/>
                <w:color w:val="auto"/>
                <w:w w:val="95"/>
              </w:rPr>
              <w:t>Diluted Earnings Per</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Net Income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Share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Net Income</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82"/>
              </w:rPr>
              <w:t>Share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Net Income</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20" w:type="dxa"/>
            <w:vAlign w:val="bottom"/>
            <w:gridSpan w:val="8"/>
          </w:tcPr>
          <w:p>
            <w:pPr>
              <w:ind w:left="1040"/>
              <w:spacing w:after="0"/>
              <w:rPr>
                <w:sz w:val="20"/>
                <w:szCs w:val="20"/>
                <w:color w:val="auto"/>
              </w:rPr>
            </w:pPr>
            <w:r>
              <w:rPr>
                <w:rFonts w:ascii="Arial" w:cs="Arial" w:eastAsia="Arial" w:hAnsi="Arial"/>
                <w:sz w:val="13"/>
                <w:szCs w:val="13"/>
                <w:b w:val="1"/>
                <w:bCs w:val="1"/>
                <w:color w:val="auto"/>
                <w:w w:val="86"/>
              </w:rPr>
              <w:t>(in millions, except share and per share amounts)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U.S. GAAP net income attributable to Nasdaq</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and 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64"/>
        </w:trPr>
        <w:tc>
          <w:tcPr>
            <w:tcW w:w="3900" w:type="dxa"/>
            <w:vAlign w:val="bottom"/>
          </w:tcPr>
          <w:p>
            <w:pPr>
              <w:ind w:left="380"/>
              <w:spacing w:after="0"/>
              <w:rPr>
                <w:sz w:val="20"/>
                <w:szCs w:val="20"/>
                <w:color w:val="auto"/>
              </w:rPr>
            </w:pPr>
            <w:r>
              <w:rPr>
                <w:rFonts w:ascii="Arial" w:cs="Arial" w:eastAsia="Arial" w:hAnsi="Arial"/>
                <w:sz w:val="18"/>
                <w:szCs w:val="18"/>
                <w:color w:val="auto"/>
              </w:rPr>
              <w:t>Non-GAAP adjustments:</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expense of acquired intangible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Merger and strategic initiatives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impairment charge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Executive compensation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Regulatory matter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Income from OCC equity investment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Reversal VAT refund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Sublease loss reserve</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Adjustment to the income tax provision to</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540"/>
              <w:spacing w:after="0"/>
              <w:rPr>
                <w:sz w:val="20"/>
                <w:szCs w:val="20"/>
                <w:color w:val="auto"/>
              </w:rPr>
            </w:pPr>
            <w:r>
              <w:rPr>
                <w:rFonts w:ascii="Arial" w:cs="Arial" w:eastAsia="Arial" w:hAnsi="Arial"/>
                <w:sz w:val="18"/>
                <w:szCs w:val="18"/>
                <w:color w:val="auto"/>
              </w:rPr>
              <w:t>reflect non-GAAP adjustments and other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540"/>
              <w:spacing w:after="0"/>
              <w:rPr>
                <w:sz w:val="20"/>
                <w:szCs w:val="20"/>
                <w:color w:val="auto"/>
              </w:rPr>
            </w:pPr>
            <w:r>
              <w:rPr>
                <w:rFonts w:ascii="Arial" w:cs="Arial" w:eastAsia="Arial" w:hAnsi="Arial"/>
                <w:sz w:val="18"/>
                <w:szCs w:val="18"/>
                <w:color w:val="auto"/>
              </w:rPr>
              <w:t>tax items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Impact of newly enacted U.S. tax legislation</w:t>
            </w:r>
          </w:p>
        </w:tc>
        <w:tc>
          <w:tcPr>
            <w:tcW w:w="16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w w:val="93"/>
              </w:rPr>
              <w:t>Excess tax benefits related to employee share-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540"/>
              <w:spacing w:after="0"/>
              <w:rPr>
                <w:sz w:val="20"/>
                <w:szCs w:val="20"/>
                <w:color w:val="auto"/>
              </w:rPr>
            </w:pPr>
            <w:r>
              <w:rPr>
                <w:rFonts w:ascii="Arial" w:cs="Arial" w:eastAsia="Arial" w:hAnsi="Arial"/>
                <w:sz w:val="18"/>
                <w:szCs w:val="18"/>
                <w:color w:val="auto"/>
              </w:rPr>
              <w:t>based compensation</w:t>
            </w: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9"/>
              </w:rPr>
              <w:t>Total non-GAAP adjustments,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91"/>
        </w:trPr>
        <w:tc>
          <w:tcPr>
            <w:tcW w:w="39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8"/>
              </w:rPr>
              <w:t>Non-GAAP net income attributable to Nasdaq</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1"/>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and diluted earnings per share</w:t>
            </w:r>
          </w:p>
        </w:tc>
        <w:tc>
          <w:tcPr>
            <w:tcW w:w="16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common shares outstanding for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w w:val="99"/>
              </w:rPr>
              <w:t>169,585,031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w w:val="99"/>
              </w:rPr>
              <w:t>168,800,997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171,283,271</w:t>
            </w:r>
          </w:p>
        </w:tc>
        <w:tc>
          <w:tcPr>
            <w:tcW w:w="0" w:type="dxa"/>
            <w:vAlign w:val="bottom"/>
          </w:tcPr>
          <w:p>
            <w:pPr>
              <w:spacing w:after="0"/>
              <w:rPr>
                <w:sz w:val="1"/>
                <w:szCs w:val="1"/>
                <w:color w:val="auto"/>
              </w:rPr>
            </w:pPr>
          </w:p>
        </w:tc>
      </w:tr>
      <w:tr>
        <w:trPr>
          <w:trHeight w:val="237"/>
        </w:trPr>
        <w:tc>
          <w:tcPr>
            <w:tcW w:w="390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w:t>
      </w:r>
    </w:p>
    <w:p>
      <w:pPr>
        <w:sectPr>
          <w:pgSz w:w="11900" w:h="16838" w:orient="portrait"/>
          <w:cols w:equalWidth="0" w:num="1">
            <w:col w:w="11420"/>
          </w:cols>
          <w:pgMar w:left="240" w:top="445"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Historically, we have funded our operating activities and met our commitments through cash generated by operations, augmented by the periodic issuance of our common stock and debt. See Note 10, “Debt Obligations,” to the consolidated financial statements for further discussion. Currently, our cost and availability of funding remain healthy.</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the purchase price consideration of a prior acquisition, Nasdaq has contingent future obligations to issue 992,247 shares of Nasdaq common stock annually which approximated certain tax benefits associated with the transaction of $484 million. Such contingent future issuances of Nasdaq common stock will be paid ratably through 2027 if Nasdaq’s total gross revenues equal or exceed $25 million in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both"/>
        <w:ind w:left="200" w:right="20"/>
        <w:spacing w:after="0" w:line="342" w:lineRule="auto"/>
        <w:rPr>
          <w:sz w:val="20"/>
          <w:szCs w:val="20"/>
          <w:color w:val="auto"/>
        </w:rPr>
      </w:pPr>
      <w:r>
        <w:rPr>
          <w:rFonts w:ascii="Arial" w:cs="Arial" w:eastAsia="Arial" w:hAnsi="Arial"/>
          <w:sz w:val="16"/>
          <w:szCs w:val="16"/>
          <w:color w:val="auto"/>
        </w:rPr>
        <w:t>each such year. The contingent future issuances of Nasdaq common stock are subject to anti-dilution protections and acceleration upon certain events.</w:t>
      </w:r>
    </w:p>
    <w:p>
      <w:pPr>
        <w:spacing w:after="0" w:line="7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April 2017, we entered into the 2017 Credit Facility which replaced our existing 2014 credit facility. We also entered into a commercial paper program which enables us to borrow efficiently at reasonable short-term interest rates and is supported by our 2017 Credit Facility. See “Commercial Paper Program,” “2017 Credit Facility,” and “2014 Credit Facility,” of Note 10, “Debt Obligations,” to the consolidated financial statements for further discussion.</w:t>
      </w:r>
    </w:p>
    <w:p>
      <w:pPr>
        <w:spacing w:after="0" w:line="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As of December 31, 2017, the balance of $110 million outstanding on the 2017 Credit Facility reflects the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ectPr>
          <w:pgSz w:w="11900" w:h="16838" w:orient="portrait"/>
          <w:cols w:equalWidth="0" w:num="2">
            <w:col w:w="5600" w:space="20"/>
            <w:col w:w="5800"/>
          </w:cols>
          <w:pgMar w:left="240" w:top="445" w:right="239" w:bottom="1440" w:gutter="0" w:footer="0" w:header="0"/>
          <w:type w:val="continuous"/>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amount, less unamortized debt issuance costs of $5 million. Of the $885 million that is available for borrowing, $480 million provides liquidity support for the principal amount outstanding under the commercial paper program as of December 31, 2017 and $1 million has been utilized for a letter of credit. As of December 31, 2017, the total remaining amount available under the 2017 Credit Facility was $404 million.</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2017, we used a combination of cash on hand and net proceeds from the sale of commercial paper to redeem all of our 2018 Notes. In addition, in June 2017, we used net proceeds from the sale of commercial paper to repay $300 million of the amount outstanding on the 2016 Credit Facility. As of December 31, 2017, the outstanding balance of $100 million on the 2016 Credit Facility reflects the aggregate principal amount, less the unamortized debt issuance costs. See “Early Extinguishment of 2018 Notes,” and “2016 Credit Facility,” of Note 10, “Debt Obligations,” to the consolidated financial statements for further discussion.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2017, we announced an agreement to acquire eVestment and issued the 2019 Notes. Since the proposed acquisition of eVestment was not immediately expected to close, $276 million of the net proceeds from the 2019 Notes was used to partially pay down our outstanding commercial paper balance and the remainder of the net proceeds was held in cash and used in October 2017 to partially fund our acquisition of eVestment. See “Acquisition of eVestment,” of Note 4, “Acquisitions,” for further discussion.</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2016, Nasdaq issued the 2023 Notes and in June 2016, Nasdaq issued the 2026 Notes. We used the majority of the net proceeds from the 2023 Notes of $664 million and the 2026 Notes of $495 million to fund the acquisition of ISE and related expenses. See “3.85% Senior Unsecured Notes,” and “1.75% Senior Unsecured Notes,” of Note 10, “Debt Obligations,” and “Acquisition of ISE,” of Note 4, “Acquisitions,” to the consolidated financial statements for further discussion.</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near term, we expect that our operations and the availability under our revolving credit commitment and commercial paper program will provide sufficient cash to fund our operating expenses, capital expenditures, debt repayments, any share repurchases, and any dividends.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offset by decreases in other current liabilities and accrued personnel costs. Principal factors that could affect the availability of our internally-generated funds include:</w:t>
      </w:r>
    </w:p>
    <w:p>
      <w:pPr>
        <w:spacing w:after="0" w:line="4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deterioration of our revenues in any of our business segments;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and working capital requirements;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our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35" w:lineRule="exact"/>
        <w:rPr>
          <w:sz w:val="20"/>
          <w:szCs w:val="20"/>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covenants contained in our credit facilities that limit our total borrowing capacity;</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interest rates under our credit facilities;</w:t>
      </w:r>
    </w:p>
    <w:p>
      <w:pPr>
        <w:spacing w:after="0" w:line="9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volatility or disruption in the public debt and equity markets.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sections discuss the effects of changes in our financial assets, debt obligations, clearing and broker-dealer net capital requirements, and cash flows on our liquidity and capital resources.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2017</w:t>
            </w: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3"/>
                <w:szCs w:val="13"/>
                <w:b w:val="1"/>
                <w:bCs w:val="1"/>
                <w:color w:val="auto"/>
                <w:w w:val="93"/>
              </w:rPr>
              <w:t>December 31, 2016</w:t>
            </w:r>
          </w:p>
        </w:tc>
      </w:tr>
      <w:tr>
        <w:trPr>
          <w:trHeight w:val="276"/>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3"/>
          </w:tcPr>
          <w:p>
            <w:pPr>
              <w:jc w:val="right"/>
              <w:ind w:right="239"/>
              <w:spacing w:after="0"/>
              <w:rPr>
                <w:sz w:val="20"/>
                <w:szCs w:val="20"/>
                <w:color w:val="auto"/>
              </w:rPr>
            </w:pPr>
            <w:r>
              <w:rPr>
                <w:rFonts w:ascii="Arial" w:cs="Arial" w:eastAsia="Arial" w:hAnsi="Arial"/>
                <w:sz w:val="13"/>
                <w:szCs w:val="13"/>
                <w:b w:val="1"/>
                <w:bCs w:val="1"/>
                <w:color w:val="auto"/>
              </w:rPr>
              <w:t>(in millions)</w:t>
            </w:r>
          </w:p>
        </w:tc>
        <w:tc>
          <w:tcPr>
            <w:tcW w:w="660" w:type="dxa"/>
            <w:vAlign w:val="bottom"/>
          </w:tcPr>
          <w:p>
            <w:pPr>
              <w:spacing w:after="0"/>
              <w:rPr>
                <w:sz w:val="23"/>
                <w:szCs w:val="23"/>
                <w:color w:val="auto"/>
              </w:rPr>
            </w:pPr>
          </w:p>
        </w:tc>
      </w:tr>
      <w:tr>
        <w:trPr>
          <w:trHeight w:val="258"/>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investments, at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57"/>
        </w:trPr>
        <w:tc>
          <w:tcPr>
            <w:tcW w:w="2960" w:type="dxa"/>
            <w:vAlign w:val="bottom"/>
          </w:tcPr>
          <w:p>
            <w:pPr>
              <w:ind w:left="40"/>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 and Restricted Cash</w:t>
      </w:r>
    </w:p>
    <w:p>
      <w:pPr>
        <w:spacing w:after="0" w:line="8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both"/>
        <w:spacing w:after="0" w:line="286" w:lineRule="auto"/>
        <w:rPr>
          <w:sz w:val="20"/>
          <w:szCs w:val="20"/>
          <w:color w:val="auto"/>
        </w:rPr>
      </w:pPr>
      <w:r>
        <w:rPr>
          <w:rFonts w:ascii="Arial" w:cs="Arial" w:eastAsia="Arial" w:hAnsi="Arial"/>
          <w:sz w:val="16"/>
          <w:szCs w:val="16"/>
          <w:color w:val="auto"/>
        </w:rPr>
        <w:t>Various assets and liabilities, including cash and cash equivalents, receivables, accounts payable and accrued expenses, and commercial paper can fluctuate from month to month. Working capital (calculated as current assets less current liabilities) was $267 million as of December 31, 2017, compared with $478 million as of December 31, 2016, a decrease of $211 million. Current asset balance changes increased working capital by $969 million, with increases in default funds and margin deposits, assets held for sale, other current assets and restricted cash, partially offset by decreases in cash and cash equivalents, financial investments, at fair value, and receivables, net. Current liability balance changes decreased working capital by $1,180 million, due to increases in default funds and margin deposits, short-term debt, liabilities held for sale, deferred revenue, Section 31 fees payable to the SEC, and accounts payable and accrued expenses, partially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2017, our cash and cash equivalents of $377 million were primarily invested in bank deposits, money market funds and commercial paper. In the long-term, we may use both internally generated funds and external sources to satisfy our debt obligations and other long-term liabilities. Cash and cash equivalents as of December 31, 2017 decreased $26 million from December 31, 2016, primarily due to:</w:t>
      </w:r>
    </w:p>
    <w:p>
      <w:pPr>
        <w:spacing w:after="0" w:line="4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cash paid for acquisitions, net of cash and cash equivalents acquired;</w:t>
      </w:r>
    </w:p>
    <w:p>
      <w:pPr>
        <w:spacing w:after="0" w:line="101" w:lineRule="exact"/>
        <w:rPr>
          <w:rFonts w:ascii="Arial" w:cs="Arial" w:eastAsia="Arial" w:hAnsi="Arial"/>
          <w:sz w:val="17"/>
          <w:szCs w:val="17"/>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repayments of long-term debt;</w:t>
      </w:r>
    </w:p>
    <w:p>
      <w:pPr>
        <w:sectPr>
          <w:pgSz w:w="11900" w:h="16838" w:orient="portrait"/>
          <w:cols w:equalWidth="0" w:num="3">
            <w:col w:w="5600" w:space="20"/>
            <w:col w:w="180" w:space="20"/>
            <w:col w:w="5600"/>
          </w:cols>
          <w:pgMar w:left="240" w:top="445"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9"/>
        </w:trPr>
        <w:tc>
          <w:tcPr>
            <w:tcW w:w="4620" w:type="dxa"/>
            <w:vAlign w:val="bottom"/>
          </w:tcPr>
          <w:p>
            <w:pPr>
              <w:spacing w:after="0"/>
              <w:rPr>
                <w:sz w:val="20"/>
                <w:szCs w:val="20"/>
                <w:color w:val="auto"/>
              </w:rPr>
            </w:pPr>
            <w:r>
              <w:rPr>
                <w:rFonts w:ascii="Arial" w:cs="Arial" w:eastAsia="Arial" w:hAnsi="Arial"/>
                <w:sz w:val="18"/>
                <w:szCs w:val="18"/>
                <w:color w:val="auto"/>
              </w:rPr>
              <w:t>•   cash dividends paid on our common stock;</w:t>
            </w:r>
          </w:p>
        </w:tc>
        <w:tc>
          <w:tcPr>
            <w:tcW w:w="3200" w:type="dxa"/>
            <w:vAlign w:val="bottom"/>
            <w:vMerge w:val="restart"/>
          </w:tcPr>
          <w:p>
            <w:pPr>
              <w:ind w:left="1200"/>
              <w:spacing w:after="0"/>
              <w:rPr>
                <w:sz w:val="20"/>
                <w:szCs w:val="20"/>
                <w:color w:val="auto"/>
              </w:rPr>
            </w:pPr>
            <w:r>
              <w:rPr>
                <w:rFonts w:ascii="Arial" w:cs="Arial" w:eastAsia="Arial" w:hAnsi="Arial"/>
                <w:sz w:val="18"/>
                <w:szCs w:val="18"/>
                <w:i w:val="1"/>
                <w:iCs w:val="1"/>
                <w:color w:val="auto"/>
                <w:w w:val="88"/>
              </w:rPr>
              <w:t>Share Repurchase Program</w:t>
            </w:r>
          </w:p>
        </w:tc>
        <w:tc>
          <w:tcPr>
            <w:tcW w:w="0" w:type="dxa"/>
            <w:vAlign w:val="bottom"/>
          </w:tcPr>
          <w:p>
            <w:pPr>
              <w:spacing w:after="0"/>
              <w:rPr>
                <w:sz w:val="1"/>
                <w:szCs w:val="1"/>
                <w:color w:val="auto"/>
              </w:rPr>
            </w:pPr>
          </w:p>
        </w:tc>
      </w:tr>
      <w:tr>
        <w:trPr>
          <w:trHeight w:val="81"/>
        </w:trPr>
        <w:tc>
          <w:tcPr>
            <w:tcW w:w="46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45" w:right="239" w:bottom="1440" w:gutter="0" w:footer="0" w:header="0"/>
        </w:sect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repurchases of our common stock; and</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purchases of property and equipment, partially offset by;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proceeds received from the issuance of the 2019 Notes;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proceeds received from commercial paper, net; and</w:t>
      </w:r>
    </w:p>
    <w:p>
      <w:pPr>
        <w:spacing w:after="0" w:line="90"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received from utilization of credit commitment, net of debt issuance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“Cash Flow Analysis” below for further discussion.</w:t>
      </w:r>
    </w:p>
    <w:p>
      <w:pPr>
        <w:spacing w:after="0" w:line="17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As of December 31, 2017 and December 31, 2016, restricted cash is restricted from withdrawal due to a contractual or regulatory requirement or is not available for general use. Restricted cash was $22 million as of December 31, 2017 and $15 million as of December 31, 2016, an increase of $7 million. The increase relates to an increase in regulatory capital required. Restricted cash is classified as restricted cash in the Consolidated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Repatriation of Cash</w:t>
      </w:r>
    </w:p>
    <w:p>
      <w:pPr>
        <w:spacing w:after="0" w:line="117"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Our cash and cash equivalents held outside of the U.S. in various foreign subsidiaries totaled $138 million as of December 31, 2017 and $102 million as of December 31, 2016. The remaining balance held in the U.S. totaled $239 million as of December 31, 2017 and $301 million as of December 31, 2016.</w:t>
      </w:r>
    </w:p>
    <w:p>
      <w:pPr>
        <w:spacing w:after="0" w:line="242"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 current law in certain jurisdictions, could subject us to additional income taxes, less applicable foreign tax credits.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“Share Repurchase Program,” of Note 14, “Nasdaq Stockholders’ Equity,” to the consolidated financial statements for further discussion of our share repurchase program.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 on Common Stock</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quarterly cash dividends paid per common share on our outstanding common stock: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2016</w:t>
            </w: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
        </w:trPr>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“Cash Dividends on Common Stock,” of Note 14, “Nasdaq Stockholders’ Equity,” to the consolidated financial statements for further discussion of the dividends.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Investments, at Fair Value</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financial investments, at fair value totaled $235 million as of December 31, 2017 and $245 million as of December 31, 2016 and are primarily comprised of trading securities, mainly highly rated European government debt securities. Of these securities, $160 million as of December 31, 2017 and $172 million as of December 31, 2016 are assets utilized to meet regulatory capital requirements, primarily for our clearing operations at Nasdaq Clearing. See Note 7, “Investments,” to the consolidated financial statements for further discussion of our trading investment securities.</w:t>
      </w:r>
    </w:p>
    <w:p>
      <w:pPr>
        <w:sectPr>
          <w:pgSz w:w="11900" w:h="16838" w:orient="portrait"/>
          <w:cols w:equalWidth="0" w:num="2">
            <w:col w:w="5800" w:space="20"/>
            <w:col w:w="5600"/>
          </w:cols>
          <w:pgMar w:left="240" w:top="445"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obligations by contractual maturity: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80" w:type="dxa"/>
            <w:vAlign w:val="bottom"/>
          </w:tcPr>
          <w:p>
            <w:pPr>
              <w:spacing w:after="0"/>
              <w:rPr>
                <w:sz w:val="15"/>
                <w:szCs w:val="15"/>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Maturity Date</w:t>
            </w:r>
          </w:p>
        </w:tc>
        <w:tc>
          <w:tcPr>
            <w:tcW w:w="18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2017</w:t>
            </w:r>
          </w:p>
        </w:tc>
        <w:tc>
          <w:tcPr>
            <w:tcW w:w="180" w:type="dxa"/>
            <w:vAlign w:val="bottom"/>
          </w:tcPr>
          <w:p>
            <w:pPr>
              <w:spacing w:after="0"/>
              <w:rPr>
                <w:sz w:val="15"/>
                <w:szCs w:val="15"/>
                <w:color w:val="auto"/>
              </w:rPr>
            </w:pPr>
          </w:p>
        </w:tc>
        <w:tc>
          <w:tcPr>
            <w:tcW w:w="1300" w:type="dxa"/>
            <w:vAlign w:val="bottom"/>
          </w:tcPr>
          <w:p>
            <w:pPr>
              <w:jc w:val="right"/>
              <w:ind w:right="132"/>
              <w:spacing w:after="0"/>
              <w:rPr>
                <w:sz w:val="20"/>
                <w:szCs w:val="20"/>
                <w:color w:val="auto"/>
              </w:rPr>
            </w:pPr>
            <w:r>
              <w:rPr>
                <w:rFonts w:ascii="Arial" w:cs="Arial" w:eastAsia="Arial" w:hAnsi="Arial"/>
                <w:sz w:val="13"/>
                <w:szCs w:val="13"/>
                <w:b w:val="1"/>
                <w:bCs w:val="1"/>
                <w:color w:val="auto"/>
                <w:w w:val="90"/>
              </w:rPr>
              <w:t>December 31, 2016</w:t>
            </w:r>
          </w:p>
        </w:tc>
      </w:tr>
      <w:tr>
        <w:trPr>
          <w:trHeight w:val="289"/>
        </w:trPr>
        <w:tc>
          <w:tcPr>
            <w:tcW w:w="618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gridSpan w:val="4"/>
          </w:tcPr>
          <w:p>
            <w:pPr>
              <w:jc w:val="right"/>
              <w:ind w:right="1092"/>
              <w:spacing w:after="0"/>
              <w:rPr>
                <w:sz w:val="20"/>
                <w:szCs w:val="20"/>
                <w:color w:val="auto"/>
              </w:rPr>
            </w:pPr>
            <w:r>
              <w:rPr>
                <w:rFonts w:ascii="Arial" w:cs="Arial" w:eastAsia="Arial" w:hAnsi="Arial"/>
                <w:sz w:val="13"/>
                <w:szCs w:val="13"/>
                <w:b w:val="1"/>
                <w:bCs w:val="1"/>
                <w:color w:val="auto"/>
              </w:rPr>
              <w:t>(in millions)</w:t>
            </w:r>
          </w:p>
        </w:tc>
      </w:tr>
      <w:tr>
        <w:trPr>
          <w:trHeight w:val="237"/>
        </w:trPr>
        <w:tc>
          <w:tcPr>
            <w:tcW w:w="618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Weighted-average maturity</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 commercial paper</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of 22 days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5.25% senior unsecured notes</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Repaid May 2017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Senior unsecured floating rate notes</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March 2019</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$400 million senior unsecured term loan facility</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November 2019</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5.55% senior unsecured notes</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January 2020</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598</w:t>
            </w: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3.875% senior unsecured notes</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2021</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$1 billion revolving credit commitment</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April 2022</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1.75% senior unsecured notes</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May 2023</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4.25% senior unsecured notes</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2024</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495</w:t>
            </w: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3.85% senior unsecured notes</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2026</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r>
      <w:tr>
        <w:trPr>
          <w:trHeight w:val="250"/>
        </w:trPr>
        <w:tc>
          <w:tcPr>
            <w:tcW w:w="618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3,603</w:t>
            </w:r>
          </w:p>
        </w:tc>
      </w:tr>
      <w:tr>
        <w:trPr>
          <w:trHeight w:val="27"/>
        </w:trPr>
        <w:tc>
          <w:tcPr>
            <w:tcW w:w="61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w:t>
            </w:r>
          </w:p>
        </w:tc>
        <w:tc>
          <w:tcPr>
            <w:tcW w:w="2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3,603</w:t>
            </w:r>
          </w:p>
        </w:tc>
      </w:tr>
      <w:tr>
        <w:trPr>
          <w:trHeight w:val="20"/>
        </w:trPr>
        <w:tc>
          <w:tcPr>
            <w:tcW w:w="6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$1 billion revolving credit commitment and $400 million term loan facility, we also have other credit facilities related to our Nasdaq Clearing operations in order to provide further liquidity. Other credit facilities, which are available in multiple currencies, totaled $187 million as of December 31, 2017 and $170 million as of December 31, 2016, in available liquidity, none of which was utilized.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ectPr>
          <w:pgSz w:w="11900" w:h="16838" w:orient="portrait"/>
          <w:cols w:equalWidth="0" w:num="1">
            <w:col w:w="11420"/>
          </w:cols>
          <w:pgMar w:left="240" w:top="445" w:right="239" w:bottom="1440" w:gutter="0" w:footer="0" w:header="0"/>
        </w:sectPr>
      </w:pP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were in compliance with the covenants of all of our debt obligations.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“Debt Obligations,” to the consolidated financial statements for further discussion of our debt obligations.</w:t>
      </w:r>
    </w:p>
    <w:p>
      <w:pPr>
        <w:spacing w:after="0" w:line="170" w:lineRule="exact"/>
        <w:rPr>
          <w:sz w:val="20"/>
          <w:szCs w:val="20"/>
          <w:color w:val="auto"/>
        </w:rPr>
      </w:pPr>
    </w:p>
    <w:p>
      <w:pPr>
        <w:ind w:right="1520"/>
        <w:spacing w:after="0" w:line="493" w:lineRule="auto"/>
        <w:rPr>
          <w:sz w:val="20"/>
          <w:szCs w:val="20"/>
          <w:color w:val="auto"/>
        </w:rPr>
      </w:pPr>
      <w:r>
        <w:rPr>
          <w:rFonts w:ascii="Arial" w:cs="Arial" w:eastAsia="Arial" w:hAnsi="Arial"/>
          <w:sz w:val="16"/>
          <w:szCs w:val="16"/>
          <w:b w:val="1"/>
          <w:bCs w:val="1"/>
          <w:i w:val="1"/>
          <w:iCs w:val="1"/>
          <w:color w:val="auto"/>
        </w:rPr>
        <w:t xml:space="preserve">Clearing and Broker-Dealer Net Capital Requirements </w:t>
      </w:r>
      <w:r>
        <w:rPr>
          <w:rFonts w:ascii="Arial" w:cs="Arial" w:eastAsia="Arial" w:hAnsi="Arial"/>
          <w:sz w:val="16"/>
          <w:szCs w:val="16"/>
          <w:u w:val="single" w:color="auto"/>
          <w:color w:val="auto"/>
        </w:rPr>
        <w:t>Clearing Operations Regulatory Capital Requirements</w:t>
      </w:r>
    </w:p>
    <w:p>
      <w:pPr>
        <w:jc w:val="both"/>
        <w:spacing w:after="0" w:line="291" w:lineRule="auto"/>
        <w:rPr>
          <w:sz w:val="20"/>
          <w:szCs w:val="20"/>
          <w:color w:val="auto"/>
        </w:rPr>
      </w:pPr>
      <w:r>
        <w:rPr>
          <w:rFonts w:ascii="Arial" w:cs="Arial" w:eastAsia="Arial" w:hAnsi="Arial"/>
          <w:sz w:val="16"/>
          <w:szCs w:val="16"/>
          <w:color w:val="auto"/>
        </w:rPr>
        <w:t>We are required to maintain minimum levels of regulatory capital for the clearing operations of Nasdaq Clearing. The level of regulatory capital required to be maintained is dependent upon many factors, including market conditions and creditworthiness of the counterparty. As of December 31, 2017, our required regulatory capital of $160 million is primarily comprised of highly rated European government debt securities that are included in financial investments, at fair value in the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Broker-Dealer Net Capital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broker-dealer subsidiaries, Nasdaq Execution Services, Execution Access, NPM Securities, SMTX, and Nasdaq Capital Markets Advisory are subject to regulatory requirements intended to ensure their general financial soundness and liquidity. These requirements obligate these subsidiaries to comply with minimum net capital requirements. The following table summarizes the net capital requirements for our broker-dealer subsidiaries as of December 31, 2017:</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00"/>
              <w:spacing w:after="0"/>
              <w:rPr>
                <w:sz w:val="20"/>
                <w:szCs w:val="20"/>
                <w:color w:val="auto"/>
              </w:rPr>
            </w:pPr>
            <w:r>
              <w:rPr>
                <w:rFonts w:ascii="Arial" w:cs="Arial" w:eastAsia="Arial" w:hAnsi="Arial"/>
                <w:sz w:val="13"/>
                <w:szCs w:val="13"/>
                <w:b w:val="1"/>
                <w:bCs w:val="1"/>
                <w:color w:val="auto"/>
                <w:w w:val="88"/>
              </w:rPr>
              <w:t>Required</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58"/>
              <w:spacing w:after="0" w:line="135" w:lineRule="exact"/>
              <w:rPr>
                <w:sz w:val="20"/>
                <w:szCs w:val="20"/>
                <w:color w:val="auto"/>
              </w:rPr>
            </w:pPr>
            <w:r>
              <w:rPr>
                <w:rFonts w:ascii="Arial" w:cs="Arial" w:eastAsia="Arial" w:hAnsi="Arial"/>
                <w:sz w:val="13"/>
                <w:szCs w:val="13"/>
                <w:b w:val="1"/>
                <w:bCs w:val="1"/>
                <w:color w:val="auto"/>
                <w:w w:val="89"/>
              </w:rPr>
              <w:t>Total Net</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Minimum Net</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4"/>
        </w:trPr>
        <w:tc>
          <w:tcPr>
            <w:tcW w:w="2720" w:type="dxa"/>
            <w:vAlign w:val="bottom"/>
            <w:gridSpan w:val="2"/>
          </w:tcPr>
          <w:p>
            <w:pPr>
              <w:ind w:left="40"/>
              <w:spacing w:after="0"/>
              <w:rPr>
                <w:sz w:val="20"/>
                <w:szCs w:val="20"/>
                <w:color w:val="auto"/>
              </w:rPr>
            </w:pPr>
            <w:r>
              <w:rPr>
                <w:rFonts w:ascii="Arial" w:cs="Arial" w:eastAsia="Arial" w:hAnsi="Arial"/>
                <w:sz w:val="13"/>
                <w:szCs w:val="13"/>
                <w:b w:val="1"/>
                <w:bCs w:val="1"/>
                <w:color w:val="auto"/>
              </w:rPr>
              <w:t>Broker-Dealer Subsidiaries</w:t>
            </w:r>
          </w:p>
        </w:tc>
        <w:tc>
          <w:tcPr>
            <w:tcW w:w="160" w:type="dxa"/>
            <w:vAlign w:val="bottom"/>
          </w:tcPr>
          <w:p>
            <w:pPr>
              <w:spacing w:after="0"/>
              <w:rPr>
                <w:sz w:val="15"/>
                <w:szCs w:val="15"/>
                <w:color w:val="auto"/>
              </w:rPr>
            </w:pPr>
          </w:p>
        </w:tc>
        <w:tc>
          <w:tcPr>
            <w:tcW w:w="760" w:type="dxa"/>
            <w:vAlign w:val="bottom"/>
          </w:tcPr>
          <w:p>
            <w:pPr>
              <w:jc w:val="right"/>
              <w:ind w:right="198"/>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5"/>
                <w:szCs w:val="15"/>
                <w:color w:val="auto"/>
              </w:rPr>
            </w:pPr>
          </w:p>
        </w:tc>
        <w:tc>
          <w:tcPr>
            <w:tcW w:w="800" w:type="dxa"/>
            <w:vAlign w:val="bottom"/>
          </w:tcPr>
          <w:p>
            <w:pPr>
              <w:jc w:val="center"/>
              <w:ind w:right="80"/>
              <w:spacing w:after="0"/>
              <w:rPr>
                <w:sz w:val="20"/>
                <w:szCs w:val="20"/>
                <w:color w:val="auto"/>
              </w:rPr>
            </w:pPr>
            <w:r>
              <w:rPr>
                <w:rFonts w:ascii="Arial" w:cs="Arial" w:eastAsia="Arial" w:hAnsi="Arial"/>
                <w:sz w:val="13"/>
                <w:szCs w:val="13"/>
                <w:b w:val="1"/>
                <w:bCs w:val="1"/>
                <w:color w:val="auto"/>
                <w:w w:val="92"/>
              </w:rPr>
              <w:t>Capital</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w w:val="87"/>
              </w:rPr>
              <w:t>Excess Capital</w:t>
            </w:r>
          </w:p>
        </w:tc>
      </w:tr>
      <w:tr>
        <w:trPr>
          <w:trHeight w:val="289"/>
        </w:trPr>
        <w:tc>
          <w:tcPr>
            <w:tcW w:w="2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0"/>
              </w:rPr>
              <w:t>(in millions)</w:t>
            </w:r>
          </w:p>
        </w:tc>
        <w:tc>
          <w:tcPr>
            <w:tcW w:w="3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258"/>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Nasdaq Execution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Execution Access</w:t>
            </w:r>
          </w:p>
        </w:tc>
        <w:tc>
          <w:tcPr>
            <w:tcW w:w="160" w:type="dxa"/>
            <w:vAlign w:val="bottom"/>
          </w:tcPr>
          <w:p>
            <w:pPr>
              <w:spacing w:after="0"/>
              <w:rPr>
                <w:sz w:val="21"/>
                <w:szCs w:val="21"/>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NPM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SMTX</w:t>
            </w:r>
          </w:p>
        </w:tc>
        <w:tc>
          <w:tcPr>
            <w:tcW w:w="160" w:type="dxa"/>
            <w:vAlign w:val="bottom"/>
          </w:tcPr>
          <w:p>
            <w:pPr>
              <w:spacing w:after="0"/>
              <w:rPr>
                <w:sz w:val="21"/>
                <w:szCs w:val="21"/>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Nasdaq Capital Markets Advisory</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Capital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Execution Services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Nasdaq Execution Services also is required to maintain a $2 million minimum level of net capital under our clearing arrangement with OCC.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Canada</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member of the Investment Industry Regulatory Organization of Canada, Nasdaq Canada must comply with its dealer member rules which are intended to ensure general financial soundness and liquidity. Under these rules, Nasdaq Canada is required to comply with minimum net capital requirements. As of December 31, 2017, Nasdaq Canada was required to maintain minimum net capital of $0.2 million and</w:t>
      </w:r>
    </w:p>
    <w:p>
      <w:pPr>
        <w:spacing w:after="0" w:line="59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45"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had total net capital of approximately $7.8 million, or $7.6 million in excess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minimum amount required.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 * *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center"/>
              <w:ind w:left="296"/>
              <w:spacing w:after="0"/>
              <w:rPr>
                <w:sz w:val="20"/>
                <w:szCs w:val="20"/>
                <w:color w:val="auto"/>
              </w:rPr>
            </w:pPr>
            <w:r>
              <w:rPr>
                <w:rFonts w:ascii="Arial" w:cs="Arial" w:eastAsia="Arial" w:hAnsi="Arial"/>
                <w:sz w:val="13"/>
                <w:szCs w:val="13"/>
                <w:b w:val="1"/>
                <w:bCs w:val="1"/>
                <w:color w:val="auto"/>
                <w:w w:val="87"/>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6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196"/>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ind w:right="73"/>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ind w:right="173"/>
              <w:spacing w:after="0"/>
              <w:rPr>
                <w:sz w:val="20"/>
                <w:szCs w:val="20"/>
                <w:color w:val="auto"/>
              </w:rPr>
            </w:pPr>
            <w:r>
              <w:rPr>
                <w:rFonts w:ascii="Arial" w:cs="Arial" w:eastAsia="Arial" w:hAnsi="Arial"/>
                <w:sz w:val="13"/>
                <w:szCs w:val="13"/>
                <w:b w:val="1"/>
                <w:bCs w:val="1"/>
                <w:color w:val="auto"/>
                <w:w w:val="89"/>
              </w:rPr>
              <w:t>2015</w:t>
            </w:r>
          </w:p>
        </w:tc>
        <w:tc>
          <w:tcPr>
            <w:tcW w:w="1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2017 vs. 2016</w:t>
            </w:r>
          </w:p>
        </w:tc>
        <w:tc>
          <w:tcPr>
            <w:tcW w:w="1140" w:type="dxa"/>
            <w:vAlign w:val="bottom"/>
          </w:tcPr>
          <w:p>
            <w:pPr>
              <w:jc w:val="right"/>
              <w:ind w:right="133"/>
              <w:spacing w:after="0"/>
              <w:rPr>
                <w:sz w:val="20"/>
                <w:szCs w:val="20"/>
                <w:color w:val="auto"/>
              </w:rPr>
            </w:pPr>
            <w:r>
              <w:rPr>
                <w:rFonts w:ascii="Arial" w:cs="Arial" w:eastAsia="Arial" w:hAnsi="Arial"/>
                <w:sz w:val="13"/>
                <w:szCs w:val="13"/>
                <w:b w:val="1"/>
                <w:bCs w:val="1"/>
                <w:color w:val="auto"/>
              </w:rPr>
              <w:t>2016 vs. 2015</w:t>
            </w:r>
          </w:p>
        </w:tc>
      </w:tr>
      <w:tr>
        <w:trPr>
          <w:trHeight w:val="289"/>
        </w:trPr>
        <w:tc>
          <w:tcPr>
            <w:tcW w:w="6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7"/>
              </w:rPr>
              <w:t>(in millions)</w:t>
            </w: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8"/>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727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280.9 %</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(337.0)%</w:t>
            </w:r>
          </w:p>
        </w:tc>
      </w:tr>
      <w:tr>
        <w:trPr>
          <w:trHeight w:val="27"/>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Effect of exchange rate changes on cash and cash equivalents and 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7"/>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57"/>
        </w:trPr>
        <w:tc>
          <w:tcPr>
            <w:tcW w:w="630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17.1 %</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Cash Provided by Operating Activities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provided by operating activities increased $133 million in 2017 compared with 2016 and increased $49 million in 2016 compared with 2015. The increase in 2017 was primarily due to higher net income, mainly due to the inclusion of a full year of cash flows from our 2016 acquisitions, partially offset by higher compensation payments driven by our 2016 acquisitions. The increase in 2016 was primarily due to additional cash flows from our 2016 acquisitions, partially offset by an increase in cash payments related to merger and strategic initiatives expense associated with our 2016 acquisitions.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Cash Used in Investing Activities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decreased $767 million in 2017 compared with 2016 and increased $1,222 million in 2016 compared with 2015. The decrease in 2017 was primarily due to cash paid for our 2016 acquisitions, net of cash and cash equivalents acquired of $1,460 million partially offset by cash paid for our 2017 acquisitions, net of cash and cash equivalents acquired of $776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Cash (Used in) Provided by Financing Activities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in financing activities for the year ended December 31, 2017 primarily consisted of repayment of long-term debt of $708 million, $243 million related to cash dividends paid on our common stock, and $203 million related to the repurchase of our common stock, partially offset by net proceeds of $498 million from the issuance of the 2019 Notes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commercial paper, net of $480 million, and proceeds received from the utilization of our credit commitment of $150 million.</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provided by financing activities for the year ended December 31, 2016 primarily consisted of net proceeds of $2,456 million, of which $1,159 million related to the issuances of our 2023 Notes and 2026 Notes to fund our acquisition of ISE, $399 million related to net proceeds from our 2016 Credit Facility and $898 million related to proceeds from utilization of the revolving credit commitment under our 2014 credit facility to partially fund our acquisitions of Boardvantage, Marketwired and Nasdaq Canada, and other general corporate purposes. These proceeds were partially offset by the repayment of $1,156 million on the revolving credit commitment under our 2014 credit facility. We also used $200 million of cash to pay cash dividends on our common stock and $100 million of cash to repurchase our common stock.</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4, “Acquisitions,” to the consolidated financial statements for further discussion of our acquisitions.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Debt Obligations,” to the consolidated financial statements for further discussion of our debt obligations.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“Share Repurchase Program,” and “Cash Dividends on Common Stock,” of Note 14, “Nasdaq Stockholders’ Equity,” to the consolidated financial statements for further discussion of our share repurchase program and cash dividends paid on our common stock.</w:t>
      </w:r>
    </w:p>
    <w:p>
      <w:pPr>
        <w:spacing w:after="0" w:line="403"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45"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Nasdaq has contractual obligations to make future payments under debt obligations by contract maturity, minimum rental commitments under non-cancelable operating leases, net and other obligations. The following table shows these contractual obligations as of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4"/>
              </w:rPr>
              <w:t>Payments Due by Period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3"/>
                <w:szCs w:val="13"/>
                <w:b w:val="1"/>
                <w:bCs w:val="1"/>
                <w:color w:val="auto"/>
              </w:rPr>
              <w:t>Contractual Obligations</w:t>
            </w:r>
          </w:p>
        </w:tc>
        <w:tc>
          <w:tcPr>
            <w:tcW w:w="34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20" w:type="dxa"/>
            <w:vAlign w:val="bottom"/>
          </w:tcPr>
          <w:p>
            <w:pPr>
              <w:spacing w:after="0"/>
              <w:rPr>
                <w:sz w:val="22"/>
                <w:szCs w:val="2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1-3 years</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60" w:type="dxa"/>
            <w:vAlign w:val="bottom"/>
          </w:tcPr>
          <w:p>
            <w:pPr>
              <w:spacing w:after="0"/>
              <w:rPr>
                <w:sz w:val="22"/>
                <w:szCs w:val="22"/>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b w:val="1"/>
                <w:bCs w:val="1"/>
                <w:color w:val="auto"/>
                <w:w w:val="88"/>
              </w:rPr>
              <w:t>More than 5 years</w:t>
            </w:r>
          </w:p>
        </w:tc>
        <w:tc>
          <w:tcPr>
            <w:tcW w:w="0" w:type="dxa"/>
            <w:vAlign w:val="bottom"/>
          </w:tcPr>
          <w:p>
            <w:pPr>
              <w:spacing w:after="0"/>
              <w:rPr>
                <w:sz w:val="1"/>
                <w:szCs w:val="1"/>
                <w:color w:val="auto"/>
              </w:rPr>
            </w:pPr>
          </w:p>
        </w:tc>
      </w:tr>
      <w:tr>
        <w:trPr>
          <w:trHeight w:val="289"/>
        </w:trPr>
        <w:tc>
          <w:tcPr>
            <w:tcW w:w="4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120" w:type="dxa"/>
            <w:vAlign w:val="bottom"/>
            <w:gridSpan w:val="2"/>
            <w:shd w:val="clear" w:color="auto" w:fill="CCEEFF"/>
          </w:tcPr>
          <w:p>
            <w:pPr>
              <w:ind w:left="40"/>
              <w:spacing w:after="0" w:line="278" w:lineRule="exact"/>
              <w:rPr>
                <w:sz w:val="20"/>
                <w:szCs w:val="20"/>
                <w:color w:val="auto"/>
              </w:rPr>
            </w:pPr>
            <w:r>
              <w:rPr>
                <w:rFonts w:ascii="Arial" w:cs="Arial" w:eastAsia="Arial" w:hAnsi="Arial"/>
                <w:sz w:val="18"/>
                <w:szCs w:val="18"/>
                <w:color w:val="auto"/>
              </w:rPr>
              <w:t>Debt obligations by contract maturity</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Minimum rental commitments under non-cancelable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operating leases, net</w:t>
            </w:r>
            <w:r>
              <w:rPr>
                <w:rFonts w:ascii="Arial" w:cs="Arial" w:eastAsia="Arial" w:hAnsi="Arial"/>
                <w:sz w:val="25"/>
                <w:szCs w:val="25"/>
                <w:color w:val="auto"/>
                <w:vertAlign w:val="superscript"/>
              </w:rPr>
              <w:t>(2)</w:t>
            </w:r>
          </w:p>
        </w:tc>
        <w:tc>
          <w:tcPr>
            <w:tcW w:w="340" w:type="dxa"/>
            <w:vAlign w:val="bottom"/>
          </w:tcPr>
          <w:p>
            <w:pPr>
              <w:spacing w:after="0"/>
              <w:rPr>
                <w:sz w:val="22"/>
                <w:szCs w:val="22"/>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both"/>
        <w:ind w:left="340" w:hanging="332"/>
        <w:spacing w:after="0" w:line="248"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Our debt obligations include both principal and interest obligations. As of December 31, 2017, an interest rate of 3.09% was used to compute the amount of the contractual obligations for interest on the 2017 Credit Facility, 3.25% was used to compute the amount of the contractual obligations for interest on the 2016 Credit Facility, and 2.15% was used to compute the amount of the contractual obligations for interest on the 2019 Notes. All other debt obligations were primarily calculated on a 360-day basis at the contractual fixed rate multiplied by the aggregate principal amount as of December 31, 2017. See Note 10, “Debt Obligations,” to the consolidated financial statements for further discussion.</w:t>
      </w:r>
    </w:p>
    <w:p>
      <w:pPr>
        <w:spacing w:after="0" w:line="1" w:lineRule="exact"/>
        <w:rPr>
          <w:rFonts w:ascii="Arial" w:cs="Arial" w:eastAsia="Arial" w:hAnsi="Arial"/>
          <w:sz w:val="24"/>
          <w:szCs w:val="24"/>
          <w:color w:val="auto"/>
          <w:vertAlign w:val="superscript"/>
        </w:rPr>
      </w:pPr>
    </w:p>
    <w:p>
      <w:pPr>
        <w:ind w:left="340" w:hanging="332"/>
        <w:spacing w:after="0" w:line="209"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We lease some of our office space under non-cancelable operating leases with third parties and sublease office space to third parties. Some of our leases contain renewal options and escalation clauses based on increases in property taxes and building operating costs.</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Other obligations primarily consist of potential future escrow agreement payments related to prior acquisitions.</w:t>
      </w:r>
    </w:p>
    <w:p>
      <w:pPr>
        <w:spacing w:after="0" w:line="98" w:lineRule="exact"/>
        <w:rPr>
          <w:rFonts w:ascii="Arial" w:cs="Arial" w:eastAsia="Arial" w:hAnsi="Arial"/>
          <w:sz w:val="25"/>
          <w:szCs w:val="25"/>
          <w:color w:val="auto"/>
          <w:vertAlign w:val="superscript"/>
        </w:rPr>
      </w:pPr>
    </w:p>
    <w:p>
      <w:pPr>
        <w:ind w:left="5340"/>
        <w:spacing w:after="0"/>
        <w:rPr>
          <w:rFonts w:ascii="Arial" w:cs="Arial" w:eastAsia="Arial" w:hAnsi="Arial"/>
          <w:sz w:val="25"/>
          <w:szCs w:val="25"/>
          <w:color w:val="auto"/>
          <w:vertAlign w:val="superscript"/>
        </w:rPr>
      </w:pPr>
      <w:r>
        <w:rPr>
          <w:rFonts w:ascii="Arial" w:cs="Arial" w:eastAsia="Arial" w:hAnsi="Arial"/>
          <w:sz w:val="18"/>
          <w:szCs w:val="18"/>
          <w:color w:val="auto"/>
        </w:rPr>
        <w:t>* * * * *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Non-Cash Contingent Consideration</w:t>
            </w:r>
          </w:p>
        </w:tc>
        <w:tc>
          <w:tcPr>
            <w:tcW w:w="4420" w:type="dxa"/>
            <w:vAlign w:val="bottom"/>
          </w:tcPr>
          <w:p>
            <w:pPr>
              <w:ind w:left="1680"/>
              <w:spacing w:after="0"/>
              <w:rPr>
                <w:sz w:val="20"/>
                <w:szCs w:val="20"/>
                <w:color w:val="auto"/>
              </w:rPr>
            </w:pPr>
            <w:r>
              <w:rPr>
                <w:rFonts w:ascii="Arial" w:cs="Arial" w:eastAsia="Arial" w:hAnsi="Arial"/>
                <w:sz w:val="18"/>
                <w:szCs w:val="18"/>
                <w:color w:val="auto"/>
                <w:w w:val="93"/>
              </w:rPr>
              <w:t>•   Legal and regulatory matters; and</w:t>
            </w:r>
          </w:p>
        </w:tc>
        <w:tc>
          <w:tcPr>
            <w:tcW w:w="0" w:type="dxa"/>
            <w:vAlign w:val="bottom"/>
          </w:tcPr>
          <w:p>
            <w:pPr>
              <w:spacing w:after="0"/>
              <w:rPr>
                <w:sz w:val="1"/>
                <w:szCs w:val="1"/>
                <w:color w:val="auto"/>
              </w:rPr>
            </w:pPr>
          </w:p>
        </w:tc>
      </w:tr>
      <w:tr>
        <w:trPr>
          <w:trHeight w:val="81"/>
        </w:trPr>
        <w:tc>
          <w:tcPr>
            <w:tcW w:w="4480" w:type="dxa"/>
            <w:vAlign w:val="bottom"/>
            <w:vMerge w:val="continue"/>
          </w:tcPr>
          <w:p>
            <w:pPr>
              <w:spacing w:after="0"/>
              <w:rPr>
                <w:sz w:val="7"/>
                <w:szCs w:val="7"/>
                <w:color w:val="auto"/>
              </w:rPr>
            </w:pPr>
          </w:p>
        </w:tc>
        <w:tc>
          <w:tcPr>
            <w:tcW w:w="4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purchase price consideration of a prior acquisition, we have agreed to future annual issuances of 992,247 shares of Nasdaq common stock which approximated certain tax benefits associated with the transaction.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discussion of off-balance sheet arrangements see:</w:t>
      </w:r>
    </w:p>
    <w:p>
      <w:pPr>
        <w:spacing w:after="0" w:line="90" w:lineRule="exact"/>
        <w:rPr>
          <w:sz w:val="20"/>
          <w:szCs w:val="20"/>
          <w:color w:val="auto"/>
        </w:rPr>
      </w:pPr>
    </w:p>
    <w:p>
      <w:pPr>
        <w:jc w:val="both"/>
        <w:ind w:left="340" w:hanging="332"/>
        <w:spacing w:after="0" w:line="31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Note 17, “Clearing Operations,” to the consolidated financial statements for further discussion of our non-cash default fund contributions and margin deposits received for clearing operations; and</w:t>
      </w:r>
    </w:p>
    <w:p>
      <w:pPr>
        <w:spacing w:after="0" w:line="1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Note 19, “Commitments, Contingencies and Guarantees,” to the consolidated financial statements for further discussion of:</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Guarantees issued and credit facilities available;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20" w:lineRule="exact"/>
        <w:rPr>
          <w:sz w:val="20"/>
          <w:szCs w:val="20"/>
          <w:color w:val="auto"/>
        </w:rPr>
      </w:pPr>
      <w:r>
        <w:rPr>
          <w:sz w:val="20"/>
          <w:szCs w:val="20"/>
          <w:color w:val="auto"/>
        </w:rPr>
        <w:br w:type="column"/>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audits.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 risk represents the potential for losses that may result from changes in the market value of a financial instrument due to changes in market conditions. 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67"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6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guarantees;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Non-cash contingent consideration;</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Escrow agreements;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Routing brokerage activities;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6"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We are subject to the risk of fluctuating interest rates in the normal course of business. Our exposure to market risk for changes in interest rates relates primarily to our financial investments and debt obligations which are discussed below.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4900" w:space="720"/>
            <w:col w:w="5800"/>
          </w:cols>
          <w:pgMar w:left="240" w:top="445" w:right="239" w:bottom="1440" w:gutter="0" w:footer="0" w:header="0"/>
          <w:type w:val="continuous"/>
        </w:sectPr>
      </w:pPr>
    </w:p>
    <w:bookmarkStart w:id="55" w:name="page56"/>
    <w:bookmarkEnd w:id="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Investments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2017, our investment portfolio was primarily comprised of trading securities, mainly highly rated European government debt securities, which pay a fixed rate of interest. These securities are subject to interest rate risk and will decrease in value if market interest rates increase. If market interest rates were to increase immediately and uniformly by 100 basis points from levels as of December 31, 2017, the fair value of this portfolio would have declined by $5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Obligations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substantially all of our debt obligations are fixed-rate obligations. While changes in interest rates will have no impact on the interest we pay on fixed-rate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obligations, we are exposed to changes in interest rates as a result of the issuance of our 2019 Notes, borrowings under our 2017 Credit Facility and 2016 Credit Facility, and amounts outstanding from the sale of commercial paper under our commercial paper program, all of which have variable interest rates. As of December 31, 2017, we had principal amounts outstanding of $500 million on the 2019 Notes, $115 million under the 2017 Credit Facility, $100 million under the 2016 Credit Facility and $480 million of commercial paper. A hypothetical 100 basis points increase in interest rates on our outstanding 2019 Notes, the 2017 Credit Facility, the 2016 Credit Facility and our outstanding commercial paper would increase interest expense by approximately $12 million based on borrowings as of December 31, 2017.</w:t>
      </w:r>
    </w:p>
    <w:p>
      <w:pPr>
        <w:spacing w:after="0" w:line="53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i w:val="1"/>
          <w:iCs w:val="1"/>
          <w:color w:val="auto"/>
        </w:rPr>
        <w:t>* * * *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a leading global exchange group, we are subject to foreign currency transaction risk. Our primary exposure to foreign currency denominated revenues less transaction-based expenses and operating income for years ended December 31, 2017 and 2016 is presented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18"/>
              <w:spacing w:after="0"/>
              <w:rPr>
                <w:sz w:val="20"/>
                <w:szCs w:val="20"/>
                <w:color w:val="auto"/>
              </w:rPr>
            </w:pPr>
            <w:r>
              <w:rPr>
                <w:rFonts w:ascii="Arial" w:cs="Arial" w:eastAsia="Arial" w:hAnsi="Arial"/>
                <w:sz w:val="13"/>
                <w:szCs w:val="13"/>
                <w:b w:val="1"/>
                <w:bCs w:val="1"/>
                <w:color w:val="auto"/>
                <w:w w:val="88"/>
              </w:rPr>
              <w:t>Other Foreign</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Euro</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87"/>
              </w:rPr>
              <w:t>Swedish Krona</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8"/>
              </w:rPr>
              <w:t>Currencies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w w:val="88"/>
              </w:rPr>
              <w:t>U.S. Dollar</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Total</w:t>
            </w:r>
          </w:p>
        </w:tc>
      </w:tr>
      <w:tr>
        <w:trPr>
          <w:trHeight w:val="268"/>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80" w:type="dxa"/>
            <w:vAlign w:val="bottom"/>
            <w:gridSpan w:val="4"/>
          </w:tcPr>
          <w:p>
            <w:pPr>
              <w:jc w:val="center"/>
              <w:ind w:left="658"/>
              <w:spacing w:after="0"/>
              <w:rPr>
                <w:sz w:val="20"/>
                <w:szCs w:val="20"/>
                <w:color w:val="auto"/>
              </w:rPr>
            </w:pPr>
            <w:r>
              <w:rPr>
                <w:rFonts w:ascii="Arial" w:cs="Arial" w:eastAsia="Arial" w:hAnsi="Arial"/>
                <w:sz w:val="13"/>
                <w:szCs w:val="13"/>
                <w:b w:val="1"/>
                <w:bCs w:val="1"/>
                <w:color w:val="auto"/>
                <w:w w:val="86"/>
              </w:rPr>
              <w:t>(in millions, except currency rate)</w:t>
            </w: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86"/>
        </w:trPr>
        <w:tc>
          <w:tcPr>
            <w:tcW w:w="2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foreign currency rate to the U.S. dollar</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1.1273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0.1170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r>
      <w:tr>
        <w:trPr>
          <w:trHeight w:val="243"/>
        </w:trPr>
        <w:tc>
          <w:tcPr>
            <w:tcW w:w="2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Percentage of revenues less transaction-based expenses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6.0 %</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Percentage of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Impact of a 10% adverse currency fluctuation on revenues less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transaction-based expenses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(14)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(59)</w:t>
            </w: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Impact of a 10% adverse currency fluctuation on operating income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118"/>
              <w:spacing w:after="0"/>
              <w:rPr>
                <w:sz w:val="20"/>
                <w:szCs w:val="20"/>
                <w:color w:val="auto"/>
              </w:rPr>
            </w:pPr>
            <w:r>
              <w:rPr>
                <w:rFonts w:ascii="Arial" w:cs="Arial" w:eastAsia="Arial" w:hAnsi="Arial"/>
                <w:sz w:val="13"/>
                <w:szCs w:val="13"/>
                <w:b w:val="1"/>
                <w:bCs w:val="1"/>
                <w:color w:val="auto"/>
                <w:w w:val="88"/>
              </w:rPr>
              <w:t>Other Foreign</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Euro</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87"/>
              </w:rPr>
              <w:t>Swedish Krona</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8"/>
              </w:rPr>
              <w:t>Currencies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w w:val="88"/>
              </w:rPr>
              <w:t>U.S. Dollar</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Total</w:t>
            </w: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4"/>
          </w:tcPr>
          <w:p>
            <w:pPr>
              <w:jc w:val="center"/>
              <w:ind w:left="658"/>
              <w:spacing w:after="0"/>
              <w:rPr>
                <w:sz w:val="20"/>
                <w:szCs w:val="20"/>
                <w:color w:val="auto"/>
              </w:rPr>
            </w:pPr>
            <w:r>
              <w:rPr>
                <w:rFonts w:ascii="Arial" w:cs="Arial" w:eastAsia="Arial" w:hAnsi="Arial"/>
                <w:sz w:val="13"/>
                <w:szCs w:val="13"/>
                <w:b w:val="1"/>
                <w:bCs w:val="1"/>
                <w:color w:val="auto"/>
                <w:w w:val="86"/>
              </w:rPr>
              <w:t>(in millions, except currency rate)</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86"/>
        </w:trPr>
        <w:tc>
          <w:tcPr>
            <w:tcW w:w="2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foreign currency rate to the U.S. dollar</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1.1064</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0.1168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r>
      <w:tr>
        <w:trPr>
          <w:trHeight w:val="243"/>
        </w:trPr>
        <w:tc>
          <w:tcPr>
            <w:tcW w:w="2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Percentage of revenues less transaction-based expenses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5.9 %</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Percentage of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Impact of a 10% adverse currency fluctuation on revenues less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transaction-based expenses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(14)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Impact of a 10% adverse currency fluctuation on operating income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r>
      <w:tr>
        <w:trPr>
          <w:trHeight w:val="148"/>
        </w:trPr>
        <w:tc>
          <w:tcPr>
            <w:tcW w:w="20" w:type="dxa"/>
            <w:vAlign w:val="bottom"/>
          </w:tcPr>
          <w:p>
            <w:pPr>
              <w:spacing w:after="0"/>
              <w:rPr>
                <w:sz w:val="12"/>
                <w:szCs w:val="12"/>
                <w:color w:val="auto"/>
              </w:rPr>
            </w:pPr>
          </w:p>
        </w:tc>
        <w:tc>
          <w:tcPr>
            <w:tcW w:w="53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____________</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00"/>
              <w:spacing w:after="0"/>
              <w:rPr>
                <w:sz w:val="20"/>
                <w:szCs w:val="20"/>
                <w:color w:val="auto"/>
              </w:rPr>
            </w:pPr>
            <w:r>
              <w:rPr>
                <w:rFonts w:ascii="Arial" w:cs="Arial" w:eastAsia="Arial" w:hAnsi="Arial"/>
                <w:sz w:val="18"/>
                <w:szCs w:val="18"/>
                <w:color w:val="auto"/>
              </w:rPr>
              <w:t>Represents multiple foreign currency rates.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N/A</w:t>
            </w:r>
          </w:p>
        </w:tc>
        <w:tc>
          <w:tcPr>
            <w:tcW w:w="496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type w:val="continuous"/>
        </w:sectPr>
      </w:pPr>
    </w:p>
    <w:p>
      <w:pPr>
        <w:spacing w:after="0" w:line="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 rates may create volatility in our results of operations as we are</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6"/>
          <w:szCs w:val="16"/>
          <w:color w:val="auto"/>
        </w:rPr>
        <w:t>required to translate the balance sheets and operational results of these foreign currency denominated subsidiaries into U.S. dollars for consolidated reporting. The translation of foreign subsidiaries’ non-U.S. dollar balance sheets into U.S. dollars for consolidated reporting results in a cumulative translation adjustment which is recorded in accumulated other</w:t>
      </w:r>
    </w:p>
    <w:p>
      <w:pPr>
        <w:spacing w:after="0" w:line="185"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45"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comprehensive loss within stockholders’ equity in the Consolidated Balance Sheets.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primary exposure to net assets in foreign currencies as of December 31, 2017 is presented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37"/>
              <w:spacing w:after="0"/>
              <w:rPr>
                <w:sz w:val="20"/>
                <w:szCs w:val="20"/>
                <w:color w:val="auto"/>
              </w:rPr>
            </w:pPr>
            <w:r>
              <w:rPr>
                <w:rFonts w:ascii="Arial" w:cs="Arial" w:eastAsia="Arial" w:hAnsi="Arial"/>
                <w:sz w:val="13"/>
                <w:szCs w:val="13"/>
                <w:b w:val="1"/>
                <w:bCs w:val="1"/>
                <w:color w:val="auto"/>
                <w:w w:val="88"/>
              </w:rPr>
              <w:t>Impact of a 10% Adverse</w:t>
            </w:r>
          </w:p>
        </w:tc>
      </w:tr>
      <w:tr>
        <w:trPr>
          <w:trHeight w:val="174"/>
        </w:trPr>
        <w:tc>
          <w:tcPr>
            <w:tcW w:w="226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Assets</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Currency Fluctuation</w:t>
            </w:r>
          </w:p>
        </w:tc>
      </w:tr>
      <w:tr>
        <w:trPr>
          <w:trHeight w:val="276"/>
        </w:trPr>
        <w:tc>
          <w:tcPr>
            <w:tcW w:w="2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gridSpan w:val="3"/>
          </w:tcPr>
          <w:p>
            <w:pPr>
              <w:jc w:val="right"/>
              <w:ind w:right="1237"/>
              <w:spacing w:after="0"/>
              <w:rPr>
                <w:sz w:val="20"/>
                <w:szCs w:val="20"/>
                <w:color w:val="auto"/>
              </w:rPr>
            </w:pPr>
            <w:r>
              <w:rPr>
                <w:rFonts w:ascii="Arial" w:cs="Arial" w:eastAsia="Arial" w:hAnsi="Arial"/>
                <w:sz w:val="13"/>
                <w:szCs w:val="13"/>
                <w:b w:val="1"/>
                <w:bCs w:val="1"/>
                <w:color w:val="auto"/>
              </w:rPr>
              <w:t>(in millions)</w:t>
            </w:r>
          </w:p>
        </w:tc>
      </w:tr>
      <w:tr>
        <w:trPr>
          <w:trHeight w:val="278"/>
        </w:trPr>
        <w:tc>
          <w:tcPr>
            <w:tcW w:w="2260" w:type="dxa"/>
            <w:vAlign w:val="bottom"/>
            <w:shd w:val="clear" w:color="auto" w:fill="CCEEFF"/>
          </w:tcPr>
          <w:p>
            <w:pPr>
              <w:ind w:left="40"/>
              <w:spacing w:after="0" w:line="278" w:lineRule="exact"/>
              <w:rPr>
                <w:sz w:val="20"/>
                <w:szCs w:val="20"/>
                <w:color w:val="auto"/>
              </w:rPr>
            </w:pPr>
            <w:r>
              <w:rPr>
                <w:rFonts w:ascii="Arial" w:cs="Arial" w:eastAsia="Arial" w:hAnsi="Arial"/>
                <w:sz w:val="18"/>
                <w:szCs w:val="18"/>
                <w:color w:val="auto"/>
              </w:rPr>
              <w:t>Swedish Krona</w:t>
            </w:r>
            <w:r>
              <w:rPr>
                <w:rFonts w:ascii="Arial" w:cs="Arial" w:eastAsia="Arial" w:hAnsi="Arial"/>
                <w:sz w:val="25"/>
                <w:szCs w:val="25"/>
                <w:color w:val="auto"/>
                <w:vertAlign w:val="superscript"/>
              </w:rPr>
              <w:t>(1)</w:t>
            </w: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8"/>
              </w:rPr>
              <w:t>3,541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Norwegian Krone</w:t>
            </w:r>
          </w:p>
        </w:tc>
        <w:tc>
          <w:tcPr>
            <w:tcW w:w="110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110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10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85"/>
        </w:trPr>
        <w:tc>
          <w:tcPr>
            <w:tcW w:w="2260" w:type="dxa"/>
            <w:vAlign w:val="bottom"/>
          </w:tcPr>
          <w:p>
            <w:pPr>
              <w:spacing w:after="0"/>
              <w:rPr>
                <w:sz w:val="20"/>
                <w:szCs w:val="20"/>
                <w:color w:val="auto"/>
              </w:rPr>
            </w:pPr>
            <w:r>
              <w:rPr>
                <w:rFonts w:ascii="Arial" w:cs="Arial" w:eastAsia="Arial" w:hAnsi="Arial"/>
                <w:sz w:val="14"/>
                <w:szCs w:val="14"/>
                <w:b w:val="1"/>
                <w:bCs w:val="1"/>
                <w:color w:val="auto"/>
              </w:rPr>
              <w:t>____________</w:t>
            </w: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220" w:hanging="332"/>
        <w:spacing w:after="0" w:line="211"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goodwill of $2,662 million and intangible assets, net of $638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evaluating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rules of the NSCC and Nasdaq Execution Services’ clearing agreement, Nasdaq Execution Services is liable for any losses incurred due to a counterparty or a clearing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Execution Access is an introducing broker which operates the trading platform for our Nasdaq Fixed Income business to trade in U.S. Treasury securities. Execution Access has a clearing arrangement with Cantor Fitzgerald. As of December 31, 2017, we have contributed $19 million of clearing deposits to Cantor Fitzgerald in connection with this clearing arrangement. These deposits are recorded in other current assets in our Consolidated Balance Sheets. This clearing agreement will end on July 31, 2018, and will be replaced by a clearing agreement with ICBC. Some of the trading activity in Execution Access is cleared by Cantor Fitzgerald (and similarly will be by ICBC after July 31, 2018) through the Fixed Income Clearing Corporation. Execution Access assumes the counterparty risk of clients that do not clear through the Fixed Income Clearing Corporation. Counterparty risk of clients exists for Execution Access between the trade date and settlement date of the individual transactions, which is at least one business day (or more, if specified by the U.S. Treasury issuance calendar). All of Execution Access’ obligations under the clearing arrangement with Cantor Fitzgerald are guaranteed by Nasdaq.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credit risk through our clearing operations with Nasdaq Clearing. See Note 17, “Clearing Operations,” to the consolidated financial statements for further discussion.</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On an ongoing basis, we review and evaluate changes in the status of our counterparties’ creditworthiness. Credit losses such as those described above could adversely affect our consolidated financial position and results of operations.</w:t>
      </w:r>
    </w:p>
    <w:p>
      <w:pPr>
        <w:spacing w:after="0" w:line="1210"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45" w:right="239" w:bottom="1440" w:gutter="0" w:footer="0" w:header="0"/>
          <w:type w:val="continuous"/>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Arial" w:cs="Arial" w:eastAsia="Arial" w:hAnsi="Arial"/>
          <w:sz w:val="16"/>
          <w:szCs w:val="16"/>
          <w:color w:val="252525"/>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Services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Services Revenues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Listing services revenues primarily include annual renewal fees, initial listing fees, and listing of additional shares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and projected future listing duration. Unamortized balances are recorded as deferred revenue in the Consolidated Balance Sheets.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recognition for our Listing Services business was impacted due to the adoption of ASU 2014-09, “Revenue from Contracts with Customers.” See “Recent Accounting Pronouncements,” of Note 2, “Summary of Significant Accounting Policies,” to the consolidated financial statements for further discussion.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Related Impairment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For purposes of performing our goodwill impairment test, our five reporting units are the Market Services segment, the two businesses comprising the Corporate Services segment: Corporate Solutions and Listing Services, the Information Services segment, and the Market Technology segment. We test for impairment during the fourth quarter of our fiscal year using an October 1 measurement date. When testing goodwill for impairment, we have the option of first performing a qualitative</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assessment to determine whether it is more likely than not that the fair value of a reporting unit is less than its carrying amount as the basis to determine if it is necessary to perform a quantitative goodwill impairment test. In performing a qualitative assessment, we consider the extent to which unfavorable events or circumstances identified, such as changes in economic conditions, industry and market conditions or company specific events, could affect the comparison of the reporting unit’s fair value with its carrying amount. If we choose not to complete a qualitative assessment for a given reporting unit, or if the initial assessment indicates that it is more likely than not that the carrying amount of a reporting unit exceeds its estimated fair value, a quantitative test is required.</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assessing goodwill for impairment, our decision to perform a qualitative impairment assessment for a reporting unit in a given year is influenced by a number of factors, including but not limited to, the size of the reporting unit’s goodwill, the significance of the excess of the reporting unit’s estimated fair value over its carrying amount at the last quantitative assessment date, and the amount of time in between quantitative fair value assessments.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quantitative goodwill impairment test consists of two steps performed at the reporting unit level.</w:t>
      </w:r>
    </w:p>
    <w:p>
      <w:pPr>
        <w:spacing w:after="0" w:line="62" w:lineRule="exact"/>
        <w:rPr>
          <w:sz w:val="20"/>
          <w:szCs w:val="20"/>
          <w:color w:val="auto"/>
        </w:rPr>
      </w:pPr>
    </w:p>
    <w:p>
      <w:pPr>
        <w:jc w:val="both"/>
        <w:ind w:left="340" w:hanging="332"/>
        <w:spacing w:after="0" w:line="269"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first step compares the estimated fair value of each reporting unit to its corresponding carrying amount, including goodwill. The fair value of each reporting unit is estimated using a combination of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reporting unit’s estimated fair value exceeds its estimated carrying amount, goodwill is not impaired.</w:t>
      </w:r>
    </w:p>
    <w:p>
      <w:pPr>
        <w:spacing w:after="0" w:line="71" w:lineRule="exact"/>
        <w:rPr>
          <w:rFonts w:ascii="Arial" w:cs="Arial" w:eastAsia="Arial" w:hAnsi="Arial"/>
          <w:sz w:val="17"/>
          <w:szCs w:val="17"/>
          <w:color w:val="auto"/>
        </w:rPr>
      </w:pPr>
    </w:p>
    <w:p>
      <w:pPr>
        <w:jc w:val="both"/>
        <w:ind w:left="340" w:hanging="332"/>
        <w:spacing w:after="0" w:line="270"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42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45"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presents the balances of goodwill for our reportable segments at the time of our 2017 annual impairment test: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test consists of a comparison of the fair value of the indefinite-lived intangible asset to its carrying amount as of the impairment testing date. If the carrying amount of the indefinite-lived intangible asset exceeds its fair</w:t>
      </w:r>
    </w:p>
    <w:p>
      <w:pPr>
        <w:spacing w:after="0" w:line="2" w:lineRule="exact"/>
        <w:rPr>
          <w:sz w:val="20"/>
          <w:szCs w:val="20"/>
          <w:color w:val="auto"/>
        </w:rPr>
      </w:pPr>
    </w:p>
    <w:p>
      <w:pPr>
        <w:sectPr>
          <w:pgSz w:w="11900" w:h="16838" w:orient="portrait"/>
          <w:cols w:equalWidth="0" w:num="2">
            <w:col w:w="5180" w:space="640"/>
            <w:col w:w="5600"/>
          </w:cols>
          <w:pgMar w:left="240" w:top="445"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35420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20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Corporate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5420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203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Information Services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Market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54203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20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23"/>
        <w:spacing w:after="0"/>
        <w:rPr>
          <w:sz w:val="20"/>
          <w:szCs w:val="20"/>
          <w:color w:val="auto"/>
        </w:rPr>
      </w:pPr>
      <w:r>
        <w:rPr>
          <w:rFonts w:ascii="Arial" w:cs="Arial" w:eastAsia="Arial" w:hAnsi="Arial"/>
          <w:sz w:val="13"/>
          <w:szCs w:val="13"/>
          <w:b w:val="1"/>
          <w:bCs w:val="1"/>
          <w:color w:val="auto"/>
        </w:rPr>
        <w:t>October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19685</wp:posOffset>
            </wp:positionV>
            <wp:extent cx="8489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101" w:lineRule="exact"/>
        <w:rPr>
          <w:sz w:val="20"/>
          <w:szCs w:val="20"/>
          <w:color w:val="auto"/>
        </w:rPr>
      </w:pPr>
    </w:p>
    <w:p>
      <w:pPr>
        <w:jc w:val="center"/>
        <w:ind w:left="-23"/>
        <w:spacing w:after="0"/>
        <w:rPr>
          <w:sz w:val="20"/>
          <w:szCs w:val="20"/>
          <w:color w:val="auto"/>
        </w:rPr>
      </w:pPr>
      <w:r>
        <w:rPr>
          <w:rFonts w:ascii="Arial" w:cs="Arial" w:eastAsia="Arial" w:hAnsi="Arial"/>
          <w:sz w:val="13"/>
          <w:szCs w:val="13"/>
          <w:b w:val="1"/>
          <w:bCs w:val="1"/>
          <w:color w:val="auto"/>
        </w:rPr>
        <w:t>(in millions)</w:t>
      </w:r>
    </w:p>
    <w:p>
      <w:pPr>
        <w:spacing w:after="0" w:line="43" w:lineRule="exact"/>
        <w:rPr>
          <w:sz w:val="20"/>
          <w:szCs w:val="20"/>
          <w:color w:val="auto"/>
        </w:rPr>
      </w:pPr>
    </w:p>
    <w:p>
      <w:pPr>
        <w:ind w:left="844" w:hanging="844"/>
        <w:spacing w:after="0"/>
        <w:tabs>
          <w:tab w:leader="none" w:pos="8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3,560</w:t>
      </w:r>
    </w:p>
    <w:p>
      <w:pPr>
        <w:spacing w:after="0" w:line="86" w:lineRule="exact"/>
        <w:rPr>
          <w:rFonts w:ascii="Arial" w:cs="Arial" w:eastAsia="Arial" w:hAnsi="Arial"/>
          <w:sz w:val="16"/>
          <w:szCs w:val="16"/>
          <w:color w:val="auto"/>
        </w:rPr>
      </w:pPr>
    </w:p>
    <w:p>
      <w:pPr>
        <w:ind w:left="984"/>
        <w:spacing w:after="0"/>
        <w:rPr>
          <w:rFonts w:ascii="Arial" w:cs="Arial" w:eastAsia="Arial" w:hAnsi="Arial"/>
          <w:sz w:val="16"/>
          <w:szCs w:val="16"/>
          <w:color w:val="auto"/>
        </w:rPr>
      </w:pPr>
      <w:r>
        <w:rPr>
          <w:rFonts w:ascii="Arial" w:cs="Arial" w:eastAsia="Arial" w:hAnsi="Arial"/>
          <w:sz w:val="16"/>
          <w:szCs w:val="16"/>
          <w:color w:val="auto"/>
        </w:rPr>
        <w:t>491</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188</w:t>
      </w:r>
    </w:p>
    <w:p>
      <w:pPr>
        <w:spacing w:after="0" w:line="77" w:lineRule="exact"/>
        <w:rPr>
          <w:sz w:val="20"/>
          <w:szCs w:val="20"/>
          <w:color w:val="auto"/>
        </w:rPr>
      </w:pPr>
    </w:p>
    <w:p>
      <w:pPr>
        <w:ind w:left="844" w:hanging="844"/>
        <w:spacing w:after="0"/>
        <w:tabs>
          <w:tab w:leader="none" w:pos="8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6,154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8489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Arial" w:cs="Arial" w:eastAsia="Arial" w:hAnsi="Arial"/>
          <w:sz w:val="16"/>
          <w:szCs w:val="16"/>
          <w:color w:val="auto"/>
        </w:rPr>
        <w:t>value, an impairment charge is recorded for the difference. The fair value of indefinite-lived intangible assets is primarily determined on the basis of estimated discounted value, using the Greenfield Approach for exchange and clearing registrations and licenses and the relief from royalty approach or excess earnings approach for trade names, both of which incorporate assumptions regarding future revenue projections and discount rates. During our annual indefinite-lived intangible asset impairment test during the fourth quarter of 2017, we performed a quantitative test as several years had elapsed since the date of our previous quantitative valuations.</w:t>
      </w:r>
    </w:p>
    <w:p>
      <w:pPr>
        <w:spacing w:after="0" w:line="5" w:lineRule="exact"/>
        <w:rPr>
          <w:sz w:val="20"/>
          <w:szCs w:val="20"/>
          <w:color w:val="auto"/>
        </w:rPr>
      </w:pPr>
    </w:p>
    <w:p>
      <w:pPr>
        <w:sectPr>
          <w:pgSz w:w="11900" w:h="16838" w:orient="portrait"/>
          <w:cols w:equalWidth="0" w:num="3">
            <w:col w:w="3556" w:space="720"/>
            <w:col w:w="1264" w:space="280"/>
            <w:col w:w="5600"/>
          </w:cols>
          <w:pgMar w:left="240" w:top="445" w:right="239" w:bottom="1440" w:gutter="0" w:footer="0" w:header="0"/>
          <w:type w:val="continuous"/>
        </w:sectPr>
      </w:pPr>
    </w:p>
    <w:p>
      <w:pPr>
        <w:jc w:val="both"/>
        <w:spacing w:after="0" w:line="270" w:lineRule="auto"/>
        <w:rPr>
          <w:sz w:val="20"/>
          <w:szCs w:val="20"/>
          <w:color w:val="auto"/>
        </w:rPr>
      </w:pPr>
      <w:r>
        <w:rPr>
          <w:rFonts w:ascii="Arial" w:cs="Arial" w:eastAsia="Arial" w:hAnsi="Arial"/>
          <w:sz w:val="17"/>
          <w:szCs w:val="17"/>
          <w:color w:val="auto"/>
        </w:rPr>
        <w:t>In 2017, we performed a quantitative test for our annual impairment test for goodwill as several years had elapsed since the date of certain of our quantitative valuations. The last quantitative tests were in 2013 for the Listing Services, Information Services and Market Technology reporting units and in 2015 for the Market Services reporting unit. We also performed a quantitative goodwill impairment test on the remaining businesses in our Corporate Solutions reporting unit since our Public Relations Solutions and Digital Media Services businesses have been classified as held for sale. See Note 5, “Assets and Liabilities Held for Sale,” to the consolidated financial statements for further discussion.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performed step one of the quantitative goodwill impairment test for all reporting units and determined that fair value substantially exceeded carrying value for each of our reporting units. As a result, no goodwill impairment was recorded in 2017. No goodwill impairment was recorded in 2016 and 2015.</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our estimates of fair value are reasonable, the determination of certain valuation inputs is subject to management’s judgment. Changes in these inputs could materially affect the results of our impairment review. If our forecasts of cash flows or other key inputs are negatively revised in the future, the estimated fair value of each reporting unit would be adversely impacted, potentially leading to an impairment in the future that could materially affect our operating results.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our annual impairment test, no indications of impairment were identified.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 and Related Impairment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Intangible assets deemed to have indefinite useful lives, primarily exchange and clearing registrations, are not amortized but instead are tested for impairment at least annually and more frequently whenever events or changes in circumstances indicate that the fair value of the asset may be less than its carrying amount. Similar to goodwill impairment testing, we test for impairment of indefinite-lived intangible assets during the fourth quarter of our fiscal year using an October 1 measurement date and may first perform a qualitative assessment, considering similar factors as discussed above in the goodwill impairment discussion, to determine if it is more likely than not that the fair value of the indefinite-lived intangible asset is less than its carrying amount. If we elect to perform or are required to perform a quantitative assessment,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indefinite-lived intangible asset impairment charges in 2017. Subsequent to our annual indefinite-lived impairment test, no indications of impairment were identified.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“Intangible Asset Impairment Charges,” of Note 6, “Goodwill and Acquired Intangible Assets,” to the consolidated financial statements, we recorded the following pre-tax, non-cash indefinite-lived asset impairment charges during 2016 and 2015:</w:t>
      </w:r>
    </w:p>
    <w:p>
      <w:pPr>
        <w:spacing w:after="0" w:line="79"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December 2016: $578 million to write off the full value of the eSpeed trade name; and</w:t>
      </w:r>
    </w:p>
    <w:p>
      <w:pPr>
        <w:spacing w:after="0" w:line="6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March 2015: $119 million to write off the full value of the OMX trade name. In connection with our global rebranding initiative, we decided to change our company name from The NASDAQ OMX Group, Inc. to Nasdaq, Inc., which became effective in the third quarter of 2015. In connection with this action, we decided to discontinue the use of the OMX trade name.</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charges did not impact the company’s consolidated cash flows, liquidity, or capital resources. The write off of the eSpeed trade name is recorded in asset impairment charge in the Consolidated Statements of Income for 2016 and the write off of the OMX trade name is recorded in restructuring charges in the Consolidated Statements of Income for 2015.</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other impairments of indefinite-lived intangible assets for the years ended December 31, 2016 and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Long-Lived Assets and Related Impairment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review our other long-lived assets, such as finite-lived intangible assets, equity and cost method investments, as well as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We evaluate our equity and cost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w:t>
      </w:r>
    </w:p>
    <w:p>
      <w:pPr>
        <w:spacing w:after="0" w:line="543"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45"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consider the underlying stock price as an additional factor. Any required impairment loss is measured as the amount by which the carrying amount of the asset exceeds its fair value and is recorded as a reduction in the carrying amount of the related asset and a charge to operating results.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pre-tax, non-cash property and equipment asset impairment charges of $9 million for the year ended December 31, 2017, $8 million for 2016 and $18 million for 2015. See Note 8, “Property and Equipment, net,” to the consolidated financial statements for further discussion. The impairment charge in 2017 is included in merger and strategic initiatives expense in the Consolidated Statements of Income and the 2016 and 2015 impairment charges are included in restructuring charges in the Consolidated Statements of Income during the respective period.</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other impairments of property and equipment recorded in 2017, 2016 or 2015.</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31, 2016, we recorded a pre-tax, non-cash impairment charge of $7 million to write off the full value of an equity method investment. See “Equity Method Investments,” of Note 7, “Investments,” to the consolidated financial statements for further discussion. No other impairments of equity method investments were recorded in 2017, 2016 or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calculation of our tax liabilities involves uncertainties in the application of tax regulations in the U.S. and other tax jurisdictions. We recognize potential liabilities for anticipated tax audit issues in such jurisdictions based on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Tax Cuts and Jobs Act was enacted on December 22, 2017. We are required to recognize the effect of the tax law changes in the period of enactment, such as remeasuring our U.S. deferred tax assets and liabilities, reassessing the net realizability of deferred tax assets and liabilities, and determining the applicability of the one-time mandatory transition tax on accumulated foreign earnings. SEC Staff Accounting Bulletin No. 118, “Income Tax Accounting Implications of the Tax Cuts and Jobs Act,” or SAB 118, has provided guidance which allows us to record provisional amounts during a measurement period not to extend beyond one year of the enactment date. As of December 31, 2017, we have recorded a provisional estimate of the effects of the new legislation. We will continue to analyze the Tax Cuts and Jobs Act and related accounting guidance and interpretations in order to finalize any impacts within the measurement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“Recent Accounting Pronouncements,” of Note 2, “Summary of Significant Accounting Policies,” to the consolidated financial statements for further discussion of recently adopted and recently issued accounting pronouncements that are applicable to Nasdaq.</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Nasdaq’s consolidated financial statements, including Consolidated Balance Sheets as of December 31, 2017 and 2016, Consolidated Statements of Income for the years ended December 31, 2017, 2016 and 2015, Consolidated Statements of Comprehensive Income (Loss) for the years ended December 31, 2017, 2016 and 2015, Consolidated Statements of Changes in Equity for the years ended December 31, 2017, 2016 and 2015, Consolidated Statements of Cash Flows for the years ended December 31, 2017, 2016 and 2015 and notes to our consolidated financial statements, together with a report thereon of Ernst &amp; Young LLP, dated February 28, 2018, are attached hereto as pages F-1 through F-52 and incorporated by reference herein.</w:t>
      </w:r>
    </w:p>
    <w:p>
      <w:pPr>
        <w:spacing w:after="0" w:line="844"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45"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920" w:type="dxa"/>
            <w:vAlign w:val="bottom"/>
          </w:tcPr>
          <w:p>
            <w:pPr>
              <w:jc w:val="center"/>
              <w:ind w:left="378"/>
              <w:spacing w:after="0"/>
              <w:rPr>
                <w:sz w:val="20"/>
                <w:szCs w:val="20"/>
                <w:color w:val="auto"/>
              </w:rPr>
            </w:pPr>
            <w:r>
              <w:rPr>
                <w:rFonts w:ascii="Arial" w:cs="Arial" w:eastAsia="Arial" w:hAnsi="Arial"/>
                <w:sz w:val="13"/>
                <w:szCs w:val="13"/>
                <w:b w:val="1"/>
                <w:bCs w:val="1"/>
                <w:color w:val="auto"/>
                <w:w w:val="90"/>
              </w:rPr>
              <w:t>1st Qtr</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2nd Qtr</w:t>
            </w:r>
          </w:p>
        </w:tc>
        <w:tc>
          <w:tcPr>
            <w:tcW w:w="30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3rd Qtr</w:t>
            </w:r>
          </w:p>
        </w:tc>
        <w:tc>
          <w:tcPr>
            <w:tcW w:w="300" w:type="dxa"/>
            <w:vAlign w:val="bottom"/>
          </w:tcPr>
          <w:p>
            <w:pPr>
              <w:spacing w:after="0"/>
              <w:rPr>
                <w:sz w:val="13"/>
                <w:szCs w:val="13"/>
                <w:color w:val="auto"/>
              </w:rPr>
            </w:pPr>
          </w:p>
        </w:tc>
        <w:tc>
          <w:tcPr>
            <w:tcW w:w="1060" w:type="dxa"/>
            <w:vAlign w:val="bottom"/>
          </w:tcPr>
          <w:p>
            <w:pPr>
              <w:jc w:val="center"/>
              <w:ind w:right="215"/>
              <w:spacing w:after="0"/>
              <w:rPr>
                <w:sz w:val="20"/>
                <w:szCs w:val="20"/>
                <w:color w:val="auto"/>
              </w:rPr>
            </w:pPr>
            <w:r>
              <w:rPr>
                <w:rFonts w:ascii="Arial" w:cs="Arial" w:eastAsia="Arial" w:hAnsi="Arial"/>
                <w:sz w:val="13"/>
                <w:szCs w:val="13"/>
                <w:b w:val="1"/>
                <w:bCs w:val="1"/>
                <w:color w:val="auto"/>
                <w:w w:val="93"/>
              </w:rPr>
              <w:t>4th Qtr</w:t>
            </w:r>
          </w:p>
        </w:tc>
      </w:tr>
      <w:tr>
        <w:trPr>
          <w:trHeight w:val="174"/>
        </w:trPr>
        <w:tc>
          <w:tcPr>
            <w:tcW w:w="5620" w:type="dxa"/>
            <w:vAlign w:val="bottom"/>
          </w:tcPr>
          <w:p>
            <w:pPr>
              <w:spacing w:after="0"/>
              <w:rPr>
                <w:sz w:val="15"/>
                <w:szCs w:val="15"/>
                <w:color w:val="auto"/>
              </w:rPr>
            </w:pPr>
          </w:p>
        </w:tc>
        <w:tc>
          <w:tcPr>
            <w:tcW w:w="920" w:type="dxa"/>
            <w:vAlign w:val="bottom"/>
            <w:tcBorders>
              <w:bottom w:val="single" w:sz="8" w:color="auto"/>
            </w:tcBorders>
          </w:tcPr>
          <w:p>
            <w:pPr>
              <w:jc w:val="center"/>
              <w:ind w:left="398"/>
              <w:spacing w:after="0"/>
              <w:rPr>
                <w:sz w:val="20"/>
                <w:szCs w:val="20"/>
                <w:color w:val="auto"/>
              </w:rPr>
            </w:pPr>
            <w:r>
              <w:rPr>
                <w:rFonts w:ascii="Arial" w:cs="Arial" w:eastAsia="Arial" w:hAnsi="Arial"/>
                <w:sz w:val="13"/>
                <w:szCs w:val="13"/>
                <w:b w:val="1"/>
                <w:bCs w:val="1"/>
                <w:color w:val="auto"/>
                <w:w w:val="82"/>
              </w:rPr>
              <w:t>2017</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b w:val="1"/>
                <w:bCs w:val="1"/>
                <w:color w:val="auto"/>
                <w:w w:val="89"/>
              </w:rPr>
              <w:t>2017</w:t>
            </w:r>
          </w:p>
        </w:tc>
      </w:tr>
      <w:tr>
        <w:trPr>
          <w:trHeight w:val="173"/>
        </w:trPr>
        <w:tc>
          <w:tcPr>
            <w:tcW w:w="5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00" w:type="dxa"/>
            <w:vAlign w:val="bottom"/>
            <w:gridSpan w:val="5"/>
          </w:tcPr>
          <w:p>
            <w:pPr>
              <w:ind w:left="120"/>
              <w:spacing w:after="0"/>
              <w:rPr>
                <w:sz w:val="20"/>
                <w:szCs w:val="20"/>
                <w:color w:val="auto"/>
              </w:rPr>
            </w:pPr>
            <w:r>
              <w:rPr>
                <w:rFonts w:ascii="Arial" w:cs="Arial" w:eastAsia="Arial" w:hAnsi="Arial"/>
                <w:sz w:val="13"/>
                <w:szCs w:val="13"/>
                <w:b w:val="1"/>
                <w:bCs w:val="1"/>
                <w:color w:val="auto"/>
              </w:rPr>
              <w:t>(in millions, except per share amounts)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11"/>
        </w:trPr>
        <w:tc>
          <w:tcPr>
            <w:tcW w:w="5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392</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243</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Nasdaq</w:t>
            </w: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246</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920" w:type="dxa"/>
            <w:vAlign w:val="bottom"/>
            <w:tcBorders>
              <w:top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0.99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1.45</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0.38</w:t>
            </w:r>
          </w:p>
        </w:tc>
      </w:tr>
      <w:tr>
        <w:trPr>
          <w:trHeight w:val="718"/>
        </w:trPr>
        <w:tc>
          <w:tcPr>
            <w:tcW w:w="5620" w:type="dxa"/>
            <w:vAlign w:val="bottom"/>
          </w:tcPr>
          <w:p>
            <w:pPr>
              <w:spacing w:after="0"/>
              <w:rPr>
                <w:sz w:val="24"/>
                <w:szCs w:val="24"/>
                <w:color w:val="auto"/>
              </w:rPr>
            </w:pPr>
          </w:p>
        </w:tc>
        <w:tc>
          <w:tcPr>
            <w:tcW w:w="920" w:type="dxa"/>
            <w:vAlign w:val="bottom"/>
            <w:tcBorders>
              <w:top w:val="single" w:sz="8" w:color="auto"/>
            </w:tcBorders>
          </w:tcPr>
          <w:p>
            <w:pPr>
              <w:jc w:val="center"/>
              <w:ind w:left="378"/>
              <w:spacing w:after="0"/>
              <w:rPr>
                <w:sz w:val="20"/>
                <w:szCs w:val="20"/>
                <w:color w:val="auto"/>
              </w:rPr>
            </w:pPr>
            <w:r>
              <w:rPr>
                <w:rFonts w:ascii="Arial" w:cs="Arial" w:eastAsia="Arial" w:hAnsi="Arial"/>
                <w:sz w:val="13"/>
                <w:szCs w:val="13"/>
                <w:b w:val="1"/>
                <w:bCs w:val="1"/>
                <w:color w:val="auto"/>
                <w:w w:val="90"/>
              </w:rPr>
              <w:t>1st Qtr</w:t>
            </w: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0"/>
              </w:rPr>
              <w:t>2nd Qtr</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195"/>
              <w:spacing w:after="0"/>
              <w:rPr>
                <w:sz w:val="20"/>
                <w:szCs w:val="20"/>
                <w:color w:val="auto"/>
              </w:rPr>
            </w:pPr>
            <w:r>
              <w:rPr>
                <w:rFonts w:ascii="Arial" w:cs="Arial" w:eastAsia="Arial" w:hAnsi="Arial"/>
                <w:sz w:val="13"/>
                <w:szCs w:val="13"/>
                <w:b w:val="1"/>
                <w:bCs w:val="1"/>
                <w:color w:val="auto"/>
                <w:w w:val="96"/>
              </w:rPr>
              <w:t>3rd Qtr</w:t>
            </w: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93"/>
              </w:rPr>
              <w:t>4th Qtr</w:t>
            </w:r>
          </w:p>
        </w:tc>
      </w:tr>
      <w:tr>
        <w:trPr>
          <w:trHeight w:val="174"/>
        </w:trPr>
        <w:tc>
          <w:tcPr>
            <w:tcW w:w="5620" w:type="dxa"/>
            <w:vAlign w:val="bottom"/>
          </w:tcPr>
          <w:p>
            <w:pPr>
              <w:spacing w:after="0"/>
              <w:rPr>
                <w:sz w:val="15"/>
                <w:szCs w:val="15"/>
                <w:color w:val="auto"/>
              </w:rPr>
            </w:pPr>
          </w:p>
        </w:tc>
        <w:tc>
          <w:tcPr>
            <w:tcW w:w="920" w:type="dxa"/>
            <w:vAlign w:val="bottom"/>
            <w:tcBorders>
              <w:bottom w:val="single" w:sz="8" w:color="auto"/>
            </w:tcBorders>
          </w:tcPr>
          <w:p>
            <w:pPr>
              <w:jc w:val="center"/>
              <w:ind w:left="378"/>
              <w:spacing w:after="0"/>
              <w:rPr>
                <w:sz w:val="20"/>
                <w:szCs w:val="20"/>
                <w:color w:val="auto"/>
              </w:rPr>
            </w:pPr>
            <w:r>
              <w:rPr>
                <w:rFonts w:ascii="Arial" w:cs="Arial" w:eastAsia="Arial" w:hAnsi="Arial"/>
                <w:sz w:val="13"/>
                <w:szCs w:val="13"/>
                <w:b w:val="1"/>
                <w:bCs w:val="1"/>
                <w:color w:val="auto"/>
                <w:w w:val="89"/>
              </w:rPr>
              <w:t>2016</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82"/>
              </w:rPr>
              <w:t>2016</w:t>
            </w:r>
          </w:p>
        </w:tc>
      </w:tr>
      <w:tr>
        <w:trPr>
          <w:trHeight w:val="173"/>
        </w:trPr>
        <w:tc>
          <w:tcPr>
            <w:tcW w:w="5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00" w:type="dxa"/>
            <w:vAlign w:val="bottom"/>
            <w:gridSpan w:val="5"/>
          </w:tcPr>
          <w:p>
            <w:pPr>
              <w:ind w:left="120"/>
              <w:spacing w:after="0"/>
              <w:rPr>
                <w:sz w:val="20"/>
                <w:szCs w:val="20"/>
                <w:color w:val="auto"/>
              </w:rPr>
            </w:pPr>
            <w:r>
              <w:rPr>
                <w:rFonts w:ascii="Arial" w:cs="Arial" w:eastAsia="Arial" w:hAnsi="Arial"/>
                <w:sz w:val="13"/>
                <w:szCs w:val="13"/>
                <w:b w:val="1"/>
                <w:bCs w:val="1"/>
                <w:color w:val="auto"/>
              </w:rPr>
              <w:t>(in millions, except per share amounts)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11"/>
        </w:trPr>
        <w:tc>
          <w:tcPr>
            <w:tcW w:w="5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386</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213</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Nasdaq</w:t>
            </w: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920" w:type="dxa"/>
            <w:vAlign w:val="bottom"/>
            <w:tcBorders>
              <w:top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0.78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0.32</w:t>
            </w:r>
          </w:p>
        </w:tc>
      </w:tr>
      <w:tr>
        <w:trPr>
          <w:trHeight w:val="20"/>
        </w:trPr>
        <w:tc>
          <w:tcPr>
            <w:tcW w:w="5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jc w:val="both"/>
        <w:ind w:firstLine="8"/>
        <w:spacing w:after="0" w:line="270" w:lineRule="auto"/>
        <w:tabs>
          <w:tab w:leader="none" w:pos="285"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Disclosure controls and procedures. </w:t>
      </w:r>
      <w:r>
        <w:rPr>
          <w:rFonts w:ascii="Arial" w:cs="Arial" w:eastAsia="Arial" w:hAnsi="Arial"/>
          <w:sz w:val="17"/>
          <w:szCs w:val="17"/>
          <w:color w:val="auto"/>
        </w:rPr>
        <w:t>Nasdaq’s management,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participation of Nasdaq’s President and Chief Executive Officer, and Executive Vice President, Corporate Strategy and Chief Financial Officer, has evaluated the effectiveness of Nasdaq’s disclosure controls and procedures (as defined in Rule 13a-15(e) and Rule 15d-15(e) under the Exchange Act) as of the end of the period covered by this report. Based upon that evaluation, Nasdaq’s President and Chief Executive Officer and Executive Vice President, Corporate Strategy and Chief Financial Officer, have concluded that, as of the end of such period, Nasdaq’s disclosure controls and procedures are effective.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 over financial reporting</w:t>
      </w:r>
      <w:r>
        <w:rPr>
          <w:rFonts w:ascii="Arial" w:cs="Arial" w:eastAsia="Arial" w:hAnsi="Arial"/>
          <w:sz w:val="18"/>
          <w:szCs w:val="18"/>
          <w:color w:val="auto"/>
        </w:rPr>
        <w:t>. In October 2017, we acquired eVestment. Management has considered this transaction material to the results of operations, cash flows and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financial position from the date of the acquisition through December 31, 2017, and believes that the internal controls and procedures of this acquisition have a material effect on internal control over financial reporting. We are currently in the process of incorporating the internal controls and procedures of eVestment into the internal control over financial reporting for our assessment of and report on internal control over financial reporting for December 31, 2018. However, in accordance with SEC guidance, management has elected to exclude eVestment from its December 31, 2017 assessment of and report on internal control over financial reporting. We are currently in the process of incorporating the internal controls and procedures of eVestment into the internal control over financial reporting for our assessment of and report on internal control over financial reporting for December 31, 2018. There have been no other changes in Nasdaq’s internal control over financial reporting (as defined in Rule 13a-15(f) and Rule 15d-15(f) under the Exchange Act) that occurred during the quarter ended December 31, 2017 that have materially affected, or are reasonably likely to materially affect, Nasdaq’s internal control over financial reporting.</w:t>
      </w:r>
    </w:p>
    <w:p>
      <w:pPr>
        <w:spacing w:after="0" w:line="59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45"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also responsible for establishing and maintaining adequate internal control over Nasdaq’s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2017,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2017, our internal control over financial reporting is effective.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in accordance with SEC guidance, the internal controls of eVestment, Inc. and its subsidiaries which are included in the 2017 consolidated financial statements and in 2017 reflect total assets constituting 6% of consolidated total assets, which includes 9% of goodwill and intangible assets, net and 0.3% of the total revenues less transaction-based expenses, of consolidated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Nasdaq’s internal control over financial reporting,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45"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Nasdaq,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Nasdaq, Inc.’s internal control over financial reporting as of December 31, 2017, based on criteria established in Internal Control-Integrated Framework issued by the Committee of Sponsoring Organizations of the Treadway Commission (2013 framework) (the COSO criteria). In our opinion, Nasdaq, Inc. (the Company) maintained, in all material respects, effective internal control over financial reporting as of December 31, 2017, based on the COSO criteria.</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the conclusion on the effectiveness of internal control over financial reporting did not include the internal controls of eVestment Inc. and its subsidiaries which is included in the 2017 consolidated financial statements of the Company and constituted 6% of consolidated total assets as of December 31, 2017, which include 9% of goodwill and intangible assets, net and 0.3% of the total revenues less transaction-based expenses for the year then ended. Our audit of internal control over financial reporting of the Company also did not include an evaluation of eVestment Inc. and its subsidiaries.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and the related consolidated statements of income, comprehensive income (loss), changes in equity and cash flows for each of the three years in the period ended December 31, 2017, and the related notes and our report dated February 28,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45"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Information about Nasdaq’s directors, as required by Item 401 of Regulation S-K, is incorporated by reference from the discussion under the caption “Board of Directors—Proposal I: Election of Directors” in Nasdaq’s Proxy Statement. Information about Nasdaq’s executive officers, as required by Item 401 of Regulation S-K, is incorporated by reference from the discussion under the caption “Other Items—Executive Officers” in the Proxy Statement. Information about Section 16 reports, as required by Item 405 of Regulation S-K, is incorporated by reference from the discussion under the caption “Section 16(a) Beneficial Ownership Reporting Compliance” in the Proxy Statement. Information about Nasdaq’s code of ethics, as required by Item 406 of Regulation S-K, is incorporated by reference from the discussion under the caption “Other Items—Corporate Governance” in the Proxy Statement. Information about Nasdaq’s nomination procedures, audit committee and audit committee financial experts, as required by Items 407(c)</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(3), 407(d)(4) and 407(d)(5) of Regulation S-K, is incorporated by reference from the discussions under the headings “Board of Directors—Proposal I: Election of Directors” and “Board of Directors—Board Committees” in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Information about Nasdaq’s director and executive compensation, as required by Items 402, 407(e)(4) and 407(e)(5) of Regulation S-K, is incorporated by reference from the discussions under the headings “Board of Directors— Director Compensation” and “Named Executive Officer Compensation” in the Proxy Statement.</w:t>
      </w:r>
    </w:p>
    <w:p>
      <w:pPr>
        <w:spacing w:after="0" w:line="15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Information about security ownership of certain beneficial owners and management, as required by Item 403 of Regulation S-K, is incorporated by reference from the discussion under the heading “Other Items—Security Ownership of Certain Beneficial Owners and Management” in the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Nasdaq’s Equity Plan provides for the issuance of our equity securities to our officers and other employees, directors and consultants. In addition, most employees of Nasdaq and its subsidiaries are eligible to participate in the ESPP, at 85.0% of the fair market value of our common stock on the price calculation date. The Equity Plan and the ESPP have been approved previously by our stockholders. The following table sets forth information regarding outstanding options and shares reserved for future issuance under all of Nasdaq’s compensation plans as of December 31, 2017.</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outstanding options,</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(excluding shares</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2"/>
                <w:szCs w:val="2"/>
                <w:color w:val="auto"/>
              </w:rPr>
            </w:pPr>
          </w:p>
        </w:tc>
        <w:tc>
          <w:tcPr>
            <w:tcW w:w="2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6"/>
              </w:rPr>
              <w:t>warrants and rights(b)</w:t>
            </w:r>
          </w:p>
        </w:tc>
        <w:tc>
          <w:tcPr>
            <w:tcW w:w="120" w:type="dxa"/>
            <w:vAlign w:val="bottom"/>
            <w:vMerge w:val="restart"/>
          </w:tcPr>
          <w:p>
            <w:pPr>
              <w:spacing w:after="0"/>
              <w:rPr>
                <w:sz w:val="2"/>
                <w:szCs w:val="2"/>
                <w:color w:val="auto"/>
              </w:rPr>
            </w:pPr>
          </w:p>
        </w:tc>
        <w:tc>
          <w:tcPr>
            <w:tcW w:w="204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reflected in column(a))(c)</w:t>
            </w: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rights(a)</w:t>
            </w:r>
            <w:r>
              <w:rPr>
                <w:rFonts w:ascii="Arial" w:cs="Arial" w:eastAsia="Arial" w:hAnsi="Arial"/>
                <w:sz w:val="12"/>
                <w:szCs w:val="12"/>
                <w:color w:val="auto"/>
                <w:w w:val="95"/>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571,380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7,891,426</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20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571,380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7,891,426</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3"/>
                <w:szCs w:val="13"/>
                <w:color w:val="auto"/>
              </w:rPr>
              <w:t>____________</w:t>
            </w:r>
          </w:p>
        </w:tc>
        <w:tc>
          <w:tcPr>
            <w:tcW w:w="120" w:type="dxa"/>
            <w:vAlign w:val="bottom"/>
            <w:vMerge w:val="restart"/>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hanging="332"/>
        <w:spacing w:after="0" w:line="216"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The amounts in this column include only the number of shares to be issued upon exercise of outstanding options, warrants and rights. As of December 31, 2017, we also had 3,331,462 shares to be issued upon vesting of outstanding restricted stock and PSUs.</w:t>
      </w:r>
    </w:p>
    <w:p>
      <w:pPr>
        <w:spacing w:after="0" w:line="95"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This amount includes 5,801,663 shares of common stock that may be awarded pursuant to the Equity Plan and 2,089,763 shares of common stock that may be issued pursuant to the ESPP.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about certain relationships and related transactions, as required by Item 404 of Regulation S-K, is incorporated herein by reference from the discussion under the heading “Other Items—Certain Relationships and Related Transactions” in the Proxy Statement. Information about director independence, as required by Item 407(a) of Regulation S-K, is incorporated herein by reference from the discussion under the heading “Board of Directors— Proposal I: Election of Directors” in the Proxy Statement.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45"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about principal accountant fees and services, as required by Item 9(e) of Schedule 14A, is incorporated herein by reference from the discussion under the heading “Audit Committee Matters—Annual Evaluation and 2018 Selection of Independent Auditors” in the Proxy Statement.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All schedules are omitted because they are not applicable or the required information is included in the consolidated financial statements or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45"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126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Exhibit Number</w:t>
            </w:r>
          </w:p>
        </w:tc>
        <w:tc>
          <w:tcPr>
            <w:tcW w:w="10160" w:type="dxa"/>
            <w:vAlign w:val="bottom"/>
          </w:tcPr>
          <w:p>
            <w:pPr>
              <w:spacing w:after="0"/>
              <w:rPr>
                <w:sz w:val="24"/>
                <w:szCs w:val="24"/>
                <w:color w:val="auto"/>
              </w:rPr>
            </w:pPr>
          </w:p>
        </w:tc>
      </w:tr>
      <w:tr>
        <w:trPr>
          <w:trHeight w:val="29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Purchase Agreement, dated as of April 1, 2013, among Nasdaq, Inc. (f/k/a The NASDAQ OMX Group, Inc.), BGC Partners, Inc., BGC</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Holdings, L.P., BGC Partners, L.P., and, solely for purposes of certain sections thereof, Cantor Fitzgerald, L.P. (incorporated herein by</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27">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reference to Exhibit 2.1 to the Quarterly Report on Form 10-Q for the quarter ended June 30, 2013 filed on August 8, 2013).</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Stock Purchase Agreement, dated as of March 9, 2016, by and among Deutsche Börse AG and Eurex Frankfurt AG and Nasdaq, Inc.</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28">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(incorporated herein by reference to the Current Report on Form 8-K filed on March 15, 2016).</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Agreement and Plan of Merger, dated as of September 4, 2017, by and among eVestment, Inc., Nasdaq, Inc., Echo Holding Company and</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Insight Venture Partners, LLC (solely in its capacity as representative for eVestment’s securityholders) (incorporated herein by reference</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29">
              <w:r>
                <w:rPr>
                  <w:rFonts w:ascii="Arial" w:cs="Arial" w:eastAsia="Arial" w:hAnsi="Arial"/>
                  <w:sz w:val="18"/>
                  <w:szCs w:val="18"/>
                  <w:color w:val="0000FF"/>
                  <w:w w:val="87"/>
                </w:rPr>
                <w:t>2.</w:t>
              </w:r>
              <w:r>
                <w:rPr>
                  <w:rFonts w:ascii="Arial" w:cs="Arial" w:eastAsia="Arial" w:hAnsi="Arial"/>
                  <w:sz w:val="18"/>
                  <w:szCs w:val="18"/>
                  <w:u w:val="single" w:color="auto"/>
                  <w:color w:val="0000FF"/>
                  <w:w w:val="87"/>
                </w:rPr>
                <w:t>3</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to Exhibit 2.1 to the Current Report on Form 8-K filed on September 8, 2017).†</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Amended and Restated Certificate of Incorporation of Nasdaq (incorporated herein by reference to Exhibit 3.1 to the Current Report on</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3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Form 8-K filed on January 28, 2014).</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Certificate of Elimination of Nasdaq’s Series A Convertible Preferred Stock (incorporated herein by reference to Exhibit 3.1.1 to the</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3.</w:t>
              </w:r>
              <w:r>
                <w:rPr>
                  <w:rFonts w:ascii="Arial" w:cs="Arial" w:eastAsia="Arial" w:hAnsi="Arial"/>
                  <w:sz w:val="18"/>
                  <w:szCs w:val="18"/>
                  <w:u w:val="single" w:color="auto"/>
                  <w:color w:val="0000FF"/>
                  <w:w w:val="89"/>
                </w:rPr>
                <w:t>1.1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Current Report on Form 8-K filed on January 28, 2014).</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Certificate of Amendment of Nasdaq’s Amended and Restated Certificate of Incorporation (incorporated herein by reference to Exhibit</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3.</w:t>
              </w:r>
              <w:r>
                <w:rPr>
                  <w:rFonts w:ascii="Arial" w:cs="Arial" w:eastAsia="Arial" w:hAnsi="Arial"/>
                  <w:sz w:val="18"/>
                  <w:szCs w:val="18"/>
                  <w:u w:val="single" w:color="auto"/>
                  <w:color w:val="0000FF"/>
                  <w:w w:val="89"/>
                </w:rPr>
                <w:t>1.2</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3.1 to the Current Report on Form 8-K filed on November 19, 2014).</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Certificate of Amendment of Nasdaq’s Amended and Restated Certificate of Incorporation (incorporated herein by reference to Exhibit</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32">
              <w:r>
                <w:rPr>
                  <w:rFonts w:ascii="Arial" w:cs="Arial" w:eastAsia="Arial" w:hAnsi="Arial"/>
                  <w:sz w:val="18"/>
                  <w:szCs w:val="18"/>
                  <w:color w:val="0000FF"/>
                  <w:w w:val="89"/>
                </w:rPr>
                <w:t>3.</w:t>
              </w:r>
              <w:r>
                <w:rPr>
                  <w:rFonts w:ascii="Arial" w:cs="Arial" w:eastAsia="Arial" w:hAnsi="Arial"/>
                  <w:sz w:val="18"/>
                  <w:szCs w:val="18"/>
                  <w:u w:val="single" w:color="auto"/>
                  <w:color w:val="0000FF"/>
                  <w:w w:val="89"/>
                </w:rPr>
                <w:t>1.3</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3.1 to the Current Report on Form 8-K filed on September 8, 2015).</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50"/>
        </w:trPr>
        <w:tc>
          <w:tcPr>
            <w:tcW w:w="820" w:type="dxa"/>
            <w:vAlign w:val="bottom"/>
            <w:gridSpan w:val="4"/>
            <w:shd w:val="clear" w:color="auto" w:fill="CCEEFF"/>
          </w:tcPr>
          <w:p>
            <w:pPr>
              <w:jc w:val="center"/>
              <w:ind w:left="352"/>
              <w:spacing w:after="0" w:line="202" w:lineRule="exact"/>
              <w:rPr>
                <w:rFonts w:ascii="Arial" w:cs="Arial" w:eastAsia="Arial" w:hAnsi="Arial"/>
                <w:sz w:val="18"/>
                <w:szCs w:val="18"/>
                <w:color w:val="0000FF"/>
                <w:w w:val="87"/>
              </w:rPr>
            </w:pPr>
            <w:hyperlink r:id="rId3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40" w:type="dxa"/>
            <w:vAlign w:val="bottom"/>
            <w:shd w:val="clear" w:color="auto" w:fill="CCEEFF"/>
          </w:tcPr>
          <w:p>
            <w:pPr>
              <w:spacing w:after="0"/>
              <w:rPr>
                <w:sz w:val="21"/>
                <w:szCs w:val="21"/>
                <w:color w:val="auto"/>
              </w:rPr>
            </w:pPr>
          </w:p>
        </w:tc>
        <w:tc>
          <w:tcPr>
            <w:tcW w:w="101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5"/>
              </w:rPr>
              <w:t>Nasdaq’s By-Laws (incorporated herein by reference to Exhibit 3.2 to the Current Report on Form 8-K filed on November 21, 2016).</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Form of Common Stock certificate (incorporated herein by reference to Exhibit 4.1 to the Quarterly Report on Form 10-Q for the quarter</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ended September 30, 2015 filed on November 4, 2015).</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Stockholders’ Agreement, dated as of February 27, 2008, between Nasdaq, Inc. (f/k/a The NASDAQ OMX Group, Inc.) and Borse Dubai</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Limited (incorporated herein by reference to Exhibit 10.2 to the Current Report on Form 8-K filed on March 3, 2008).</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First Amendment to Stockholders’ Agreement, dated as of February 19, 2009, between Nasdaq, Inc. (f/k/a The NASDAQ OMX Group,</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Inc.) and Borse Dubai Limited (incorporated herein by reference to Exhibit 4.10.1 to the Annual Report on Form 10-K for the year ended</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4.</w:t>
              </w:r>
              <w:r>
                <w:rPr>
                  <w:rFonts w:ascii="Arial" w:cs="Arial" w:eastAsia="Arial" w:hAnsi="Arial"/>
                  <w:sz w:val="18"/>
                  <w:szCs w:val="18"/>
                  <w:u w:val="single" w:color="auto"/>
                  <w:color w:val="0000FF"/>
                  <w:w w:val="89"/>
                </w:rPr>
                <w:t>2.1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December 31, 2008 filed on February 27, 2009).</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Registration Rights Agreement, dated as of February 27, 2008, among Nasdaq, Inc. (f/k/a The NASDAQ OMX Group, Inc.), Borse Dubai</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Limited and Borse Dubai Nasdaq Share Trust (incorporated herein by reference to Exhibit 10.3 to the Current Report on Form 8-K filed</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on March 3, 2008).</w:t>
            </w:r>
          </w:p>
        </w:tc>
      </w:tr>
      <w:tr>
        <w:trPr>
          <w:trHeight w:val="324"/>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spacing w:after="0"/>
              <w:rPr>
                <w:sz w:val="24"/>
                <w:szCs w:val="24"/>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First Amendment to Registration Rights Agreement, dated as of February 19, 2009, among Nasdaq, Inc. (f/k/a The NASDAQ OMX</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Group, Inc.), Borse Dubai Limited and Borse Dubai Nasdaq Share Trust (incorporated herein by reference to Exhibit 4.11.1 to the Annual</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Report on Form 10-K for the year ended December 31, 2008 filed on February 27, 2009).</w:t>
            </w:r>
          </w:p>
        </w:tc>
      </w:tr>
      <w:tr>
        <w:trPr>
          <w:trHeight w:val="783"/>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160" w:type="dxa"/>
            <w:vAlign w:val="bottom"/>
            <w:tcBorders>
              <w:top w:val="single" w:sz="8" w:color="CCEEFF"/>
            </w:tcBorders>
          </w:tcPr>
          <w:p>
            <w:pPr>
              <w:ind w:left="436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20"/>
          </w:cols>
          <w:pgMar w:left="240" w:top="445"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Indenture, dated as of January 15, 2010, between Nasdaq (f/k/a The NASDAQ OMX Group, Inc.) and Wells Fargo Bank, National</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3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w w:val="93"/>
              </w:rPr>
              <w:t>Association, as Trustee (incorporated herein by reference to Exhibit 4.1 to the Current Report on Form 8-K filed on January 19, 2010).</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First Supplemental Indenture, dated as of January 15, 2010, among Nasdaq (f/k/a The NASDAQ OMX Group, Inc.) and Wells Fargo</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Bank, National Association, as Trustee (incorporated herein by reference to Exhibit 4.2 to the Current Report on Form 8-K filed on</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3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January 19, 2010).</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Second Supplemental Indenture, dated as of December 21, 2010, among Nasdaq (f/k/a The NASDAQ OMX Group, Inc.) and Wells Fargo</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Bank, National Association, as Trustee (incorporated herein by reference to Exhibit 4.1 to the Current Report on Form 8-K filed on</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4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December 21, 2010).</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Stockholders’ Agreement, dated as of December 16, 2010, between Nasdaq, Inc. (f/k/a The NASDAQ OMX Group, Inc.) and Investor</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AB (incorporated herein by reference to Exhibit 4.12 to the Annual Report on Form 10-K for the year ended December 31, 2010 filed on</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4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February 24, 2011).</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Indenture, dated as of June 7, 2013, between Nasdaq, Inc. (f/k/a The NASDAQ OMX Group, Inc.) and Wells Fargo Bank, National</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4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w w:val="96"/>
              </w:rPr>
              <w:t>Association, as Trustee (incorporated herein by reference to Exhibit 4.1 to the Current Report on Form 8-K filed on June 10, 2013).</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First Supplemental Indenture, dated as of June 7, 2013, among Nasdaq, Inc. (f/k/a The NASDAQ OMX Group, Inc.), Wells Fargo Bank,</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National Association, as Trustee, Deutsche Bank AG, London Branch, as paying agent, and Deutsche Bank Luxembourg S.A., as registrar</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4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w w:val="99"/>
              </w:rPr>
              <w:t>and transfer agent (incorporated herein by reference to Exhibit 4.2 to the Current Report on Form 8-K filed on June 10, 2013).</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Second Supplemental Indenture, dated as of May 29, 2014, among Nasdaq, Inc. (f/k/a The NASDAQ OMX Group, Inc.) and Wells Fargo</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Bank, National Association, as Trustee (incorporated herein by reference to Exhibit 4.1 to the Current Report on Form 8-K filed on May</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10</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30, 2014).</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Third Supplemental Indenture, dated as of May 20, 2016, among Nasdaq, Inc., Wells Fargo Bank, National Association, as Trustee, and</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HSBC Bank USA, National Association, as paying agent and as registrar and transfer agent (incorporated herein by reference to the</w:t>
            </w:r>
          </w:p>
        </w:tc>
      </w:tr>
      <w:tr>
        <w:trPr>
          <w:trHeight w:val="237"/>
        </w:trPr>
        <w:tc>
          <w:tcPr>
            <w:tcW w:w="800" w:type="dxa"/>
            <w:vAlign w:val="bottom"/>
            <w:gridSpan w:val="4"/>
            <w:shd w:val="clear" w:color="auto" w:fill="CCEEFF"/>
          </w:tcPr>
          <w:p>
            <w:pPr>
              <w:jc w:val="center"/>
              <w:ind w:left="390"/>
              <w:spacing w:after="0" w:line="190"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11</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Current Report on Form 8-K filed on May 23, 2016).</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Fourth Supplemental Indenture, dated as of June 7, 2016, among Nasdaq, Inc. and Wells Fargo Bank, National Association, as Trustee</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12</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(incorporated herein by reference to the Current Report on Form 8-K filed on June 7, 2016).</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Fifth Supplemental Indenture, dated as of September 22, 2017, among Nasdaq, Inc. and Wells Fargo Bank, National Association, as</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13</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Trustee (incorporated herein by reference to Exhibit 4.1 to the Current Report on Form 8-K filed on September 22, 2017).</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Registration Rights Agreement, dated as of June 28, 2013, by and among Nasdaq, Inc. (f/k/a The NASDAQ OMX Group, Inc.), BGC</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Partners, Inc., BGC Holdings, L.P. and BGC Partners, L.P. (incorporated herein by reference to Exhibit 10.1 to the Current Report on</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14</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Form 8-K filed on July 1, 2013).</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Amended and Restated Board Compensation Policy, effective on May 10, 2017 (incorporated herein by reference to Exhibit 10.4 to the</w:t>
            </w:r>
          </w:p>
        </w:tc>
      </w:tr>
      <w:tr>
        <w:trPr>
          <w:trHeight w:val="264"/>
        </w:trPr>
        <w:tc>
          <w:tcPr>
            <w:tcW w:w="1100" w:type="dxa"/>
            <w:vAlign w:val="bottom"/>
            <w:gridSpan w:val="5"/>
            <w:shd w:val="clear" w:color="auto" w:fill="CCEEFF"/>
          </w:tcPr>
          <w:p>
            <w:pPr>
              <w:jc w:val="center"/>
              <w:ind w:left="90"/>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Quarterly Report on Form 10-Q for the quarter ended June 30, 2017 filed on August 2, 2017).*</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Nasdaq Executive Corporate Incentive Plan, effective as of January 1, 2015 (incorporated herein by reference to Exhibit 10.1 to the</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Current Report on Form 8-K filed on May 11, 2015).*</w:t>
            </w:r>
          </w:p>
        </w:tc>
      </w:tr>
      <w:tr>
        <w:trPr>
          <w:trHeight w:val="324"/>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spacing w:after="0"/>
              <w:rPr>
                <w:sz w:val="24"/>
                <w:szCs w:val="24"/>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Form of Nasdaq Non-Qualified Stock Option Award Certificate (incorporated herein by reference to Exhibit 10.3 to the Annual Report on</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Form 10-K for the year ended December 31, 2010 filed on February 24, 2011).*</w:t>
            </w:r>
          </w:p>
        </w:tc>
      </w:tr>
      <w:tr>
        <w:trPr>
          <w:trHeight w:val="783"/>
        </w:trPr>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ind w:left="452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445"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Form of Nasdaq Restricted Stock Unit Award Certificate (employees) (incorporated herein by reference to Exhibit 10.5 to the Quarterly</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Report on Form 10-Q for the quarter ended June 30, 2017 filed on August 2, 2017).*</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Form of Nasdaq Restricted Stock Unit Award Certificate (directors) (incorporated herein by reference to Exhibit 10.6 to the Quarterly</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Report on Form 10-Q for the quarter ended June 30, 2017 filed on August 2, 2017).*</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6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Form of Nasdaq One-Year Performance Share Unit Agreement (incorporated herein by reference to Exhibit 10.7 to the Quarterly Report</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on Form 10-Q for the quarter ended June 30, 2017 filed on August 2, 2017).*</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Form of Nasdaq Three-Year Performance Share Unit Agreement (incorporated herein by reference to Exhibit 10.8 to the Quarterly Report</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on Form 10-Q for the quarter ended June 30, 2017 filed on August 2, 2017).*</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Form of Nasdaq Continuing Obligations Agreement (incorporated herein by reference to Exhibit 10.1 to the Quarterly Report on Form</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10-Q for the quarter ended March 31, 2017 filed on May 10, 2017).*</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6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Amended and Restated Supplemental Executive Retirement Plan, dated as of December 17, 2008 (incorporated herein by reference to</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Exhibit 10.6 to the Annual Report on Form 10-K for the year ended December 31, 2008 filed on February 27, 2009).*</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Amendment No. 1 to Amended and Restated Supplemental Executive Retirement Plan, effective as of December 31, 2008 (incorporated</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herein by reference to Exhibit 10.6.1 to the Annual Report on Form 10-K for the year ended December 31, 2008 filed on February 27,</w:t>
            </w:r>
          </w:p>
        </w:tc>
      </w:tr>
      <w:tr>
        <w:trPr>
          <w:trHeight w:val="237"/>
        </w:trPr>
        <w:tc>
          <w:tcPr>
            <w:tcW w:w="900" w:type="dxa"/>
            <w:vAlign w:val="bottom"/>
            <w:gridSpan w:val="8"/>
            <w:shd w:val="clear" w:color="auto" w:fill="CCEEFF"/>
          </w:tcPr>
          <w:p>
            <w:pPr>
              <w:jc w:val="center"/>
              <w:ind w:left="290"/>
              <w:spacing w:after="0" w:line="190" w:lineRule="exact"/>
              <w:rPr>
                <w:rFonts w:ascii="Arial" w:cs="Arial" w:eastAsia="Arial" w:hAnsi="Arial"/>
                <w:sz w:val="18"/>
                <w:szCs w:val="18"/>
                <w:color w:val="0000FF"/>
                <w:w w:val="87"/>
              </w:rPr>
            </w:pPr>
            <w:hyperlink r:id="rId58">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9.1</w:t>
              </w:r>
            </w:hyperlink>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2009).*</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Nasdaq Supplemental Employer Retirement Contribution Plan, dated as of December 17, 2008 (incorporated herein by reference to</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88"/>
              </w:rPr>
            </w:pPr>
            <w:hyperlink r:id="rId5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Exhibit 10.7 to the Annual Report on Form 10-K for the year ended December 31, 2008 filed on February 27, 2009).*</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Employment Agreement between Nasdaq and Adena Friedman, made and entered into on November 14, 2016 and effective as of January</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1, 2017 (incorporated herein by reference to Exhibit 10.10.1 to the Annual Report on Form 10-K for the year ended December 31, 2012</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filed on February 21, 2013).*</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Nonqualified Stock Option Award Certificate to Adena T. Friedman from Nasdaq, Inc. in connection with grant made on January 3, 2017</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(incorporated herein by reference to Exhibit 10.1 to the Quarterly Report on Form 10-Q for the quarter ended September 30, 2017 filed on</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November 7, 2017).*</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Employment Offer Letter, dated as of May 10, 2016, between Nasdaq, Inc. and Michael Ptasznik (incorporated herein by reference</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to Exhibit 10.2 to the Quarterly Report on Form 10-Q for the quarter ended March 31, 2017 filed on May 10, 2017).*</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Employment Agreement between Nasdaq and Edward Knight, effective as of December 29, 2000 (incorporated herein by reference to</w:t>
            </w:r>
          </w:p>
        </w:tc>
      </w:tr>
      <w:tr>
        <w:trPr>
          <w:trHeight w:val="237"/>
        </w:trPr>
        <w:tc>
          <w:tcPr>
            <w:tcW w:w="840" w:type="dxa"/>
            <w:vAlign w:val="bottom"/>
            <w:gridSpan w:val="6"/>
            <w:shd w:val="clear" w:color="auto" w:fill="CCEEFF"/>
          </w:tcPr>
          <w:p>
            <w:pPr>
              <w:jc w:val="center"/>
              <w:ind w:left="350"/>
              <w:spacing w:after="0" w:line="190" w:lineRule="exact"/>
              <w:rPr>
                <w:rFonts w:ascii="Arial" w:cs="Arial" w:eastAsia="Arial" w:hAnsi="Arial"/>
                <w:sz w:val="18"/>
                <w:szCs w:val="18"/>
                <w:color w:val="0000FF"/>
                <w:w w:val="88"/>
              </w:rPr>
            </w:pPr>
            <w:hyperlink r:id="rId6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Exhibit 10.14 to the Annual Report on Form 10-K for the year ended December 31, 2002 filed on March 31, 2003).*</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56"/>
        </w:trPr>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First Amendment to Employment Agreement between Nasdaq and Edward Knight, effective February 1, 2002 (incorporated herein by</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reference to Exhibit 10.14.1 to the Annual Report on Form 10-K for the year ended</w:t>
            </w:r>
          </w:p>
        </w:tc>
      </w:tr>
      <w:tr>
        <w:trPr>
          <w:trHeight w:val="264"/>
        </w:trPr>
        <w:tc>
          <w:tcPr>
            <w:tcW w:w="1160" w:type="dxa"/>
            <w:vAlign w:val="bottom"/>
            <w:gridSpan w:val="9"/>
            <w:shd w:val="clear" w:color="auto" w:fill="CCEEFF"/>
          </w:tcPr>
          <w:p>
            <w:pPr>
              <w:jc w:val="center"/>
              <w:ind w:left="10"/>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14.1</w:t>
              </w:r>
            </w:hyperlink>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December 31, 2002 filed on March 31, 2003).*</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Second Amendment to Employment Agreement between Nasdaq and Edward Knight, effective as of December 31, 2008 (incorporated</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herein by reference to Exhibit 10.13.2 to the Annual Report on Form 10-K for the year ended December 31, 2008 filed on February 27,</w:t>
            </w:r>
          </w:p>
        </w:tc>
      </w:tr>
      <w:tr>
        <w:trPr>
          <w:trHeight w:val="237"/>
        </w:trPr>
        <w:tc>
          <w:tcPr>
            <w:tcW w:w="1160" w:type="dxa"/>
            <w:vAlign w:val="bottom"/>
            <w:gridSpan w:val="9"/>
            <w:shd w:val="clear" w:color="auto" w:fill="CCEEFF"/>
          </w:tcPr>
          <w:p>
            <w:pPr>
              <w:jc w:val="center"/>
              <w:ind w:left="10"/>
              <w:spacing w:after="0" w:line="190"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14.2</w:t>
              </w:r>
            </w:hyperlink>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2009).*</w:t>
            </w:r>
          </w:p>
        </w:tc>
      </w:tr>
      <w:tr>
        <w:trPr>
          <w:trHeight w:val="324"/>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Third Amendment to Employment Agreement between Nasdaq and Edward Knight, effective as of February 22, 2012 (incorporated</w:t>
            </w:r>
          </w:p>
        </w:tc>
      </w:tr>
      <w:tr>
        <w:trPr>
          <w:trHeight w:val="237"/>
        </w:trPr>
        <w:tc>
          <w:tcPr>
            <w:tcW w:w="1160" w:type="dxa"/>
            <w:vAlign w:val="bottom"/>
            <w:gridSpan w:val="9"/>
            <w:shd w:val="clear" w:color="auto" w:fill="CCEEFF"/>
          </w:tcPr>
          <w:p>
            <w:pPr>
              <w:jc w:val="center"/>
              <w:ind w:left="10"/>
              <w:spacing w:after="0" w:line="190"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14.3</w:t>
              </w:r>
            </w:hyperlink>
          </w:p>
        </w:tc>
        <w:tc>
          <w:tcPr>
            <w:tcW w:w="10260" w:type="dxa"/>
            <w:vAlign w:val="bottom"/>
            <w:shd w:val="clear" w:color="auto" w:fill="CCEEFF"/>
          </w:tcPr>
          <w:p>
            <w:pPr>
              <w:ind w:left="260"/>
              <w:spacing w:after="0" w:line="190" w:lineRule="exact"/>
              <w:rPr>
                <w:sz w:val="20"/>
                <w:szCs w:val="20"/>
                <w:color w:val="auto"/>
              </w:rPr>
            </w:pPr>
            <w:r>
              <w:rPr>
                <w:rFonts w:ascii="Arial" w:cs="Arial" w:eastAsia="Arial" w:hAnsi="Arial"/>
                <w:sz w:val="18"/>
                <w:szCs w:val="18"/>
                <w:color w:val="auto"/>
              </w:rPr>
              <w:t>herein by reference to Exhibit 10.2 to the Current Report on Form 8-K filed on February 28, 2012).*</w:t>
            </w:r>
          </w:p>
        </w:tc>
      </w:tr>
      <w:tr>
        <w:trPr>
          <w:trHeight w:val="783"/>
        </w:trPr>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60" w:type="dxa"/>
            <w:vAlign w:val="bottom"/>
            <w:tcBorders>
              <w:top w:val="single" w:sz="8" w:color="CCEEFF"/>
            </w:tcBorders>
          </w:tcPr>
          <w:p>
            <w:pPr>
              <w:ind w:left="446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20"/>
          </w:cols>
          <w:pgMar w:left="240" w:top="445"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Fourth Amendment to Employment Agreement between Nasdaq and Edward Knight, entered into and effective as of October 24, 2016</w:t>
            </w:r>
          </w:p>
        </w:tc>
      </w:tr>
      <w:tr>
        <w:trPr>
          <w:trHeight w:val="216"/>
        </w:trPr>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(incorporated herein by reference to Exhibit 10.14.4 to the Annual Report on Form 10-K for the year ended December 31, 2016 filed on</w:t>
            </w:r>
          </w:p>
        </w:tc>
      </w:tr>
      <w:tr>
        <w:trPr>
          <w:trHeight w:val="237"/>
        </w:trPr>
        <w:tc>
          <w:tcPr>
            <w:tcW w:w="1200" w:type="dxa"/>
            <w:vAlign w:val="bottom"/>
            <w:gridSpan w:val="9"/>
            <w:shd w:val="clear" w:color="auto" w:fill="CCEEFF"/>
          </w:tcPr>
          <w:p>
            <w:pPr>
              <w:jc w:val="center"/>
              <w:spacing w:after="0" w:line="190"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14.4</w:t>
              </w:r>
            </w:hyperlink>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March 1, 2017).*</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Employment Agreement between Nasdaq and Bradley J. Peterson, dated August 1, 2016 (incorporated herein by reference to Exhibit 10.1</w:t>
            </w:r>
          </w:p>
        </w:tc>
      </w:tr>
      <w:tr>
        <w:trPr>
          <w:trHeight w:val="237"/>
        </w:trPr>
        <w:tc>
          <w:tcPr>
            <w:tcW w:w="840" w:type="dxa"/>
            <w:vAlign w:val="bottom"/>
            <w:gridSpan w:val="7"/>
            <w:shd w:val="clear" w:color="auto" w:fill="CCEEFF"/>
          </w:tcPr>
          <w:p>
            <w:pPr>
              <w:jc w:val="center"/>
              <w:ind w:left="350"/>
              <w:spacing w:after="0" w:line="190" w:lineRule="exact"/>
              <w:rPr>
                <w:rFonts w:ascii="Arial" w:cs="Arial" w:eastAsia="Arial" w:hAnsi="Arial"/>
                <w:sz w:val="18"/>
                <w:szCs w:val="18"/>
                <w:color w:val="0000FF"/>
                <w:w w:val="88"/>
              </w:rPr>
            </w:pPr>
            <w:hyperlink r:id="rId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to the Quarterly Report on Form 10-Q for the quarter ended September 30, 2016 filed on November 8, 2016).*</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Nasdaq Change in Control Severance Plan for Executive Vice Presidents and Senior Vice Presidents, effective November 26, 2013</w:t>
            </w:r>
          </w:p>
        </w:tc>
      </w:tr>
      <w:tr>
        <w:trPr>
          <w:trHeight w:val="237"/>
        </w:trPr>
        <w:tc>
          <w:tcPr>
            <w:tcW w:w="840" w:type="dxa"/>
            <w:vAlign w:val="bottom"/>
            <w:gridSpan w:val="7"/>
            <w:shd w:val="clear" w:color="auto" w:fill="CCEEFF"/>
          </w:tcPr>
          <w:p>
            <w:pPr>
              <w:jc w:val="center"/>
              <w:ind w:left="350"/>
              <w:spacing w:after="0" w:line="190"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(incorporated herein by reference to Exhibit 10.1 to the Current Report on Form 8-K filed on November 29, 2013).*</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Credit Agreement, dated as of April 25, 2017, among Nasdaq, Inc., the various lenders from time to time party thereto, Bank of America,</w:t>
            </w:r>
          </w:p>
        </w:tc>
      </w:tr>
      <w:tr>
        <w:trPr>
          <w:trHeight w:val="216"/>
        </w:trPr>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N.A., as administrative agent and an issuing bank, and the other financial institutions party thereto (incorporated herein by reference to</w:t>
            </w:r>
          </w:p>
        </w:tc>
      </w:tr>
      <w:tr>
        <w:trPr>
          <w:trHeight w:val="237"/>
        </w:trPr>
        <w:tc>
          <w:tcPr>
            <w:tcW w:w="840" w:type="dxa"/>
            <w:vAlign w:val="bottom"/>
            <w:gridSpan w:val="7"/>
            <w:shd w:val="clear" w:color="auto" w:fill="CCEEFF"/>
          </w:tcPr>
          <w:p>
            <w:pPr>
              <w:jc w:val="center"/>
              <w:ind w:left="350"/>
              <w:spacing w:after="0" w:line="190" w:lineRule="exact"/>
              <w:rPr>
                <w:rFonts w:ascii="Arial" w:cs="Arial" w:eastAsia="Arial" w:hAnsi="Arial"/>
                <w:sz w:val="18"/>
                <w:szCs w:val="18"/>
                <w:color w:val="0000FF"/>
                <w:w w:val="88"/>
              </w:rPr>
            </w:pPr>
            <w:hyperlink r:id="rId7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Exhibit 10.1 to the Current Report on Form 8-K filed on April 26, 2017).</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Credit Agreement, dated March 17, 2016, among Nasdaq, Inc., the various lenders party thereto and Bank of America, N.A., as</w:t>
            </w:r>
          </w:p>
        </w:tc>
      </w:tr>
      <w:tr>
        <w:trPr>
          <w:trHeight w:val="237"/>
        </w:trPr>
        <w:tc>
          <w:tcPr>
            <w:tcW w:w="840" w:type="dxa"/>
            <w:vAlign w:val="bottom"/>
            <w:gridSpan w:val="7"/>
            <w:shd w:val="clear" w:color="auto" w:fill="CCEEFF"/>
          </w:tcPr>
          <w:p>
            <w:pPr>
              <w:jc w:val="center"/>
              <w:ind w:left="350"/>
              <w:spacing w:after="0" w:line="190"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Administrative Agent (incorporated herein by reference to the Current Report on Form 8-K filed on March 22, 2016).</w:t>
            </w:r>
          </w:p>
        </w:tc>
      </w:tr>
      <w:tr>
        <w:trPr>
          <w:trHeight w:val="270"/>
        </w:trPr>
        <w:tc>
          <w:tcPr>
            <w:tcW w:w="3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Amendment No. 1 to Credit Agreement, dated as of April 25, 2017, among Nasdaq, Inc., the lenders party thereto and Bank of America,</w:t>
            </w:r>
          </w:p>
        </w:tc>
      </w:tr>
      <w:tr>
        <w:trPr>
          <w:trHeight w:val="216"/>
        </w:trPr>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N.A., as administrative agent (incorporated herein by reference to Exhibit 10.2 to the Current Report on Form 8-K filed on April 26,</w:t>
            </w:r>
          </w:p>
        </w:tc>
      </w:tr>
      <w:tr>
        <w:trPr>
          <w:trHeight w:val="237"/>
        </w:trPr>
        <w:tc>
          <w:tcPr>
            <w:tcW w:w="1200" w:type="dxa"/>
            <w:vAlign w:val="bottom"/>
            <w:gridSpan w:val="9"/>
            <w:shd w:val="clear" w:color="auto" w:fill="CCEEFF"/>
          </w:tcPr>
          <w:p>
            <w:pPr>
              <w:jc w:val="center"/>
              <w:spacing w:after="0" w:line="190"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18.1</w:t>
              </w:r>
            </w:hyperlink>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2017).</w:t>
            </w:r>
          </w:p>
        </w:tc>
      </w:tr>
      <w:tr>
        <w:trPr>
          <w:trHeight w:val="297"/>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Form of Commercial Paper Dealer Agreement between Nasdaq, Inc., as Issuer, and the Dealer party thereto (incorporated herein by</w:t>
            </w:r>
          </w:p>
        </w:tc>
      </w:tr>
      <w:tr>
        <w:trPr>
          <w:trHeight w:val="237"/>
        </w:trPr>
        <w:tc>
          <w:tcPr>
            <w:tcW w:w="840" w:type="dxa"/>
            <w:vAlign w:val="bottom"/>
            <w:gridSpan w:val="7"/>
            <w:shd w:val="clear" w:color="auto" w:fill="CCEEFF"/>
          </w:tcPr>
          <w:p>
            <w:pPr>
              <w:jc w:val="center"/>
              <w:ind w:left="350"/>
              <w:spacing w:after="0" w:line="190" w:lineRule="exact"/>
              <w:rPr>
                <w:rFonts w:ascii="Arial" w:cs="Arial" w:eastAsia="Arial" w:hAnsi="Arial"/>
                <w:sz w:val="18"/>
                <w:szCs w:val="18"/>
                <w:color w:val="0000FF"/>
                <w:w w:val="88"/>
              </w:rPr>
            </w:pPr>
            <w:hyperlink r:id="rId7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reference to Exhibit 10.3 to the Current Report on Form 8-K filed on April 26, 2017).</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29"/>
        </w:trPr>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Statement regarding computation of per share earnings (incorporated herein by reference from Note 15 to the consolidated financial</w:t>
            </w:r>
          </w:p>
        </w:tc>
      </w:tr>
      <w:tr>
        <w:trPr>
          <w:trHeight w:val="237"/>
        </w:trPr>
        <w:tc>
          <w:tcPr>
            <w:tcW w:w="800" w:type="dxa"/>
            <w:vAlign w:val="bottom"/>
            <w:gridSpan w:val="6"/>
            <w:shd w:val="clear" w:color="auto" w:fill="CCEEFF"/>
          </w:tcPr>
          <w:p>
            <w:pPr>
              <w:jc w:val="center"/>
              <w:ind w:left="370"/>
              <w:spacing w:after="0" w:line="190"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11</w:t>
              </w:r>
            </w:hyperlink>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statements under Part II, Item 8 of this Form 10-K).</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50"/>
        </w:trPr>
        <w:tc>
          <w:tcPr>
            <w:tcW w:w="840" w:type="dxa"/>
            <w:vAlign w:val="bottom"/>
            <w:gridSpan w:val="7"/>
            <w:shd w:val="clear" w:color="auto" w:fill="CCEEFF"/>
          </w:tcPr>
          <w:p>
            <w:pPr>
              <w:jc w:val="center"/>
              <w:ind w:left="350"/>
              <w:spacing w:after="0" w:line="202" w:lineRule="exact"/>
              <w:rPr>
                <w:rFonts w:ascii="Arial" w:cs="Arial" w:eastAsia="Arial" w:hAnsi="Arial"/>
                <w:sz w:val="18"/>
                <w:szCs w:val="18"/>
                <w:color w:val="0000FF"/>
                <w:w w:val="91"/>
              </w:rPr>
            </w:pPr>
            <w:hyperlink w:anchor="page125">
              <w:r>
                <w:rPr>
                  <w:rFonts w:ascii="Arial" w:cs="Arial" w:eastAsia="Arial" w:hAnsi="Arial"/>
                  <w:sz w:val="18"/>
                  <w:szCs w:val="18"/>
                  <w:color w:val="0000FF"/>
                  <w:w w:val="91"/>
                </w:rPr>
                <w:t>12.</w:t>
              </w:r>
              <w:r>
                <w:rPr>
                  <w:rFonts w:ascii="Arial" w:cs="Arial" w:eastAsia="Arial" w:hAnsi="Arial"/>
                  <w:sz w:val="18"/>
                  <w:szCs w:val="18"/>
                  <w:u w:val="single" w:color="auto"/>
                  <w:color w:val="0000FF"/>
                  <w:w w:val="91"/>
                </w:rPr>
                <w:t>1</w:t>
              </w:r>
            </w:hyperlink>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50"/>
        </w:trPr>
        <w:tc>
          <w:tcPr>
            <w:tcW w:w="840" w:type="dxa"/>
            <w:vAlign w:val="bottom"/>
            <w:gridSpan w:val="7"/>
            <w:shd w:val="clear" w:color="auto" w:fill="CCEEFF"/>
          </w:tcPr>
          <w:p>
            <w:pPr>
              <w:jc w:val="center"/>
              <w:ind w:left="350"/>
              <w:spacing w:after="0" w:line="202" w:lineRule="exact"/>
              <w:rPr>
                <w:rFonts w:ascii="Arial" w:cs="Arial" w:eastAsia="Arial" w:hAnsi="Arial"/>
                <w:sz w:val="18"/>
                <w:szCs w:val="18"/>
                <w:color w:val="0000FF"/>
                <w:w w:val="91"/>
              </w:rPr>
            </w:pPr>
            <w:hyperlink w:anchor="page126">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List of all subsidiaries.</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50"/>
        </w:trPr>
        <w:tc>
          <w:tcPr>
            <w:tcW w:w="840" w:type="dxa"/>
            <w:vAlign w:val="bottom"/>
            <w:gridSpan w:val="7"/>
            <w:shd w:val="clear" w:color="auto" w:fill="CCEEFF"/>
          </w:tcPr>
          <w:p>
            <w:pPr>
              <w:jc w:val="center"/>
              <w:ind w:left="350"/>
              <w:spacing w:after="0" w:line="202" w:lineRule="exact"/>
              <w:rPr>
                <w:rFonts w:ascii="Arial" w:cs="Arial" w:eastAsia="Arial" w:hAnsi="Arial"/>
                <w:sz w:val="18"/>
                <w:szCs w:val="18"/>
                <w:color w:val="0000FF"/>
                <w:w w:val="91"/>
              </w:rPr>
            </w:pPr>
            <w:hyperlink w:anchor="page130">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Consent of Ernst &amp; Young LLP.</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50"/>
        </w:trPr>
        <w:tc>
          <w:tcPr>
            <w:tcW w:w="840" w:type="dxa"/>
            <w:vAlign w:val="bottom"/>
            <w:gridSpan w:val="7"/>
            <w:shd w:val="clear" w:color="auto" w:fill="CCEEFF"/>
          </w:tcPr>
          <w:p>
            <w:pPr>
              <w:jc w:val="center"/>
              <w:ind w:left="350"/>
              <w:spacing w:after="0" w:line="202" w:lineRule="exact"/>
              <w:rPr>
                <w:rFonts w:ascii="Arial" w:cs="Arial" w:eastAsia="Arial" w:hAnsi="Arial"/>
                <w:sz w:val="18"/>
                <w:szCs w:val="18"/>
                <w:color w:val="0000FF"/>
                <w:w w:val="91"/>
              </w:rPr>
            </w:pPr>
            <w:hyperlink w:anchor="page131">
              <w:r>
                <w:rPr>
                  <w:rFonts w:ascii="Arial" w:cs="Arial" w:eastAsia="Arial" w:hAnsi="Arial"/>
                  <w:sz w:val="18"/>
                  <w:szCs w:val="18"/>
                  <w:color w:val="0000FF"/>
                  <w:w w:val="91"/>
                </w:rPr>
                <w:t>24.</w:t>
              </w:r>
              <w:r>
                <w:rPr>
                  <w:rFonts w:ascii="Arial" w:cs="Arial" w:eastAsia="Arial" w:hAnsi="Arial"/>
                  <w:sz w:val="18"/>
                  <w:szCs w:val="18"/>
                  <w:u w:val="single" w:color="auto"/>
                  <w:color w:val="0000FF"/>
                  <w:w w:val="91"/>
                </w:rPr>
                <w:t>1</w:t>
              </w:r>
            </w:hyperlink>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Powers of Attorney.</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50"/>
        </w:trPr>
        <w:tc>
          <w:tcPr>
            <w:tcW w:w="840" w:type="dxa"/>
            <w:vAlign w:val="bottom"/>
            <w:gridSpan w:val="7"/>
            <w:shd w:val="clear" w:color="auto" w:fill="CCEEFF"/>
          </w:tcPr>
          <w:p>
            <w:pPr>
              <w:jc w:val="center"/>
              <w:ind w:left="350"/>
              <w:spacing w:after="0" w:line="202" w:lineRule="exact"/>
              <w:rPr>
                <w:rFonts w:ascii="Arial" w:cs="Arial" w:eastAsia="Arial" w:hAnsi="Arial"/>
                <w:sz w:val="18"/>
                <w:szCs w:val="18"/>
                <w:color w:val="0000FF"/>
                <w:w w:val="91"/>
              </w:rPr>
            </w:pPr>
            <w:hyperlink w:anchor="page13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Certification of President and Chief Executive Officer pursuant to Section 302 of the Sarbanes-Oxley Act of 2002 (“Sarbanes-Oxley”).</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50"/>
        </w:trPr>
        <w:tc>
          <w:tcPr>
            <w:tcW w:w="840" w:type="dxa"/>
            <w:vAlign w:val="bottom"/>
            <w:gridSpan w:val="7"/>
            <w:shd w:val="clear" w:color="auto" w:fill="CCEEFF"/>
          </w:tcPr>
          <w:p>
            <w:pPr>
              <w:jc w:val="center"/>
              <w:ind w:left="350"/>
              <w:spacing w:after="0" w:line="202" w:lineRule="exact"/>
              <w:rPr>
                <w:rFonts w:ascii="Arial" w:cs="Arial" w:eastAsia="Arial" w:hAnsi="Arial"/>
                <w:sz w:val="18"/>
                <w:szCs w:val="18"/>
                <w:color w:val="0000FF"/>
                <w:w w:val="91"/>
              </w:rPr>
            </w:pPr>
            <w:hyperlink w:anchor="page14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Certification of Executive Vice President, Corporate Strategy and Chief Financial Officer pursuant to Section 302 of Sarbanes-Oxley.</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50"/>
        </w:trPr>
        <w:tc>
          <w:tcPr>
            <w:tcW w:w="840" w:type="dxa"/>
            <w:vAlign w:val="bottom"/>
            <w:gridSpan w:val="7"/>
            <w:shd w:val="clear" w:color="auto" w:fill="CCEEFF"/>
          </w:tcPr>
          <w:p>
            <w:pPr>
              <w:jc w:val="center"/>
              <w:ind w:left="350"/>
              <w:spacing w:after="0" w:line="202" w:lineRule="exact"/>
              <w:rPr>
                <w:rFonts w:ascii="Arial" w:cs="Arial" w:eastAsia="Arial" w:hAnsi="Arial"/>
                <w:sz w:val="18"/>
                <w:szCs w:val="18"/>
                <w:color w:val="0000FF"/>
                <w:w w:val="91"/>
              </w:rPr>
            </w:pPr>
            <w:hyperlink w:anchor="page14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324"/>
        </w:trPr>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220" w:type="dxa"/>
            <w:vAlign w:val="bottom"/>
            <w:tcBorders>
              <w:top w:val="single" w:sz="8" w:color="CCEEFF"/>
            </w:tcBorders>
          </w:tcPr>
          <w:p>
            <w:pPr>
              <w:spacing w:after="0"/>
              <w:rPr>
                <w:sz w:val="24"/>
                <w:szCs w:val="24"/>
                <w:color w:val="auto"/>
              </w:rPr>
            </w:pPr>
          </w:p>
        </w:tc>
      </w:tr>
      <w:tr>
        <w:trPr>
          <w:trHeight w:val="250"/>
        </w:trPr>
        <w:tc>
          <w:tcPr>
            <w:tcW w:w="1200" w:type="dxa"/>
            <w:vAlign w:val="bottom"/>
            <w:tcBorders>
              <w:bottom w:val="single" w:sz="8" w:color="CCEEFF"/>
            </w:tcBorders>
            <w:gridSpan w:val="9"/>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10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250"/>
        </w:trPr>
        <w:tc>
          <w:tcPr>
            <w:tcW w:w="1200" w:type="dxa"/>
            <w:vAlign w:val="bottom"/>
            <w:tcBorders>
              <w:bottom w:val="single" w:sz="8" w:color="CCEEFF"/>
            </w:tcBorders>
            <w:gridSpan w:val="9"/>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250"/>
        </w:trPr>
        <w:tc>
          <w:tcPr>
            <w:tcW w:w="1200" w:type="dxa"/>
            <w:vAlign w:val="bottom"/>
            <w:tcBorders>
              <w:bottom w:val="single" w:sz="8" w:color="CCEEFF"/>
            </w:tcBorders>
            <w:gridSpan w:val="9"/>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10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ind w:left="442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445"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101.DEF</w:t>
            </w: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Taxonomy Extension Definition Linkbase.</w:t>
            </w:r>
          </w:p>
        </w:tc>
      </w:tr>
      <w:tr>
        <w:trPr>
          <w:trHeight w:val="324"/>
        </w:trPr>
        <w:tc>
          <w:tcPr>
            <w:tcW w:w="120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250"/>
        </w:trPr>
        <w:tc>
          <w:tcPr>
            <w:tcW w:w="1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101.LAB</w:t>
            </w:r>
          </w:p>
        </w:tc>
        <w:tc>
          <w:tcPr>
            <w:tcW w:w="10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567"/>
        </w:trPr>
        <w:tc>
          <w:tcPr>
            <w:tcW w:w="1200" w:type="dxa"/>
            <w:vAlign w:val="bottom"/>
          </w:tcPr>
          <w:p>
            <w:pPr>
              <w:ind w:left="320"/>
              <w:spacing w:after="0"/>
              <w:rPr>
                <w:sz w:val="20"/>
                <w:szCs w:val="20"/>
                <w:color w:val="auto"/>
              </w:rPr>
            </w:pPr>
            <w:r>
              <w:rPr>
                <w:rFonts w:ascii="Arial" w:cs="Arial" w:eastAsia="Arial" w:hAnsi="Arial"/>
                <w:sz w:val="18"/>
                <w:szCs w:val="18"/>
                <w:color w:val="auto"/>
              </w:rPr>
              <w:t>101.PRE</w:t>
            </w:r>
          </w:p>
        </w:tc>
        <w:tc>
          <w:tcPr>
            <w:tcW w:w="1022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____________</w:t>
      </w:r>
    </w:p>
    <w:p>
      <w:pPr>
        <w:spacing w:after="0" w:line="5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jc w:val="both"/>
        <w:ind w:left="340" w:hanging="332"/>
        <w:spacing w:after="0" w:line="281"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following materials from the Nasdaq, Inc. Annual Report on Form 10-K for the year ended December 31, 2017, formatted in XBRL (eXtensible Business Reporting Language): (i) Consolidated Balance Sheets as of December 31, 2017 and December 31, 2016; (ii) Consolidated Statements of Income for the years ended December 31, 2017, 2016 and 2015; (iii) Consolidated Statements of Comprehensive Income (Loss) for the years ended December 31, 2017, 2016 and 2015; (iv) Consolidated Statements of Changes in Equity for the years ended December 31, 2017, 2016 and 2015;</w:t>
      </w:r>
    </w:p>
    <w:p>
      <w:pPr>
        <w:spacing w:after="0" w:line="2" w:lineRule="exact"/>
        <w:rPr>
          <w:rFonts w:ascii="Arial" w:cs="Arial" w:eastAsia="Arial" w:hAnsi="Arial"/>
          <w:sz w:val="16"/>
          <w:szCs w:val="16"/>
          <w:color w:val="auto"/>
        </w:rPr>
      </w:pPr>
    </w:p>
    <w:p>
      <w:pPr>
        <w:ind w:left="580" w:hanging="248"/>
        <w:spacing w:after="0"/>
        <w:tabs>
          <w:tab w:leader="none" w:pos="5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Consolidated Statements of Cash Flows for the years ended December 31, 2017, 2016 and 2015; and (vi) notes to consolidated financial statements.</w:t>
      </w:r>
    </w:p>
    <w:p>
      <w:pPr>
        <w:spacing w:after="0" w:line="32" w:lineRule="exact"/>
        <w:rPr>
          <w:rFonts w:ascii="Arial" w:cs="Arial" w:eastAsia="Arial" w:hAnsi="Arial"/>
          <w:sz w:val="16"/>
          <w:szCs w:val="16"/>
          <w:color w:val="auto"/>
        </w:rPr>
      </w:pPr>
    </w:p>
    <w:p>
      <w:pPr>
        <w:ind w:left="340" w:hanging="324"/>
        <w:spacing w:after="0" w:line="261" w:lineRule="auto"/>
        <w:rPr>
          <w:rFonts w:ascii="Arial" w:cs="Arial" w:eastAsia="Arial" w:hAnsi="Arial"/>
          <w:sz w:val="16"/>
          <w:szCs w:val="16"/>
          <w:color w:val="auto"/>
        </w:rPr>
      </w:pPr>
      <w:r>
        <w:rPr>
          <w:rFonts w:ascii="Arial" w:cs="Arial" w:eastAsia="Arial" w:hAnsi="Arial"/>
          <w:sz w:val="18"/>
          <w:szCs w:val="18"/>
          <w:color w:val="auto"/>
        </w:rPr>
        <w:t>† Schedules have been omitted pursuant to Item 601(b)(2) of Regulation S-K. Nasdaq hereby undertakes to furnish supplementally copies of any of the omitted schedules upon request by the SEC.</w:t>
      </w:r>
    </w:p>
    <w:p>
      <w:pPr>
        <w:spacing w:after="0" w:line="34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All schedules are omitted because they are not applicable or the required information is included in the consolidated financial statements or notes.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45"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28, 2018.</w:t>
      </w:r>
    </w:p>
    <w:p>
      <w:pPr>
        <w:spacing w:after="0" w:line="346"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Nasdaq, Inc.</w:t>
            </w:r>
          </w:p>
        </w:tc>
        <w:tc>
          <w:tcPr>
            <w:tcW w:w="5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/s/ Adena T. Friedman</w:t>
            </w: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vMerge w:val="continue"/>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92"/>
              </w:rPr>
              <w:t>Adena T. Friedman</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28, 2018.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6720" w:type="dxa"/>
            <w:vAlign w:val="bottom"/>
            <w:tcBorders>
              <w:bottom w:val="single" w:sz="8" w:color="auto"/>
            </w:tcBorders>
          </w:tcPr>
          <w:p>
            <w:pPr>
              <w:ind w:left="3220"/>
              <w:spacing w:after="0"/>
              <w:rPr>
                <w:sz w:val="20"/>
                <w:szCs w:val="20"/>
                <w:color w:val="auto"/>
              </w:rPr>
            </w:pPr>
            <w:r>
              <w:rPr>
                <w:rFonts w:ascii="Arial" w:cs="Arial" w:eastAsia="Arial" w:hAnsi="Arial"/>
                <w:sz w:val="14"/>
                <w:szCs w:val="14"/>
                <w:b w:val="1"/>
                <w:bCs w:val="1"/>
                <w:color w:val="auto"/>
              </w:rPr>
              <w:t>Title</w:t>
            </w:r>
          </w:p>
        </w:tc>
      </w:tr>
      <w:tr>
        <w:trPr>
          <w:trHeight w:val="459"/>
        </w:trPr>
        <w:tc>
          <w:tcPr>
            <w:tcW w:w="2420" w:type="dxa"/>
            <w:vAlign w:val="bottom"/>
          </w:tcPr>
          <w:p>
            <w:pPr>
              <w:jc w:val="center"/>
              <w:spacing w:after="0"/>
              <w:rPr>
                <w:sz w:val="20"/>
                <w:szCs w:val="20"/>
                <w:color w:val="auto"/>
              </w:rPr>
            </w:pPr>
            <w:r>
              <w:rPr>
                <w:rFonts w:ascii="Arial" w:cs="Arial" w:eastAsia="Arial" w:hAnsi="Arial"/>
                <w:sz w:val="18"/>
                <w:szCs w:val="18"/>
                <w:color w:val="auto"/>
                <w:w w:val="90"/>
              </w:rPr>
              <w:t>/s/ Adena T. Friedman</w:t>
            </w:r>
          </w:p>
        </w:tc>
        <w:tc>
          <w:tcPr>
            <w:tcW w:w="12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Adena T. Friedman</w:t>
            </w:r>
          </w:p>
        </w:tc>
        <w:tc>
          <w:tcPr>
            <w:tcW w:w="1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2420" w:type="dxa"/>
            <w:vAlign w:val="bottom"/>
          </w:tcPr>
          <w:p>
            <w:pPr>
              <w:jc w:val="center"/>
              <w:spacing w:after="0"/>
              <w:rPr>
                <w:sz w:val="20"/>
                <w:szCs w:val="20"/>
                <w:color w:val="auto"/>
              </w:rPr>
            </w:pPr>
            <w:r>
              <w:rPr>
                <w:rFonts w:ascii="Arial" w:cs="Arial" w:eastAsia="Arial" w:hAnsi="Arial"/>
                <w:sz w:val="18"/>
                <w:szCs w:val="18"/>
                <w:color w:val="auto"/>
                <w:w w:val="91"/>
              </w:rPr>
              <w:t>/s/ Michael Ptasznik</w:t>
            </w:r>
          </w:p>
        </w:tc>
        <w:tc>
          <w:tcPr>
            <w:tcW w:w="12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Executive Vice President, Corporate Strategy and Chief Financial Officer</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Ptasznik</w:t>
            </w:r>
          </w:p>
        </w:tc>
        <w:tc>
          <w:tcPr>
            <w:tcW w:w="1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2420" w:type="dxa"/>
            <w:vAlign w:val="bottom"/>
          </w:tcPr>
          <w:p>
            <w:pPr>
              <w:jc w:val="center"/>
              <w:spacing w:after="0"/>
              <w:rPr>
                <w:sz w:val="20"/>
                <w:szCs w:val="20"/>
                <w:color w:val="auto"/>
              </w:rPr>
            </w:pPr>
            <w:r>
              <w:rPr>
                <w:rFonts w:ascii="Arial" w:cs="Arial" w:eastAsia="Arial" w:hAnsi="Arial"/>
                <w:sz w:val="18"/>
                <w:szCs w:val="18"/>
                <w:color w:val="auto"/>
                <w:w w:val="92"/>
              </w:rPr>
              <w:t>/s/ Ann M. Dennison</w:t>
            </w:r>
          </w:p>
        </w:tc>
        <w:tc>
          <w:tcPr>
            <w:tcW w:w="12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Senior Vice President and Controller</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Ann M. Dennison</w:t>
            </w:r>
          </w:p>
        </w:tc>
        <w:tc>
          <w:tcPr>
            <w:tcW w:w="1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86"/>
        </w:trPr>
        <w:tc>
          <w:tcPr>
            <w:tcW w:w="24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R. Splinter</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486"/>
        </w:trPr>
        <w:tc>
          <w:tcPr>
            <w:tcW w:w="24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Melissa M. Arnoldi</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p>
        </w:tc>
      </w:tr>
    </w:tbl>
    <w:p>
      <w:pPr>
        <w:spacing w:after="0" w:line="256" w:lineRule="exact"/>
        <w:rPr>
          <w:sz w:val="20"/>
          <w:szCs w:val="20"/>
          <w:color w:val="auto"/>
        </w:rPr>
      </w:pPr>
    </w:p>
    <w:p>
      <w:pPr>
        <w:ind w:left="2560" w:hanging="1395"/>
        <w:spacing w:after="0"/>
        <w:tabs>
          <w:tab w:leader="none" w:pos="25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Director</w:t>
      </w:r>
    </w:p>
    <w:p>
      <w:pPr>
        <w:spacing w:after="0" w:line="72"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b w:val="1"/>
          <w:bCs w:val="1"/>
          <w:color w:val="auto"/>
        </w:rPr>
        <w:t>Charlene T. Begley</w:t>
      </w:r>
    </w:p>
    <w:p>
      <w:pPr>
        <w:spacing w:after="0" w:line="283" w:lineRule="exact"/>
        <w:rPr>
          <w:rFonts w:ascii="Arial" w:cs="Arial" w:eastAsia="Arial" w:hAnsi="Arial"/>
          <w:sz w:val="18"/>
          <w:szCs w:val="18"/>
          <w:color w:val="auto"/>
        </w:rPr>
      </w:pPr>
    </w:p>
    <w:p>
      <w:pPr>
        <w:ind w:left="2560" w:hanging="1395"/>
        <w:spacing w:after="0"/>
        <w:tabs>
          <w:tab w:leader="none" w:pos="25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Director</w:t>
      </w:r>
    </w:p>
    <w:p>
      <w:pPr>
        <w:spacing w:after="0" w:line="7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b w:val="1"/>
          <w:bCs w:val="1"/>
          <w:color w:val="auto"/>
        </w:rPr>
        <w:t>Steven D. Black</w:t>
      </w:r>
    </w:p>
    <w:p>
      <w:pPr>
        <w:spacing w:after="0" w:line="283" w:lineRule="exact"/>
        <w:rPr>
          <w:rFonts w:ascii="Arial" w:cs="Arial" w:eastAsia="Arial" w:hAnsi="Arial"/>
          <w:sz w:val="18"/>
          <w:szCs w:val="18"/>
          <w:color w:val="auto"/>
        </w:rPr>
      </w:pPr>
    </w:p>
    <w:p>
      <w:pPr>
        <w:ind w:left="2560" w:hanging="1395"/>
        <w:spacing w:after="0"/>
        <w:tabs>
          <w:tab w:leader="none" w:pos="25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Director</w:t>
      </w:r>
    </w:p>
    <w:p>
      <w:pPr>
        <w:spacing w:after="0" w:line="7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b w:val="1"/>
          <w:bCs w:val="1"/>
          <w:color w:val="auto"/>
        </w:rPr>
        <w:t>Essa Kazim</w:t>
      </w:r>
    </w:p>
    <w:p>
      <w:pPr>
        <w:spacing w:after="0" w:line="283" w:lineRule="exact"/>
        <w:rPr>
          <w:rFonts w:ascii="Arial" w:cs="Arial" w:eastAsia="Arial" w:hAnsi="Arial"/>
          <w:sz w:val="18"/>
          <w:szCs w:val="18"/>
          <w:color w:val="auto"/>
        </w:rPr>
      </w:pPr>
    </w:p>
    <w:p>
      <w:pPr>
        <w:ind w:left="2560" w:hanging="1395"/>
        <w:spacing w:after="0"/>
        <w:tabs>
          <w:tab w:leader="none" w:pos="25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Director</w:t>
      </w:r>
    </w:p>
    <w:p>
      <w:pPr>
        <w:spacing w:after="0" w:line="7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Thomas A. Kloet</w:t>
      </w:r>
    </w:p>
    <w:p>
      <w:pPr>
        <w:spacing w:after="0" w:line="283" w:lineRule="exact"/>
        <w:rPr>
          <w:rFonts w:ascii="Arial" w:cs="Arial" w:eastAsia="Arial" w:hAnsi="Arial"/>
          <w:sz w:val="18"/>
          <w:szCs w:val="18"/>
          <w:color w:val="auto"/>
        </w:rPr>
      </w:pPr>
    </w:p>
    <w:p>
      <w:pPr>
        <w:ind w:left="2560" w:hanging="1395"/>
        <w:spacing w:after="0"/>
        <w:tabs>
          <w:tab w:leader="none" w:pos="25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Director</w:t>
      </w:r>
    </w:p>
    <w:p>
      <w:pPr>
        <w:spacing w:after="0" w:line="7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John D. Rainey</w:t>
      </w:r>
    </w:p>
    <w:p>
      <w:pPr>
        <w:spacing w:after="0" w:line="283" w:lineRule="exact"/>
        <w:rPr>
          <w:rFonts w:ascii="Arial" w:cs="Arial" w:eastAsia="Arial" w:hAnsi="Arial"/>
          <w:sz w:val="18"/>
          <w:szCs w:val="18"/>
          <w:color w:val="auto"/>
        </w:rPr>
      </w:pPr>
    </w:p>
    <w:p>
      <w:pPr>
        <w:ind w:left="2560" w:hanging="1395"/>
        <w:spacing w:after="0"/>
        <w:tabs>
          <w:tab w:leader="none" w:pos="25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Director</w:t>
      </w:r>
    </w:p>
    <w:p>
      <w:pPr>
        <w:spacing w:after="0" w:line="7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Lars R. Wedenborn</w:t>
      </w:r>
    </w:p>
    <w:p>
      <w:pPr>
        <w:spacing w:after="0" w:line="2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Pursuant to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5265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-927735</wp:posOffset>
            </wp:positionV>
            <wp:extent cx="15265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-1416685</wp:posOffset>
            </wp:positionV>
            <wp:extent cx="15265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-1905635</wp:posOffset>
            </wp:positionV>
            <wp:extent cx="15265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-2394585</wp:posOffset>
            </wp:positionV>
            <wp:extent cx="15265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9">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-2882900</wp:posOffset>
            </wp:positionV>
            <wp:extent cx="1526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31750</wp:posOffset>
            </wp:positionV>
            <wp:extent cx="6045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1">
                      <a:extLst>
                        <a:ext uri="{28A0092B-C50C-407E-A947-70E740481C1C}"/>
                      </a:extLst>
                    </a:blip>
                    <a:srcRect/>
                    <a:stretch>
                      <a:fillRect/>
                    </a:stretch>
                  </pic:blipFill>
                  <pic:spPr bwMode="auto">
                    <a:xfrm>
                      <a:off x="0" y="0"/>
                      <a:ext cx="6045835" cy="8890"/>
                    </a:xfrm>
                    <a:prstGeom prst="rect">
                      <a:avLst/>
                    </a:prstGeom>
                    <a:noFill/>
                  </pic:spPr>
                </pic:pic>
              </a:graphicData>
            </a:graphic>
          </wp:anchor>
        </w:drawing>
      </w:r>
    </w:p>
    <w:p>
      <w:pPr>
        <w:spacing w:after="0" w:line="5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Edward S. Knight</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Attorney-in-Fact</w:t>
      </w: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45" w:right="459" w:bottom="91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Nasdaq, Inc.</w:t>
      </w:r>
    </w:p>
    <w:p>
      <w:pPr>
        <w:spacing w:after="0" w:line="9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Nasdaq, Inc. and its subsidiaries are presented herein on the page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60" w:type="dxa"/>
            <w:vAlign w:val="bottom"/>
            <w:gridSpan w:val="6"/>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Report of Independent Registered Public Accounting Firm</w:t>
              </w:r>
            </w:hyperlink>
          </w:p>
        </w:tc>
        <w:tc>
          <w:tcPr>
            <w:tcW w:w="6800" w:type="dxa"/>
            <w:vAlign w:val="bottom"/>
            <w:gridSpan w:val="2"/>
          </w:tcPr>
          <w:p>
            <w:pPr>
              <w:ind w:left="6540"/>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73">
              <w:r>
                <w:rPr>
                  <w:rFonts w:ascii="Arial" w:cs="Arial" w:eastAsia="Arial" w:hAnsi="Arial"/>
                  <w:sz w:val="18"/>
                  <w:szCs w:val="18"/>
                  <w:color w:val="0000EE"/>
                  <w:w w:val="88"/>
                </w:rPr>
                <w:t>2</w:t>
              </w:r>
            </w:hyperlink>
          </w:p>
        </w:tc>
      </w:tr>
      <w:tr>
        <w:trPr>
          <w:trHeight w:val="20"/>
        </w:trPr>
        <w:tc>
          <w:tcPr>
            <w:tcW w:w="2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120" w:type="dxa"/>
            <w:vAlign w:val="bottom"/>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Balance Sheets</w:t>
              </w:r>
            </w:hyperlink>
          </w:p>
        </w:tc>
        <w:tc>
          <w:tcPr>
            <w:tcW w:w="2140" w:type="dxa"/>
            <w:vAlign w:val="bottom"/>
            <w:gridSpan w:val="5"/>
          </w:tcPr>
          <w:p>
            <w:pPr>
              <w:spacing w:after="0"/>
              <w:rPr>
                <w:sz w:val="21"/>
                <w:szCs w:val="21"/>
                <w:color w:val="auto"/>
              </w:rPr>
            </w:pPr>
          </w:p>
        </w:tc>
        <w:tc>
          <w:tcPr>
            <w:tcW w:w="6800" w:type="dxa"/>
            <w:vAlign w:val="bottom"/>
            <w:gridSpan w:val="2"/>
          </w:tcPr>
          <w:p>
            <w:pPr>
              <w:ind w:left="6540"/>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74">
              <w:r>
                <w:rPr>
                  <w:rFonts w:ascii="Arial" w:cs="Arial" w:eastAsia="Arial" w:hAnsi="Arial"/>
                  <w:sz w:val="18"/>
                  <w:szCs w:val="18"/>
                  <w:color w:val="0000EE"/>
                  <w:w w:val="88"/>
                </w:rPr>
                <w:t>3</w:t>
              </w:r>
            </w:hyperlink>
          </w:p>
        </w:tc>
      </w:tr>
      <w:tr>
        <w:trPr>
          <w:trHeight w:val="20"/>
        </w:trPr>
        <w:tc>
          <w:tcPr>
            <w:tcW w:w="2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600" w:type="dxa"/>
            <w:vAlign w:val="bottom"/>
            <w:gridSpan w:val="2"/>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Consolidated Statements of Income</w:t>
              </w:r>
            </w:hyperlink>
          </w:p>
        </w:tc>
        <w:tc>
          <w:tcPr>
            <w:tcW w:w="1660" w:type="dxa"/>
            <w:vAlign w:val="bottom"/>
            <w:gridSpan w:val="4"/>
          </w:tcPr>
          <w:p>
            <w:pPr>
              <w:spacing w:after="0"/>
              <w:rPr>
                <w:sz w:val="21"/>
                <w:szCs w:val="21"/>
                <w:color w:val="auto"/>
              </w:rPr>
            </w:pPr>
          </w:p>
        </w:tc>
        <w:tc>
          <w:tcPr>
            <w:tcW w:w="6800" w:type="dxa"/>
            <w:vAlign w:val="bottom"/>
            <w:gridSpan w:val="2"/>
          </w:tcPr>
          <w:p>
            <w:pPr>
              <w:ind w:left="6540"/>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75">
              <w:r>
                <w:rPr>
                  <w:rFonts w:ascii="Arial" w:cs="Arial" w:eastAsia="Arial" w:hAnsi="Arial"/>
                  <w:sz w:val="18"/>
                  <w:szCs w:val="18"/>
                  <w:color w:val="0000EE"/>
                  <w:w w:val="88"/>
                </w:rPr>
                <w:t>4</w:t>
              </w:r>
            </w:hyperlink>
          </w:p>
        </w:tc>
      </w:tr>
      <w:tr>
        <w:trPr>
          <w:trHeight w:val="20"/>
        </w:trPr>
        <w:tc>
          <w:tcPr>
            <w:tcW w:w="26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260" w:type="dxa"/>
            <w:vAlign w:val="bottom"/>
            <w:gridSpan w:val="6"/>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Comprehensive Income (Loss)</w:t>
              </w:r>
            </w:hyperlink>
          </w:p>
        </w:tc>
        <w:tc>
          <w:tcPr>
            <w:tcW w:w="6800" w:type="dxa"/>
            <w:vAlign w:val="bottom"/>
            <w:gridSpan w:val="2"/>
          </w:tcPr>
          <w:p>
            <w:pPr>
              <w:ind w:left="6540"/>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76">
              <w:r>
                <w:rPr>
                  <w:rFonts w:ascii="Arial" w:cs="Arial" w:eastAsia="Arial" w:hAnsi="Arial"/>
                  <w:sz w:val="18"/>
                  <w:szCs w:val="18"/>
                  <w:color w:val="0000EE"/>
                  <w:w w:val="88"/>
                </w:rPr>
                <w:t>5</w:t>
              </w:r>
            </w:hyperlink>
          </w:p>
        </w:tc>
      </w:tr>
      <w:tr>
        <w:trPr>
          <w:trHeight w:val="20"/>
        </w:trPr>
        <w:tc>
          <w:tcPr>
            <w:tcW w:w="29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700" w:type="dxa"/>
            <w:vAlign w:val="bottom"/>
            <w:tcBorders>
              <w:lef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400" w:type="dxa"/>
            <w:vAlign w:val="bottom"/>
            <w:gridSpan w:val="5"/>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Consolidated Statements of Changes in Equity</w:t>
              </w:r>
            </w:hyperlink>
          </w:p>
        </w:tc>
        <w:tc>
          <w:tcPr>
            <w:tcW w:w="860" w:type="dxa"/>
            <w:vAlign w:val="bottom"/>
          </w:tcPr>
          <w:p>
            <w:pPr>
              <w:spacing w:after="0"/>
              <w:rPr>
                <w:sz w:val="21"/>
                <w:szCs w:val="21"/>
                <w:color w:val="auto"/>
              </w:rPr>
            </w:pPr>
          </w:p>
        </w:tc>
        <w:tc>
          <w:tcPr>
            <w:tcW w:w="6800" w:type="dxa"/>
            <w:vAlign w:val="bottom"/>
            <w:gridSpan w:val="2"/>
          </w:tcPr>
          <w:p>
            <w:pPr>
              <w:ind w:left="6540"/>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77">
              <w:r>
                <w:rPr>
                  <w:rFonts w:ascii="Arial" w:cs="Arial" w:eastAsia="Arial" w:hAnsi="Arial"/>
                  <w:sz w:val="18"/>
                  <w:szCs w:val="18"/>
                  <w:color w:val="0000EE"/>
                  <w:w w:val="88"/>
                </w:rPr>
                <w:t>6</w:t>
              </w:r>
            </w:hyperlink>
          </w:p>
        </w:tc>
      </w:tr>
      <w:tr>
        <w:trPr>
          <w:trHeight w:val="20"/>
        </w:trPr>
        <w:tc>
          <w:tcPr>
            <w:tcW w:w="29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900" w:type="dxa"/>
            <w:vAlign w:val="bottom"/>
            <w:gridSpan w:val="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w:t>
              </w:r>
            </w:hyperlink>
          </w:p>
        </w:tc>
        <w:tc>
          <w:tcPr>
            <w:tcW w:w="50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6800" w:type="dxa"/>
            <w:vAlign w:val="bottom"/>
            <w:gridSpan w:val="2"/>
          </w:tcPr>
          <w:p>
            <w:pPr>
              <w:ind w:left="6540"/>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78">
              <w:r>
                <w:rPr>
                  <w:rFonts w:ascii="Arial" w:cs="Arial" w:eastAsia="Arial" w:hAnsi="Arial"/>
                  <w:sz w:val="18"/>
                  <w:szCs w:val="18"/>
                  <w:color w:val="0000EE"/>
                  <w:w w:val="88"/>
                </w:rPr>
                <w:t>7</w:t>
              </w:r>
            </w:hyperlink>
          </w:p>
        </w:tc>
      </w:tr>
      <w:tr>
        <w:trPr>
          <w:trHeight w:val="20"/>
        </w:trPr>
        <w:tc>
          <w:tcPr>
            <w:tcW w:w="29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180" w:type="dxa"/>
            <w:vAlign w:val="bottom"/>
            <w:gridSpan w:val="4"/>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Notes to Consolidated Financial Statements</w:t>
              </w:r>
            </w:hyperlink>
          </w:p>
        </w:tc>
        <w:tc>
          <w:tcPr>
            <w:tcW w:w="1080" w:type="dxa"/>
            <w:vAlign w:val="bottom"/>
            <w:gridSpan w:val="2"/>
          </w:tcPr>
          <w:p>
            <w:pPr>
              <w:spacing w:after="0"/>
              <w:rPr>
                <w:sz w:val="21"/>
                <w:szCs w:val="21"/>
                <w:color w:val="auto"/>
              </w:rPr>
            </w:pPr>
          </w:p>
        </w:tc>
        <w:tc>
          <w:tcPr>
            <w:tcW w:w="6800" w:type="dxa"/>
            <w:vAlign w:val="bottom"/>
            <w:gridSpan w:val="2"/>
          </w:tcPr>
          <w:p>
            <w:pPr>
              <w:ind w:left="6540"/>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80">
              <w:r>
                <w:rPr>
                  <w:rFonts w:ascii="Arial" w:cs="Arial" w:eastAsia="Arial" w:hAnsi="Arial"/>
                  <w:sz w:val="18"/>
                  <w:szCs w:val="18"/>
                  <w:color w:val="0000EE"/>
                  <w:w w:val="88"/>
                </w:rPr>
                <w:t>8</w:t>
              </w:r>
            </w:hyperlink>
          </w:p>
        </w:tc>
      </w:tr>
      <w:tr>
        <w:trPr>
          <w:trHeight w:val="20"/>
        </w:trPr>
        <w:tc>
          <w:tcPr>
            <w:tcW w:w="2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00"/>
          </w:cols>
          <w:pgMar w:left="240" w:top="445" w:right="55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Shareholders and the Board of Directors of Nasdaq,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Nasdaq, Inc. (the Company) as of December 31, 2017 and 2016, and the related consolidated statements of income, comprehensive income (loss), changes in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28,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45"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2017</w:t>
            </w:r>
          </w:p>
        </w:tc>
        <w:tc>
          <w:tcPr>
            <w:tcW w:w="180" w:type="dxa"/>
            <w:vAlign w:val="bottom"/>
          </w:tcPr>
          <w:p>
            <w:pPr>
              <w:spacing w:after="0"/>
              <w:rPr>
                <w:sz w:val="15"/>
                <w:szCs w:val="15"/>
                <w:color w:val="auto"/>
              </w:rPr>
            </w:pPr>
          </w:p>
        </w:tc>
        <w:tc>
          <w:tcPr>
            <w:tcW w:w="1300" w:type="dxa"/>
            <w:vAlign w:val="bottom"/>
          </w:tcPr>
          <w:p>
            <w:pPr>
              <w:jc w:val="right"/>
              <w:ind w:right="131"/>
              <w:spacing w:after="0"/>
              <w:rPr>
                <w:sz w:val="20"/>
                <w:szCs w:val="20"/>
                <w:color w:val="auto"/>
              </w:rPr>
            </w:pPr>
            <w:r>
              <w:rPr>
                <w:rFonts w:ascii="Arial" w:cs="Arial" w:eastAsia="Arial" w:hAnsi="Arial"/>
                <w:sz w:val="13"/>
                <w:szCs w:val="13"/>
                <w:b w:val="1"/>
                <w:bCs w:val="1"/>
                <w:color w:val="auto"/>
                <w:w w:val="90"/>
              </w:rPr>
              <w:t>December 31, 2016</w:t>
            </w:r>
          </w:p>
        </w:tc>
      </w:tr>
      <w:tr>
        <w:trPr>
          <w:trHeight w:val="270"/>
        </w:trPr>
        <w:tc>
          <w:tcPr>
            <w:tcW w:w="83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Financial investments,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Default funds and margin deposits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717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2,094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14,150</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Section 31 fees payable to SEC</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Default funds and margin deposits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3,603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deferred revenue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w w:val="90"/>
              </w:rPr>
              <w:t>Common stock, $0.01 par value, 300,000,000 shares authorized, shares issued: 172,373,432 at December 31,</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w w:val="93"/>
              </w:rPr>
              <w:t>2017 and 170,501,186 at December 31, 2016; shares outstanding: 167,441,030 at December 31, 2017 and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166,579,468 at December 31, 2016</w:t>
            </w:r>
          </w:p>
        </w:tc>
        <w:tc>
          <w:tcPr>
            <w:tcW w:w="1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w:t>
            </w: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w w:val="89"/>
              </w:rPr>
              <w:t>Common stock in treasury, at cost: 4,932,402 shares at December 31, 2017 and 3,921,718 shares at December</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31, 2016</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3,479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Nasdaq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15,786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14,150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45" w:right="239" w:bottom="1031"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3"/>
                <w:szCs w:val="13"/>
                <w:b w:val="1"/>
                <w:bCs w:val="1"/>
                <w:color w:val="auto"/>
                <w:w w:val="87"/>
              </w:rPr>
              <w:t>Year Ended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3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2017</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7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Market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2,418</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Information Services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Technology</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Transaction-based expenses:</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Transaction rebates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Brokerage, clearance and exchange fees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Revenues less transaction-based expenses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and contract services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Computer operations and data communications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advertising</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Merger and strategic initiatives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Asset impairment charge</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income from unconsolidated investees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Nasdaq</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 share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3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1"/>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820"/>
          </w:cols>
          <w:pgMar w:left="240" w:top="445" w:right="8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3"/>
                <w:szCs w:val="13"/>
                <w:b w:val="1"/>
                <w:bCs w:val="1"/>
                <w:color w:val="auto"/>
                <w:w w:val="87"/>
              </w:rPr>
              <w:t>Year Ended December 31,</w:t>
            </w:r>
          </w:p>
        </w:tc>
        <w:tc>
          <w:tcPr>
            <w:tcW w:w="720" w:type="dxa"/>
            <w:vAlign w:val="bottom"/>
            <w:tcBorders>
              <w:bottom w:val="single" w:sz="8" w:color="auto"/>
            </w:tcBorders>
          </w:tcPr>
          <w:p>
            <w:pPr>
              <w:spacing w:after="0"/>
              <w:rPr>
                <w:sz w:val="15"/>
                <w:szCs w:val="15"/>
                <w:color w:val="auto"/>
              </w:rPr>
            </w:pPr>
          </w:p>
        </w:tc>
      </w:tr>
      <w:tr>
        <w:trPr>
          <w:trHeight w:val="277"/>
        </w:trPr>
        <w:tc>
          <w:tcPr>
            <w:tcW w:w="7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b w:val="1"/>
                <w:bCs w:val="1"/>
                <w:color w:val="auto"/>
              </w:rPr>
              <w:t>2016</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b w:val="1"/>
                <w:bCs w:val="1"/>
                <w:color w:val="auto"/>
              </w:rPr>
              <w:t>2015</w:t>
            </w: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r>
      <w:tr>
        <w:trPr>
          <w:trHeight w:val="270"/>
        </w:trPr>
        <w:tc>
          <w:tcPr>
            <w:tcW w:w="7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7"/>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(losses):</w:t>
            </w: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r>
      <w:tr>
        <w:trPr>
          <w:trHeight w:val="243"/>
        </w:trPr>
        <w:tc>
          <w:tcPr>
            <w:tcW w:w="7340" w:type="dxa"/>
            <w:vAlign w:val="bottom"/>
          </w:tcPr>
          <w:p>
            <w:pPr>
              <w:ind w:left="720"/>
              <w:spacing w:after="0"/>
              <w:rPr>
                <w:sz w:val="20"/>
                <w:szCs w:val="20"/>
                <w:color w:val="auto"/>
              </w:rPr>
            </w:pPr>
            <w:r>
              <w:rPr>
                <w:rFonts w:ascii="Arial" w:cs="Arial" w:eastAsia="Arial" w:hAnsi="Arial"/>
                <w:sz w:val="18"/>
                <w:szCs w:val="18"/>
                <w:color w:val="auto"/>
              </w:rPr>
              <w:t>Net foreign currency translation gains (losses)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37"/>
        </w:trPr>
        <w:tc>
          <w:tcPr>
            <w:tcW w:w="734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benefit plan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720"/>
              <w:spacing w:after="0"/>
              <w:rPr>
                <w:sz w:val="20"/>
                <w:szCs w:val="20"/>
                <w:color w:val="auto"/>
              </w:rPr>
            </w:pPr>
            <w:r>
              <w:rPr>
                <w:rFonts w:ascii="Arial" w:cs="Arial" w:eastAsia="Arial" w:hAnsi="Arial"/>
                <w:sz w:val="18"/>
                <w:szCs w:val="18"/>
                <w:color w:val="auto"/>
              </w:rPr>
              <w:t>Employee benefit plan adjustment gains (losses)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34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7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w:t>
            </w: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Nasdaq</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w:t>
            </w:r>
          </w:p>
        </w:tc>
      </w:tr>
      <w:tr>
        <w:trPr>
          <w:trHeight w:val="27"/>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620"/>
          </w:cols>
          <w:pgMar w:left="240" w:top="445" w:right="10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 In</w:t>
            </w:r>
          </w:p>
        </w:tc>
        <w:tc>
          <w:tcPr>
            <w:tcW w:w="12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Shares</w:t>
            </w: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Stock at Par</w:t>
            </w:r>
          </w:p>
        </w:tc>
        <w:tc>
          <w:tcPr>
            <w:tcW w:w="10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7"/>
              </w:rPr>
              <w:t>Paid-in</w:t>
            </w: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Treasury, at</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Outstanding</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Interests</w:t>
            </w:r>
          </w:p>
        </w:tc>
        <w:tc>
          <w:tcPr>
            <w:tcW w:w="18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3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11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168,795,263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3,222</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3,292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5,794</w:t>
            </w:r>
          </w:p>
        </w:tc>
        <w:tc>
          <w:tcPr>
            <w:tcW w:w="0" w:type="dxa"/>
            <w:vAlign w:val="bottom"/>
          </w:tcPr>
          <w:p>
            <w:pPr>
              <w:spacing w:after="0"/>
              <w:rPr>
                <w:sz w:val="1"/>
                <w:szCs w:val="1"/>
                <w:color w:val="auto"/>
              </w:rPr>
            </w:pPr>
          </w:p>
        </w:tc>
      </w:tr>
      <w:tr>
        <w:trPr>
          <w:trHeight w:val="80"/>
        </w:trPr>
        <w:tc>
          <w:tcPr>
            <w:tcW w:w="24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ind w:left="4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translation, net of tax of $100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Employee benefit plan adjustments, net of tax of $1</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 per common share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Share repurchase program</w:t>
            </w:r>
          </w:p>
        </w:tc>
        <w:tc>
          <w:tcPr>
            <w:tcW w:w="1140" w:type="dxa"/>
            <w:vAlign w:val="bottom"/>
          </w:tcPr>
          <w:p>
            <w:pPr>
              <w:jc w:val="right"/>
              <w:spacing w:after="0"/>
              <w:rPr>
                <w:sz w:val="20"/>
                <w:szCs w:val="20"/>
                <w:color w:val="auto"/>
              </w:rPr>
            </w:pPr>
            <w:r>
              <w:rPr>
                <w:rFonts w:ascii="Arial" w:cs="Arial" w:eastAsia="Arial" w:hAnsi="Arial"/>
                <w:sz w:val="14"/>
                <w:szCs w:val="14"/>
                <w:color w:val="auto"/>
              </w:rPr>
              <w:t>(7,191,685)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1,455,380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Stock option exercises, net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682,054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issuances of common stock, net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7"/>
        </w:trPr>
        <w:tc>
          <w:tcPr>
            <w:tcW w:w="342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5"/>
              </w:rPr>
              <w:t>Purchase of subsidiary shares to noncontrolling interests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20" w:type="dxa"/>
            <w:vAlign w:val="bottom"/>
            <w:gridSpan w:val="2"/>
          </w:tcPr>
          <w:p>
            <w:pPr>
              <w:ind w:left="200"/>
              <w:spacing w:after="0"/>
              <w:rPr>
                <w:sz w:val="20"/>
                <w:szCs w:val="20"/>
                <w:color w:val="auto"/>
              </w:rPr>
            </w:pPr>
            <w:r>
              <w:rPr>
                <w:rFonts w:ascii="Arial" w:cs="Arial" w:eastAsia="Arial" w:hAnsi="Arial"/>
                <w:sz w:val="14"/>
                <w:szCs w:val="14"/>
                <w:color w:val="auto"/>
              </w:rPr>
              <w:t>and other adjustments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3"/>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Nasdaq common stock related to a prior</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acquisition</w:t>
            </w: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992,247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140" w:type="dxa"/>
            <w:vAlign w:val="bottom"/>
            <w:vMerge w:val="restart"/>
          </w:tcPr>
          <w:p>
            <w:pPr>
              <w:jc w:val="right"/>
              <w:ind w:right="29"/>
              <w:spacing w:after="0"/>
              <w:rPr>
                <w:sz w:val="20"/>
                <w:szCs w:val="20"/>
                <w:color w:val="auto"/>
              </w:rPr>
            </w:pPr>
            <w:r>
              <w:rPr>
                <w:rFonts w:ascii="Arial" w:cs="Arial" w:eastAsia="Arial" w:hAnsi="Arial"/>
                <w:sz w:val="14"/>
                <w:szCs w:val="14"/>
                <w:color w:val="auto"/>
              </w:rPr>
              <w:t>164,324,270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3,011</w:t>
            </w:r>
          </w:p>
        </w:tc>
        <w:tc>
          <w:tcPr>
            <w:tcW w:w="2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3,571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5,609</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Foreign currency translation, net of tax of $68</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 per common share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Share repurchase program</w:t>
            </w:r>
          </w:p>
        </w:tc>
        <w:tc>
          <w:tcPr>
            <w:tcW w:w="1140" w:type="dxa"/>
            <w:vAlign w:val="bottom"/>
          </w:tcPr>
          <w:p>
            <w:pPr>
              <w:jc w:val="right"/>
              <w:spacing w:after="0"/>
              <w:rPr>
                <w:sz w:val="20"/>
                <w:szCs w:val="20"/>
                <w:color w:val="auto"/>
              </w:rPr>
            </w:pPr>
            <w:r>
              <w:rPr>
                <w:rFonts w:ascii="Arial" w:cs="Arial" w:eastAsia="Arial" w:hAnsi="Arial"/>
                <w:sz w:val="14"/>
                <w:szCs w:val="14"/>
                <w:color w:val="auto"/>
              </w:rPr>
              <w:t>(1,547,778)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2,361,699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Stock option exercises, net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1,219,820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41</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issuances of common stock, net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7"/>
        </w:trPr>
        <w:tc>
          <w:tcPr>
            <w:tcW w:w="3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Issuance of Nasdaq common stock related to a prior</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acquisition</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992,247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1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166,579,468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3,104</w:t>
            </w:r>
          </w:p>
        </w:tc>
        <w:tc>
          <w:tcPr>
            <w:tcW w:w="2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3,479</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5,430</w:t>
            </w:r>
          </w:p>
        </w:tc>
        <w:tc>
          <w:tcPr>
            <w:tcW w:w="0" w:type="dxa"/>
            <w:vAlign w:val="bottom"/>
          </w:tcPr>
          <w:p>
            <w:pPr>
              <w:spacing w:after="0"/>
              <w:rPr>
                <w:sz w:val="1"/>
                <w:szCs w:val="1"/>
                <w:color w:val="auto"/>
              </w:rPr>
            </w:pPr>
          </w:p>
        </w:tc>
      </w:tr>
      <w:tr>
        <w:trPr>
          <w:trHeight w:val="80"/>
        </w:trPr>
        <w:tc>
          <w:tcPr>
            <w:tcW w:w="24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2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income</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74"/>
        </w:trPr>
        <w:tc>
          <w:tcPr>
            <w:tcW w:w="34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4"/>
              </w:rPr>
              <w:t>Foreign currency translation, net of tax of</w:t>
            </w:r>
          </w:p>
        </w:tc>
        <w:tc>
          <w:tcPr>
            <w:tcW w:w="96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85"/>
                <w:shd w:val="clear" w:color="auto" w:fill="CCEEFF"/>
              </w:rPr>
              <w:t>$96</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Employee benefit plan adjustments, net of tax of $1</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 per common share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Share repurchase program</w:t>
            </w:r>
          </w:p>
        </w:tc>
        <w:tc>
          <w:tcPr>
            <w:tcW w:w="1140" w:type="dxa"/>
            <w:vAlign w:val="bottom"/>
          </w:tcPr>
          <w:p>
            <w:pPr>
              <w:jc w:val="right"/>
              <w:spacing w:after="0"/>
              <w:rPr>
                <w:sz w:val="20"/>
                <w:szCs w:val="20"/>
                <w:color w:val="auto"/>
              </w:rPr>
            </w:pPr>
            <w:r>
              <w:rPr>
                <w:rFonts w:ascii="Arial" w:cs="Arial" w:eastAsia="Arial" w:hAnsi="Arial"/>
                <w:sz w:val="14"/>
                <w:szCs w:val="14"/>
                <w:color w:val="auto"/>
              </w:rPr>
              <w:t>(2,843,519)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(203)</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2,384,821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color w:val="auto"/>
              </w:rPr>
              <w:t>Stock option exercises, net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1,102,830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issuances of common stock, net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(774,817)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7"/>
        </w:trPr>
        <w:tc>
          <w:tcPr>
            <w:tcW w:w="3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Issuance of Nasdaq common stock related to a prior</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acquisition</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992,247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1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167,441,030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3,024</w:t>
            </w:r>
          </w:p>
        </w:tc>
        <w:tc>
          <w:tcPr>
            <w:tcW w:w="2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3,970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5,887</w:t>
            </w:r>
          </w:p>
        </w:tc>
        <w:tc>
          <w:tcPr>
            <w:tcW w:w="0" w:type="dxa"/>
            <w:vAlign w:val="bottom"/>
          </w:tcPr>
          <w:p>
            <w:pPr>
              <w:spacing w:after="0"/>
              <w:rPr>
                <w:sz w:val="1"/>
                <w:szCs w:val="1"/>
                <w:color w:val="auto"/>
              </w:rPr>
            </w:pPr>
          </w:p>
        </w:tc>
      </w:tr>
      <w:tr>
        <w:trPr>
          <w:trHeight w:val="60"/>
        </w:trPr>
        <w:tc>
          <w:tcPr>
            <w:tcW w:w="24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45"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Nasdaq,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5"/>
          </w:tcPr>
          <w:p>
            <w:pPr>
              <w:jc w:val="right"/>
              <w:ind w:right="88"/>
              <w:spacing w:after="0"/>
              <w:rPr>
                <w:sz w:val="20"/>
                <w:szCs w:val="20"/>
                <w:color w:val="auto"/>
              </w:rPr>
            </w:pPr>
            <w:r>
              <w:rPr>
                <w:rFonts w:ascii="Arial" w:cs="Arial" w:eastAsia="Arial" w:hAnsi="Arial"/>
                <w:sz w:val="13"/>
                <w:szCs w:val="13"/>
                <w:b w:val="1"/>
                <w:bCs w:val="1"/>
                <w:color w:val="auto"/>
                <w:w w:val="86"/>
              </w:rPr>
              <w:t>Year Ended 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76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88"/>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48"/>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57"/>
        </w:trPr>
        <w:tc>
          <w:tcPr>
            <w:tcW w:w="7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6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76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jc w:val="right"/>
              <w:ind w:right="47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64"/>
        </w:trPr>
        <w:tc>
          <w:tcPr>
            <w:tcW w:w="7620" w:type="dxa"/>
            <w:vAlign w:val="bottom"/>
          </w:tcPr>
          <w:p>
            <w:pPr>
              <w:ind w:left="380"/>
              <w:spacing w:after="0"/>
              <w:rPr>
                <w:sz w:val="20"/>
                <w:szCs w:val="20"/>
                <w:color w:val="auto"/>
              </w:rPr>
            </w:pPr>
            <w:r>
              <w:rPr>
                <w:rFonts w:ascii="Arial" w:cs="Arial" w:eastAsia="Arial" w:hAnsi="Arial"/>
                <w:sz w:val="14"/>
                <w:szCs w:val="14"/>
                <w:color w:val="auto"/>
              </w:rPr>
              <w:t>Share-based compensation</w:t>
            </w:r>
          </w:p>
        </w:tc>
        <w:tc>
          <w:tcPr>
            <w:tcW w:w="64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7620" w:type="dxa"/>
            <w:vAlign w:val="bottom"/>
          </w:tcPr>
          <w:p>
            <w:pPr>
              <w:ind w:left="380"/>
              <w:spacing w:after="0"/>
              <w:rPr>
                <w:sz w:val="20"/>
                <w:szCs w:val="20"/>
                <w:color w:val="auto"/>
              </w:rPr>
            </w:pPr>
            <w:r>
              <w:rPr>
                <w:rFonts w:ascii="Arial" w:cs="Arial" w:eastAsia="Arial" w:hAnsi="Arial"/>
                <w:sz w:val="14"/>
                <w:szCs w:val="14"/>
                <w:color w:val="auto"/>
              </w:rPr>
              <w:t>Non-cash restructuring charges</w:t>
            </w:r>
          </w:p>
        </w:tc>
        <w:tc>
          <w:tcPr>
            <w:tcW w:w="64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impairment charge</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20" w:type="dxa"/>
            <w:vAlign w:val="bottom"/>
          </w:tcPr>
          <w:p>
            <w:pPr>
              <w:ind w:left="380"/>
              <w:spacing w:after="0"/>
              <w:rPr>
                <w:sz w:val="20"/>
                <w:szCs w:val="20"/>
                <w:color w:val="auto"/>
              </w:rPr>
            </w:pPr>
            <w:r>
              <w:rPr>
                <w:rFonts w:ascii="Arial" w:cs="Arial" w:eastAsia="Arial" w:hAnsi="Arial"/>
                <w:sz w:val="14"/>
                <w:szCs w:val="14"/>
                <w:color w:val="auto"/>
              </w:rPr>
              <w:t>Net income from unconsolidated investees</w:t>
            </w:r>
          </w:p>
        </w:tc>
        <w:tc>
          <w:tcPr>
            <w:tcW w:w="6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reconciling items included in net income</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Net change in operating assets and liabilities, net of effects of acquisitions:</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Receivables, net</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762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64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expenses</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7620" w:type="dxa"/>
            <w:vAlign w:val="bottom"/>
          </w:tcPr>
          <w:p>
            <w:pPr>
              <w:ind w:left="380"/>
              <w:spacing w:after="0"/>
              <w:rPr>
                <w:sz w:val="20"/>
                <w:szCs w:val="20"/>
                <w:color w:val="auto"/>
              </w:rPr>
            </w:pPr>
            <w:r>
              <w:rPr>
                <w:rFonts w:ascii="Arial" w:cs="Arial" w:eastAsia="Arial" w:hAnsi="Arial"/>
                <w:sz w:val="14"/>
                <w:szCs w:val="14"/>
                <w:color w:val="auto"/>
              </w:rPr>
              <w:t>Section 31 fees payable to SEC</w:t>
            </w:r>
          </w:p>
        </w:tc>
        <w:tc>
          <w:tcPr>
            <w:tcW w:w="64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personnel costs</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762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6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64"/>
        </w:trPr>
        <w:tc>
          <w:tcPr>
            <w:tcW w:w="7620" w:type="dxa"/>
            <w:vAlign w:val="bottom"/>
          </w:tcPr>
          <w:p>
            <w:pPr>
              <w:ind w:left="380"/>
              <w:spacing w:after="0"/>
              <w:rPr>
                <w:sz w:val="20"/>
                <w:szCs w:val="20"/>
                <w:color w:val="auto"/>
              </w:rPr>
            </w:pPr>
            <w:r>
              <w:rPr>
                <w:rFonts w:ascii="Arial" w:cs="Arial" w:eastAsia="Arial" w:hAnsi="Arial"/>
                <w:sz w:val="14"/>
                <w:szCs w:val="14"/>
                <w:color w:val="auto"/>
              </w:rPr>
              <w:t>Net assets held for sale</w:t>
            </w:r>
          </w:p>
        </w:tc>
        <w:tc>
          <w:tcPr>
            <w:tcW w:w="6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1"/>
              </w:rPr>
              <w:t>(252)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64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909</w:t>
            </w: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258"/>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trading securities</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(366)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Proceeds from sales and redemptions of trading securities</w:t>
            </w:r>
          </w:p>
        </w:tc>
        <w:tc>
          <w:tcPr>
            <w:tcW w:w="64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available-for-sale investment securities</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Proceeds from maturities of available-for-sale investment securities</w:t>
            </w:r>
          </w:p>
        </w:tc>
        <w:tc>
          <w:tcPr>
            <w:tcW w:w="64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contribution in equity method investment</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Acquisition of businesses, net of cash and cash equivalents acquired</w:t>
            </w:r>
          </w:p>
        </w:tc>
        <w:tc>
          <w:tcPr>
            <w:tcW w:w="6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1"/>
              </w:rPr>
              <w:t>(776)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(144)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investment activities</w:t>
            </w:r>
          </w:p>
        </w:tc>
        <w:tc>
          <w:tcPr>
            <w:tcW w:w="6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64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(890)</w:t>
            </w: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58"/>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commercial paper, net</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Repayments of long-term debt</w:t>
            </w:r>
          </w:p>
        </w:tc>
        <w:tc>
          <w:tcPr>
            <w:tcW w:w="6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1"/>
              </w:rPr>
              <w:t>(708)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debt extinguishment cost</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Proceeds from utilization of credit commitment, net of debt issuance costs</w:t>
            </w:r>
          </w:p>
        </w:tc>
        <w:tc>
          <w:tcPr>
            <w:tcW w:w="64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issuances of senior unsecured notes, net of debt issuance costs</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Proceeds from issuance of term loan facility</w:t>
            </w:r>
          </w:p>
        </w:tc>
        <w:tc>
          <w:tcPr>
            <w:tcW w:w="64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repurchase of common stock</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(203)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Cash dividends</w:t>
            </w:r>
          </w:p>
        </w:tc>
        <w:tc>
          <w:tcPr>
            <w:tcW w:w="6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1"/>
              </w:rPr>
              <w:t>(243)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received from employee stock activity</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7620" w:type="dxa"/>
            <w:vAlign w:val="bottom"/>
          </w:tcPr>
          <w:p>
            <w:pPr>
              <w:ind w:left="40"/>
              <w:spacing w:after="0"/>
              <w:rPr>
                <w:sz w:val="20"/>
                <w:szCs w:val="20"/>
                <w:color w:val="auto"/>
              </w:rPr>
            </w:pPr>
            <w:r>
              <w:rPr>
                <w:rFonts w:ascii="Arial" w:cs="Arial" w:eastAsia="Arial" w:hAnsi="Arial"/>
                <w:sz w:val="14"/>
                <w:szCs w:val="14"/>
                <w:color w:val="auto"/>
              </w:rPr>
              <w:t>Payments related to employee shares withheld for taxes</w:t>
            </w:r>
          </w:p>
        </w:tc>
        <w:tc>
          <w:tcPr>
            <w:tcW w:w="6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(disbursements) of customer funds</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financing activities</w:t>
            </w:r>
          </w:p>
        </w:tc>
        <w:tc>
          <w:tcPr>
            <w:tcW w:w="6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0"/>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6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w:t>
            </w:r>
          </w:p>
        </w:tc>
        <w:tc>
          <w:tcPr>
            <w:tcW w:w="6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64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6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418</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at end of period</w:t>
            </w:r>
          </w:p>
        </w:tc>
        <w:tc>
          <w:tcPr>
            <w:tcW w:w="640" w:type="dxa"/>
            <w:vAlign w:val="bottom"/>
            <w:shd w:val="clear" w:color="auto" w:fill="CCEEFF"/>
          </w:tcPr>
          <w:p>
            <w:pPr>
              <w:jc w:val="right"/>
              <w:ind w:right="47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Supplemental Disclosure Cash Flow Information</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2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20" w:type="dxa"/>
            <w:vAlign w:val="bottom"/>
          </w:tcPr>
          <w:p>
            <w:pPr>
              <w:ind w:left="380"/>
              <w:spacing w:after="0"/>
              <w:rPr>
                <w:sz w:val="20"/>
                <w:szCs w:val="20"/>
                <w:color w:val="auto"/>
              </w:rPr>
            </w:pPr>
            <w:r>
              <w:rPr>
                <w:rFonts w:ascii="Arial" w:cs="Arial" w:eastAsia="Arial" w:hAnsi="Arial"/>
                <w:sz w:val="14"/>
                <w:szCs w:val="14"/>
                <w:color w:val="auto"/>
              </w:rPr>
              <w:t>Interest</w:t>
            </w:r>
          </w:p>
        </w:tc>
        <w:tc>
          <w:tcPr>
            <w:tcW w:w="64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7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net of refund</w:t>
            </w:r>
          </w:p>
        </w:tc>
        <w:tc>
          <w:tcPr>
            <w:tcW w:w="640" w:type="dxa"/>
            <w:vAlign w:val="bottom"/>
            <w:shd w:val="clear" w:color="auto" w:fill="CCEEFF"/>
          </w:tcPr>
          <w:p>
            <w:pPr>
              <w:jc w:val="right"/>
              <w:ind w:right="47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bl>
    <w:p>
      <w:pPr>
        <w:sectPr>
          <w:pgSz w:w="11900" w:h="16838" w:orient="portrait"/>
          <w:cols w:equalWidth="0" w:num="1">
            <w:col w:w="11040"/>
          </w:cols>
          <w:pgMar w:left="240" w:top="445" w:right="619" w:bottom="0" w:gutter="0" w:footer="0" w:header="0"/>
        </w:sectPr>
      </w:pPr>
    </w:p>
    <w:bookmarkStart w:id="78" w:name="page79"/>
    <w:bookmarkEnd w:id="78"/>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9019"/>
          </w:cols>
          <w:pgMar w:left="1440" w:top="125" w:right="1440" w:bottom="1440" w:gutter="0" w:footer="0" w:header="0"/>
          <w:type w:val="continuous"/>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Nasdaq, Inc. is a leading provider of trading, clearing, marketplace technology, regulatory, securities listing, information and public and private company services. Our global offerings are diverse and include trading and clearing across multiple asset classes, trade management services, data products, financial indexes, capital formation solutions, corporate solutions, and market technology products and services. Our technology powers markets across the globe, supporting equity derivative trading, clearing and settlement, cash equity trading, fixed income trading, trading surveillance and many other functions.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manage, operate and provide our products and services in four business segments: Market Services, Corporate Services, Information Services and Market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Market Services segment includes our Equity Derivative Trading and Clearing, Cash Equity Trading, FICC and Trade Management Services businesses. We operate multiple exchanges and other marketplace facilities across several asset classes, including derivatives, commodities, cash equity, debt, structured products and ETPs. In addition, in some countries where we operate exchanges, we also provide broker services, clearing, settlement and central depository services. 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U.S., we operate six electronic options exchanges and three cash equity exchanges. The Nasdaq Stock Market, the largest of our cash equities exchanges, is the largest single venue of liquidity for trading U.S.-listed cash equities. We also operate an electronic platform for trading of U.S. Treasuries and NFX, a U.S. based designated contract market which lists cash-settled energy derivatives based on key energy benchmarks including oil, natural gas and U.S. power. In addition, we also operate three Canadian markets for the trading of Canadian-listed securities.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Europe, we operate exchanges in Stockholm (Sweden), Copenhagen (Denmark), Helsinki (Finland), and Reykjavik (Iceland), as well as the clearing operations of Nasdaq Clearing. We also operate exchanges in Tallinn (Estonia), Riga (Latvia) and Vilnius (Lithuania) as Nasdaq Baltic. Collectively, Nasdaq Nordic and Nasdaq Baltic offer trading in cash equities, depository receipts, warrants, convertibles, rights, fund units and ETFs, as well as trading and clearing of derivatives and clearing of resale and repurchase agreements.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Nasdaq Commodities is the brand name for Nasdaq’s worldwide suite of commodity-related products and services. Nasdaq Commodities’ offerings include oil, power, natural gas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carbon emission markets, tanker and dry cargo freight, seafood derivatives, iron ore, electricity certificates and clearing services. These products are listed on two of Nasdaq’s derivatives exchanges, Nasdaq Oslo ASA and NFX.</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 our Trade Management Services business, we provide market participants with a wide variety of alternatives for connecting to and accessing our markets via a number of different protocols used for quoting, order entry, trade reporting, DROP functionality and connectivity to various data feeds. We also provide co-location services to market participants, whereby firms may lease cabinet space and power to house their own equipment and servers within our data centers. Our broker services operations offer technology and customized securities administration solutions to financial participants in the Nordic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Services segment includes our Corporate Solutions and Listing Services businesses.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Corporate Solutions business serves corporate clients, including companies listed on our exchanges and private companies. We help organizations manage the two-way flow of information with their key constituents, including their board members and investors, and with clients and the public through our suite of advanced technology, analytics, and consultative services. Our Corporate Solutions business currently offers products to serve the following key areas: investor relations, board &amp; leadership, public relations solutions, and digital media services. As of September 30, 2017, our Public Relations Solutions and Digital Media Services businesses have been classified as held for sale. See Note 5, “Assets and Liabilities Held for Sale,” for further discussion. In January 2018, we announced that we entered into a definitive agreement to sell these businesses. See “Definitive Agreement to Sell our Public Relations Solutions and Digital Media Services Businesses,” of Note 21, “Subsequent Events,” for further discussion.</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Listing Services business includes our U.S. and European Listing Services businesses. We operate a variety of listing platforms around the world to provide multiple global capital raising solutions for private and public companies. Our main listing markets are The Nasdaq Stock Market and the Nasdaq Nordic and Nasdaq Baltic exchanges. Through Nasdaq First North, our Nordic and Baltic operations also offer alternative marketplaces for smaller companies and growth companies. Our Listing Services business also includes NPM, which provides liquidity solutions for private companies.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there were 2,949 total listings on The Nasdaq Stock Market, including 373 ETPs. The combined market capitalization was approximately $11.6 trillion. In Europe, the Nasdaq Nordic and Nasdaq Baltic exchanges, together with Nasdaq First North, were home to 984 listed companies with a combined market capitalization of approximately $1.5 trillion.</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45" w:right="239" w:bottom="1440" w:gutter="0" w:footer="0" w:header="0"/>
          <w:type w:val="continuous"/>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Services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Information Services segment includes our Data Products and our Index Licensing and Services businesses. Our Data Products business sells and distributes historical and real-time quote and trade information to the sell-side, the buy-side, retail online brokers, proprietary trading shops, other venues, internet portals and data distributors. Our data products enhance transparency of market activity within our exchanges and provide critical information to professional and non-professional investors globally.</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Index Licensing and Services business develops and licenses Nasdaq branded indexes, associated derivatives, and financial products and also provides custom calculation services for third-party clients. As of December 31, 2017, we had 324 ETPs licensed to Nasdaq’s indexes which had $167 billion of assets under management.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Market Technology segment is a leading global technology solutions provider and partner to exchanges, clearing organizations, central securities depositories, regulators, banks, brokers and corporate businesses. Our Market Technology business is the sales channel for our complete global offering to other marketplaces.</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Market Technology provides technology solutions for trading, clearing, settlement, surveillance and information dissemination to markets with wide-ranging requirements, from the leading markets in the U.S., Europe and Asia to emerging markets in the Middle East, Latin America, and Africa. Our marketplace solutions can handle a wide array of assets, including cash equities, equity derivatives, currencies, various interest-bearing securities, commodities and energy products, and are currently powering more than 90 marketplaces in 50 countries. Market Technology also provides market surveillance services to broker-dealer firms worldwide, as well as enterprise governance, risk management and compliance software solutions.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consolidated financial statements are prepared in accordance with U.S. GAAP and include 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See “Equity Method Investments,” of Note 7, “Investments,” for further discussion of our equity method investments.</w:t>
      </w:r>
    </w:p>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reflect all adjustments which are, in the opinion of management, necessary for a fair statement of the results. These adjustments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are of a normal recurring nature. All significant intercompany accounts and transactions have been eliminated in consolidation.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taxes are not recorded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loss within stockholders’ equity in the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and cash equivalents include all non-restricted cash in banks and highly liquid investments with original maturities of 90 days or less at the time of purchase. Such equivalent investments included in cash and cash equivalents in the Consolidated Balance Sheets were $183 million as of December 31, 2017 and $251 million as of December 31, 2016. Cash equivalents are carried at cost plus accrued interest, which approximates fair value due to the short maturities of these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restricted cash, which was $22 million as of December 31, 2017 and $15 million as of December 31, 2016, is restricted from withdrawal due to a contractual or regulatory</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5" w:right="239" w:bottom="1440" w:gutter="0" w:footer="0" w:header="0"/>
          <w:type w:val="continuous"/>
        </w:sectPr>
      </w:pPr>
    </w:p>
    <w:bookmarkStart w:id="81" w:name="page82"/>
    <w:bookmarkEnd w:id="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requirement or not available for general use and is classified as restricted cash in the Consolidated Balance Sheets. As of December 31, 2017 and 2016, current restricted cash primarily includes restricted cash held for our trading and clearing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Investments</w:t>
      </w:r>
    </w:p>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Financial investments, at fair value are primarily comprised of trading securities, mainly highly rated European government debt securities. Trading securities are bought principally to meet regulatory capital requirements for Nasdaq Clearing’s operations and are generally sold in the near term. Changes in fair value of trading securities are included in dividend and investment income. Financial investments that are classified as available-for-sale investment securities are carried at fair value with unrealized gains and losses, net of tax, reported in accumulated other comprehensive loss within stockholders’ equity in the Consolidated Balance Sheets.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For financial investments that are classified as available-for-sale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Fair value of both trading and available-for-sale investment securities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“Fair Value Measurements,” below for further discussion of fair value measures.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receivables are concentrated with our member firms, market data distributors, listed companies, corporate solutions and market technology customers. Receivables are shown net of a reserve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provision for bad debts is included in general, administrative and other expense in the Consolidated Statements of Income. The amount charged against operating results is based on several factors including, but not limited to, a continuous assessment of the collectability of each account, the length of time a receivable is past due and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$9 million as of December 31, 2017, $13 million as of December 31, 2016 and $14 million as of December 31, 2015. The changes in the balance between periods was immaterial.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Funds and Margin Deposits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w:t>
      </w:r>
    </w:p>
    <w:p>
      <w:pPr>
        <w:spacing w:after="0" w:line="120" w:lineRule="exact"/>
        <w:rPr>
          <w:sz w:val="20"/>
          <w:szCs w:val="20"/>
          <w:color w:val="auto"/>
        </w:rPr>
      </w:pPr>
    </w:p>
    <w:p>
      <w:pPr>
        <w:ind w:right="1240"/>
        <w:spacing w:after="0" w:line="378" w:lineRule="auto"/>
        <w:rPr>
          <w:sz w:val="20"/>
          <w:szCs w:val="20"/>
          <w:color w:val="auto"/>
        </w:rPr>
      </w:pPr>
      <w:r>
        <w:rPr>
          <w:rFonts w:ascii="Arial" w:cs="Arial" w:eastAsia="Arial" w:hAnsi="Arial"/>
          <w:sz w:val="18"/>
          <w:szCs w:val="18"/>
          <w:b w:val="1"/>
          <w:bCs w:val="1"/>
          <w:color w:val="auto"/>
        </w:rPr>
        <w:t xml:space="preserve">Derivative Financial Instruments and Hedging Activities </w:t>
      </w:r>
      <w:r>
        <w:rPr>
          <w:rFonts w:ascii="Arial" w:cs="Arial" w:eastAsia="Arial" w:hAnsi="Arial"/>
          <w:sz w:val="18"/>
          <w:szCs w:val="18"/>
          <w:b w:val="1"/>
          <w:bCs w:val="1"/>
          <w:i w:val="1"/>
          <w:iCs w:val="1"/>
          <w:color w:val="auto"/>
        </w:rPr>
        <w:t>Non-Designated Derivatives</w:t>
      </w:r>
    </w:p>
    <w:p>
      <w:pPr>
        <w:jc w:val="both"/>
        <w:spacing w:after="0" w:line="259" w:lineRule="auto"/>
        <w:rPr>
          <w:sz w:val="20"/>
          <w:szCs w:val="20"/>
          <w:color w:val="auto"/>
        </w:rPr>
      </w:pPr>
      <w:r>
        <w:rPr>
          <w:rFonts w:ascii="Arial" w:cs="Arial" w:eastAsia="Arial" w:hAnsi="Arial"/>
          <w:sz w:val="18"/>
          <w:szCs w:val="18"/>
          <w:color w:val="auto"/>
        </w:rPr>
        <w:t>We use derivatives as economic hedges that are not designed as accounting hedges or do not qualify for hedge accounting treatment. For such derivative financial instruments, changes in fair value are reported in current period earnings.</w:t>
      </w:r>
    </w:p>
    <w:p>
      <w:pPr>
        <w:spacing w:after="0" w:line="13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We use foreign exchange forward contracts to manage foreign currency exposure of intercompany loans. These contracts are not designated as hedges for financial reporting purposes. The change in fair value of these contracts is recognized in general, administrative and other expense in the Consolidated Statements of Income and offsets the foreign currency impact recognized on the intercompany loans.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and 2016, the fair value amounts of our derivative instruments were immaterial.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2021 and 2023 Notes have been designated as a hedge of our net investment in certain foreign subsidiaries to mitigate</w:t>
      </w:r>
    </w:p>
    <w:p>
      <w:pPr>
        <w:spacing w:after="0" w:line="197"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45" w:right="239" w:bottom="1440" w:gutter="0" w:footer="0" w:header="0"/>
          <w:type w:val="continuous"/>
        </w:sectPr>
      </w:pPr>
    </w:p>
    <w:bookmarkStart w:id="82" w:name="page83"/>
    <w:bookmarkEnd w:id="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foreign exchange risk associated with certain investments in these subsidiaries. Any increase or decrease related to the remeasurement of the 2021 and 2023 Notes into U.S. dollars is recorded within accumulated other comprehensive loss in the Consolidated Balance Sheets. See “3.875% Senior Unsecured Notes,” and “1.75% Senior Unsecured Notes,” of Note 10, “Debt Obligations,” for further discussion.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and equipment, including leasehold improvements, are carried at cost less accumulated depreciation and amortization. Depreciation and amortization are recognized using the straight-line method over the estimated useful lives of the related assets, which range from 10 to 40 years for buildings and improvements, 2 to 5 years for data processing equipment, and 5 to 10 years for furniture and equipment.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develop systems solutions for both internal and external use. Certain costs incurred in connection with developing or obtaining internal use software are capitalized. In addition,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detailed program design or, in its absence, completion. Prior to reaching technological feasibility, all costs are charged to expense. Unamortized capitalized costs are included in data processing equipment and software, within property and equipment, net in the Consolidated Balance Sheets. Capitalized software costs are amortized on a straight-line basis over the estimated useful lives of the software, generally 3 to 5 years. Amortization of these costs is included in depreciation and amortization expense in the Consolidated Statements of Income.</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Leasehold improvements are amortized using the straight-line method over the shorter of their estimated useful lives or the remaining term of the related lease.</w:t>
      </w:r>
    </w:p>
    <w:p>
      <w:pPr>
        <w:spacing w:after="0" w:line="73" w:lineRule="exact"/>
        <w:rPr>
          <w:sz w:val="20"/>
          <w:szCs w:val="20"/>
          <w:color w:val="auto"/>
        </w:rPr>
      </w:pPr>
    </w:p>
    <w:p>
      <w:pPr>
        <w:ind w:right="800"/>
        <w:spacing w:after="0" w:line="431" w:lineRule="auto"/>
        <w:rPr>
          <w:sz w:val="20"/>
          <w:szCs w:val="20"/>
          <w:color w:val="auto"/>
        </w:rPr>
      </w:pPr>
      <w:r>
        <w:rPr>
          <w:rFonts w:ascii="Arial" w:cs="Arial" w:eastAsia="Arial" w:hAnsi="Arial"/>
          <w:sz w:val="17"/>
          <w:szCs w:val="17"/>
          <w:color w:val="auto"/>
        </w:rPr>
        <w:t xml:space="preserve">See Note 8, “Property and Equipment, net,” for further discussion. </w:t>
      </w:r>
      <w:r>
        <w:rPr>
          <w:rFonts w:ascii="Arial" w:cs="Arial" w:eastAsia="Arial" w:hAnsi="Arial"/>
          <w:sz w:val="17"/>
          <w:szCs w:val="17"/>
          <w:b w:val="1"/>
          <w:bCs w:val="1"/>
          <w:color w:val="auto"/>
        </w:rPr>
        <w:t>Goodwill and Indefinite-Lived Intangible Assets</w:t>
      </w:r>
    </w:p>
    <w:p>
      <w:pPr>
        <w:jc w:val="both"/>
        <w:spacing w:after="0" w:line="287" w:lineRule="auto"/>
        <w:rPr>
          <w:sz w:val="20"/>
          <w:szCs w:val="20"/>
          <w:color w:val="auto"/>
        </w:rPr>
      </w:pPr>
      <w:r>
        <w:rPr>
          <w:rFonts w:ascii="Arial" w:cs="Arial" w:eastAsia="Arial" w:hAnsi="Arial"/>
          <w:sz w:val="16"/>
          <w:szCs w:val="16"/>
          <w:color w:val="auto"/>
        </w:rPr>
        <w:t>Goodwill represents the excess of purchase price over the value assigned to the net assets, including identifiable intangible assets, of a business acquired. Goodwill is assessed for impairment annually in the fourth quarter of our fiscal year using an October 1 measurement date, or more frequently if conditions exist that indicate that the asset may be impaired, such as changes in the business climate, poor indicators of operating performance or the sale or disposition of a significant portion of a reporting unit. 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a qualitative assessment, we consider the extent to which</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unfavorable events or circumstances identified, such as changes in economic conditions, industry and market conditions or company specific events, could affect the comparison of the reporting unit’s fair value with its carrying amount. If we choose not to complete a qualitative assessment for a given reporting unit, or if the initial assessment indicates that it is more likely than not that the carrying amount of a reporting unit exceeds its estimated fair value, a quantitative test is required.</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assessing goodwill for impairment, our decision to perform a qualitative impairment assessment for a reporting unit in a given year is influenced by a number of factors, including but not limited to, the size of the reporting unit’s goodwill, the significance of the excess of the reporting unit’s estimated fair value over its carrying amount at the last quantitative assessment date, and the amount of time in between quantitative fair value assessments.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quantitative goodwill test consists of two steps:</w:t>
      </w:r>
    </w:p>
    <w:p>
      <w:pPr>
        <w:spacing w:after="0" w:line="63" w:lineRule="exact"/>
        <w:rPr>
          <w:sz w:val="20"/>
          <w:szCs w:val="20"/>
          <w:color w:val="auto"/>
        </w:rPr>
      </w:pPr>
    </w:p>
    <w:p>
      <w:pPr>
        <w:jc w:val="both"/>
        <w:ind w:left="340" w:hanging="332"/>
        <w:spacing w:after="0" w:line="264"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first step compares the fair value of each reporting unit with its carrying amount, including goodwill. If the reporting unit’s fair value exceeds its carrying amount, goodwill is not impaired.</w:t>
      </w:r>
    </w:p>
    <w:p>
      <w:pPr>
        <w:spacing w:after="0" w:line="19"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fair value of a reporting unit is less than its carrying amount, the second step of the goodwill test is performed to measure the amount of impairment, if any. An impairment is equal to the excess of the carrying amount of goodwill over its fair value.</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also evaluate indefinite-lived intangible assets for impairment annually in the fourth quarter of our fiscal year using an October 1 measurement date, or more frequently whenever events or changes in circumstances indicate that the fair value of the asset may be less than its carrying amount. </w:t>
      </w:r>
      <w:r>
        <w:rPr>
          <w:rFonts w:ascii="Arial" w:cs="Arial" w:eastAsia="Arial" w:hAnsi="Arial"/>
          <w:sz w:val="16"/>
          <w:szCs w:val="16"/>
          <w:color w:val="252525"/>
        </w:rPr>
        <w:t>Such</w:t>
      </w:r>
      <w:r>
        <w:rPr>
          <w:rFonts w:ascii="Arial" w:cs="Arial" w:eastAsia="Arial" w:hAnsi="Arial"/>
          <w:sz w:val="16"/>
          <w:szCs w:val="16"/>
          <w:color w:val="auto"/>
        </w:rPr>
        <w:t xml:space="preserve"> </w:t>
      </w:r>
      <w:r>
        <w:rPr>
          <w:rFonts w:ascii="Arial" w:cs="Arial" w:eastAsia="Arial" w:hAnsi="Arial"/>
          <w:sz w:val="16"/>
          <w:szCs w:val="16"/>
          <w:color w:val="252525"/>
        </w:rPr>
        <w:t xml:space="preserve">evaluation includes determining the fair value of the asset and comparing the fair value of the asset with its carrying </w:t>
      </w:r>
      <w:r>
        <w:rPr>
          <w:rFonts w:ascii="Arial" w:cs="Arial" w:eastAsia="Arial" w:hAnsi="Arial"/>
          <w:sz w:val="16"/>
          <w:szCs w:val="16"/>
          <w:color w:val="000000"/>
        </w:rPr>
        <w:t>amount</w:t>
      </w:r>
      <w:r>
        <w:rPr>
          <w:rFonts w:ascii="Arial" w:cs="Arial" w:eastAsia="Arial" w:hAnsi="Arial"/>
          <w:sz w:val="16"/>
          <w:szCs w:val="16"/>
          <w:color w:val="252525"/>
        </w:rPr>
        <w:t xml:space="preserve">. If the fair value of the indefinite-lived intangible asset is less than its carrying </w:t>
      </w:r>
      <w:r>
        <w:rPr>
          <w:rFonts w:ascii="Arial" w:cs="Arial" w:eastAsia="Arial" w:hAnsi="Arial"/>
          <w:sz w:val="16"/>
          <w:szCs w:val="16"/>
          <w:color w:val="000000"/>
        </w:rPr>
        <w:t>amount</w:t>
      </w:r>
      <w:r>
        <w:rPr>
          <w:rFonts w:ascii="Arial" w:cs="Arial" w:eastAsia="Arial" w:hAnsi="Arial"/>
          <w:sz w:val="16"/>
          <w:szCs w:val="16"/>
          <w:color w:val="252525"/>
        </w:rPr>
        <w:t>, an impairment charge is recognized in an amount equal to the difference.</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indefinite-lived intangible assets impairment testing, we also have the option to first perform a qualitative assessment to determine whether it is more likely than not that the fair value of an indefinite-lived intangible asset is less than the carrying amount. If, after assessing the totality of events or circumstances, we determine that it is more likely than not that the fair value of an indefinite-lived intangible asset is less than its carrying amount, then we must perform additional testing of the asset. Otherwise, we conclude that no impairment is indicated and further testing is not performed.</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was no impairment of goodwill for the years ended December 31, 2017, 2016 and 2015 and there were no indefinite-lived intangible asset impairment charges in 2017. As discussed in “Intangible Asset Impairment Charges,” of Note 6, “Goodwill and Acquired Intangible Assets,” we recorded pre-tax, non-cash indefinite-lived intangible asset impairment charges of $578 million in 2016 and $119 million in 2015. There was no other impairment of indefinite-lived intangible assets for the years ended December 31, 2016 and</w:t>
      </w:r>
    </w:p>
    <w:p>
      <w:pPr>
        <w:spacing w:after="0" w:line="21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445" w:right="239" w:bottom="1440" w:gutter="0" w:footer="0" w:header="0"/>
          <w:type w:val="continuous"/>
        </w:sectPr>
      </w:pPr>
    </w:p>
    <w:bookmarkStart w:id="83" w:name="page84"/>
    <w:bookmarkEnd w:id="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2015. Disruptions to our business and events, such as economic weakness or unexpected significant declines in the operating results of any of our reporting units or businesses, may result in goodwill or indefinite-lived intangible asset impairment charges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Long-Lived Assets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review our other long-lived assets, such as finite-lived intangible assets and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Any required impairment loss is measured as the amount by which the carrying amount of the asset exceeds its fair value and is recorded as a reduction in the carrying amount of the related asset and a charge to operating results. See Note 8, “Property and Equipment, net,” for further discussion of property and equipment asset impairment charges recorded in 2017, 2016 and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general, the equity method of accounting is used when we own 20% to 50% of the outstanding voting stock of a company and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the financial statements as an impairment. See “Equity Method Investments,” of Note 7, “Investments,” for further discussion of an other-than-temporary charge recorded in 2016 on an equity method investment.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general, the cost method of accounting is used when we own less than 20% of the outstanding voting stock of a company which does not have a readily determinable fair value and when we are not able to exercise significant influence over the operating and financial policies of a company. Under the cost method of accounting, investments are carried at cost and are adjusted only for other-than-temporary declines in fair value, certain distributions, and additional investments. We evaluate our cost method investments for other-than-temporary declines in value by considering a variety of factors such as the earnings capacity of the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right="1400"/>
        <w:spacing w:after="0" w:line="409" w:lineRule="auto"/>
        <w:rPr>
          <w:sz w:val="20"/>
          <w:szCs w:val="20"/>
          <w:color w:val="auto"/>
        </w:rPr>
      </w:pPr>
      <w:r>
        <w:rPr>
          <w:rFonts w:ascii="Arial" w:cs="Arial" w:eastAsia="Arial" w:hAnsi="Arial"/>
          <w:sz w:val="18"/>
          <w:szCs w:val="18"/>
          <w:b w:val="1"/>
          <w:bCs w:val="1"/>
          <w:color w:val="auto"/>
        </w:rPr>
        <w:t xml:space="preserve">Revenue Recognition and Transaction-Based Expenses </w:t>
      </w:r>
      <w:r>
        <w:rPr>
          <w:rFonts w:ascii="Arial" w:cs="Arial" w:eastAsia="Arial" w:hAnsi="Arial"/>
          <w:sz w:val="18"/>
          <w:szCs w:val="18"/>
          <w:b w:val="1"/>
          <w:bCs w:val="1"/>
          <w:i w:val="1"/>
          <w:iCs w:val="1"/>
          <w:color w:val="auto"/>
        </w:rPr>
        <w:t>Market Services Revenues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services revenues include equity derivative trading and clearing revenues, cash equity trading revenues, FICC revenues, and trade management services revenues.</w:t>
      </w:r>
    </w:p>
    <w:p>
      <w:pPr>
        <w:spacing w:after="0" w:line="127" w:lineRule="exact"/>
        <w:rPr>
          <w:sz w:val="20"/>
          <w:szCs w:val="20"/>
          <w:color w:val="auto"/>
        </w:rPr>
      </w:pPr>
    </w:p>
    <w:p>
      <w:pPr>
        <w:ind w:right="140"/>
        <w:spacing w:after="0" w:line="438" w:lineRule="auto"/>
        <w:rPr>
          <w:sz w:val="20"/>
          <w:szCs w:val="20"/>
          <w:color w:val="auto"/>
        </w:rPr>
      </w:pPr>
      <w:r>
        <w:rPr>
          <w:rFonts w:ascii="Arial" w:cs="Arial" w:eastAsia="Arial" w:hAnsi="Arial"/>
          <w:sz w:val="18"/>
          <w:szCs w:val="18"/>
          <w:u w:val="single" w:color="auto"/>
          <w:color w:val="auto"/>
        </w:rPr>
        <w:t xml:space="preserve">Equity Derivative Trading and Clearing and Cash Equity Trading Revenues </w:t>
      </w:r>
      <w:r>
        <w:rPr>
          <w:rFonts w:ascii="Arial" w:cs="Arial" w:eastAsia="Arial" w:hAnsi="Arial"/>
          <w:sz w:val="18"/>
          <w:szCs w:val="18"/>
          <w:i w:val="1"/>
          <w:iCs w:val="1"/>
          <w:color w:val="auto"/>
        </w:rPr>
        <w:t>Equity Derivative Trading and Clearing Revenues</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our equity derivative markets, we earn trading and clearing revenues which are variable. In the U.S., trading revenues are based on traded volumes, and recognized when executed. The principal types of equity derivative contracts traded are equity options, ETF options, index options and foreign currency options. In the U.S., we record execution revenues from transactions on a gross basis as revenues and record related expenses as transaction-based expenses, as we have certain risk associated with trade execution. See “Equity Derivative Trading and Clearing and Cash Equity Trading Transaction-Based Expenses” below for further discussion.</w:t>
      </w:r>
    </w:p>
    <w:p>
      <w:pPr>
        <w:spacing w:after="0" w:line="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Europe, equity derivative trading and clearing revenues are based on the volume and value of traded and cleared contracts, and recognized when executed or when contracts are cleared. The principal types of equity derivative contracts traded and cleared are stock options and futures and index options and futures.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Equity Trading Revenues</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U.S. cash equity trading revenues are variable, based on individual customer share volumes, and recognized as transactions occur. We charge transaction fees for executing cash equity trades in Nasdaq-listed and other listed securities on our U.S. cash equity exchanges, as well as on orders that are routed to and executed on other market venues for execution. Similar to U.S. equity derivative trading and clearing, we record cash equity trading revenues from transactions on a gross basis as revenues and record related expenses as transaction-based expenses, as we have certain risk associated with trade execution. For further discussion see “Equity Derivative Trading and Clearing and Cash Equity Trading Transaction-Based Expenses” below.</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European cash equity markets, we charge transaction fees for executing trades on the exchanges that comprise Nasdaq Nordic and Nasdaq Baltic. These transaction fees are charged per executed order and as per value traded.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Equity Derivative Trading and Clearing and Cash Equity Trading Transaction-Based Expenses</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U.S. equity derivative trading, we credit a portion of the per share execution charge to the market participant that provides the liquidity. For U.S. cash equity trading, for Nasdaq and Nasdaq PSX, we credit a portion of the per share execution charge to the market participant that provides the liquidity and for Nasdaq BX, we credit a portion of the per share execution charge to the market participant that takes the liquidity. We</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445" w:right="239" w:bottom="1440" w:gutter="0" w:footer="0" w:header="0"/>
          <w:type w:val="continuous"/>
        </w:sectPr>
      </w:pPr>
    </w:p>
    <w:bookmarkStart w:id="84" w:name="page85"/>
    <w:bookmarkEnd w:id="8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5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record these credits as transaction rebates that are included in transaction-based expense in the Consolidated Statements of Income. These transaction rebates are paid on a monthly basis and the amounts due are included in accounts payable and accrued expenses in the Consolidated Balance Sheets.</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U.S., we pay Section 31 fees to the SEC for supervision and regulation of securities markets. We pass these costs along to our customers through our equity derivative trading and clearing fees and our cash equity trading fees. We collect the fees as a pass-through charge from organizations executing eligible trades on our options exchanges and our cash equity platforms and we recognize these amounts in transaction-based expenses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spacing w:after="0" w:line="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our Limitation of Liability Rule and procedures, we may, subject to certain caps, provide compensation for losses directly resulting from the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exchanges that comprise Nasdaq Nordic and Nasdaq Baltic do not have any revenue sharing agreements or transaction-based expenses, such as transaction rebates and brokerage, clearance and exchange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FICC Revenues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Fixed income trading revenues are primarily earned from trading of U.S. Treasury securities and other fixed income products. Customer contracts may be on a fixed or variable rate basis. Revenues from customer contracts with a fixed rate basis are recognized ratably over the contract period. Revenues from customer contracts with a variable rate basis are based upon individual customer share volume and are recognized as revenues as the transaction occurs. Commodities trading and clearing revenues are primarily earned from trading and clearing of energy, emission allowance, freight, seafood and other commodity products. Trading and clearing revenues are based on the volume and value of traded and cleared contracts, and recognized when executed or when contracts are cleared. In addition, Nasdaq Commodities members are billed an annual fee which is recognized ratably over the following 12-month period.</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generate clearing revenues for OTC traded derivatives, interest rate swaps, and resale and repurchase agreements. These clearing revenues are based on the value and length of</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contract and are recognized when cleared. In connection with our collateral management process in our Nasdaq Clearing operations, we recognize interest income on cash contributions that we manage when earned.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Management Services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generate revenues by providing market participants with several alternatives for connecting to and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cabinet space and power to house their own equipment and servers within our data centers. These participants are charged monthly fees for cabinet space, connectivity and support. Additionally, we offer a number of wireless connectivity routes between select data centers using millimeter wave and microwave technology. We also earn revenues from annual and monthly exchange membership and registration fees. Revenues for providing access to our markets, co-location services and monthly exchange membership and registration fees are recognized on a monthly basis as the service is provided. Revenues from annual fees for exchange membership and registration fees are recognized ratably over the following 12-month period.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 Services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broker services operations offer technology and customized securities administration solutions to financial participants in the Nordic market. The primary services offered are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Services Revenues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services revenues include corporate solutions revenues and listing services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Solutions Revenues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Corporate solutions revenues primarily include subscription and transaction-based income from our investor relations, board &amp; leadership, public relations solutions, and digital media services products. Subscription-based revenues earned are recognized ratably over the contract period, generally one to two years in length. As part of the subscription agreements, customers can also be charged usage fees based upon actual usage of the services provided. Revenues from usage fees and other services are recognized when earned. Revenues from transaction-based services, such as webcasting and wire distribution, are recorded as the services are provided and delivered.</w:t>
      </w:r>
    </w:p>
    <w:p>
      <w:pPr>
        <w:spacing w:after="0" w:line="194"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445" w:right="239" w:bottom="1440" w:gutter="0" w:footer="0" w:header="0"/>
          <w:type w:val="continuous"/>
        </w:sectPr>
      </w:pPr>
    </w:p>
    <w:bookmarkStart w:id="85" w:name="page86"/>
    <w:bookmarkEnd w:id="8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Listing Services Revenues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Listing services revenues primarily include annual renewal fees, initial listing fees and listing of additional shares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Renewal Fees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U.S., annual renewal fees are charged based on the number of outstanding shares of companies listed in the U.S. at the end of the prior year and are recognized ratably over the following 12-month period. European annual renewal fees, which are received from companies listed on our Nasdaq Nordic and Nasdaq Baltic exchanges and Nasdaq First North, are directly related to the listed companies’ market capitalization on a trailing 12-month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Listing Fees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Initial listing fees are generally based on the number of shares that a company initially lists and are recognized on a straight-line basis over estimated service periods of six years, based on our historical listing experience and projected future listing duration.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of Additional Shares Fees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Listing of additional shares fees are paid by listed companies in connection with corporate actions involving the issuance of new shares to be listed, such as stock splits and sales of additional securities. These fees are recognized on a straight-line basis over estimated service periods of four years, based on our historical listing experience and projected future listing duration.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Listing of additional share fees have been phased out effective January 2018 as a result of our all-inclusive annual listing fee program for our U.S. markets. See “All-Inclusive Annual Listing Fee Program” below for further discussion.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All-Inclusive Annual Listing Fee Program</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Nasdaq announced an all-inclusive annual listing fee program for companies listed in the U.S. which became effective in 2015. Under this program, listed companies pay an annual fee which includes all listing-related activities, including listing of additional shares. All listed companies are subject to the all-inclusive program effective January 2018. These revenues are recognized ratably over the following 12-month period.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recognition for our Listing Services business was impacted due to the adoption of ASU 2014-09, “Revenue from Contracts with Customers.” See “Recent Accounting Pronouncements,” of Note 2, “Summary of Significant Accounting Policies,” for further discussion.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Services Revenues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services revenues include data products revenues and index licensing and services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Products Revenues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products revenues are earned from U.S. and European proprietary data products and index data products. In the U.S., we also earn revenues from U.S. tape plans.</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collect, process and create information from our exchanges and earn revenues as a distributor of our own data, as well as select, third-party content. We provide varying levels of quote and trade information to our customers, who in turn sell subscriptions for this information. In 2017, we expanded our offering through the acquisition of eVestment, a leading data and analytics provider to the asset management industry. We earn revenues primarily based on the number of data subscribers and distributors of our data. Data products revenues are subscription-based and are recognized on a monthly basis net of amounts due under revenue sharing arrangements with market participants.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generate revenues from our Nasdaq indexes that consist of Global Index Data Services, which delivers real-time index values throughout the trading day, and Global Index Watch/Global Index File Delivery Service, which delivers weightings and components data, corporate actions and a breadth of additional data. We earn revenues primarily based on the number of data subscribers and distributors of our data. These revenues, which are subscription based, are recognized on a monthly basis.</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Revenues from U.S. tape plans include eligible UTP Plan revenues that are shared among UTP Plan participants and are presented on a net basis. The Nasdaq Stock Market acts as the processor and administrator for the UTP Plan. The UTP Plan administrator sells quotation and last sale information for all transactions in Nasdaq-listed securities, whether traded on The Nasdaq Stock Market or other exchanges, to market participants and to data distributors, who then provide the information to subscribers. After deducting costs, as permitted under the revenue sharing provision of the UTP Plan, the UTP Plan administrator distributes the tape revenues to the respective UTP Plan participants, including The Nasdaq Stock Market, Nasdaq BX and Nasdaq PSX, based on a formula required by Regulation NMS that takes into account both trading and quoting activity. In addition, much like Nasdaq-listed securities, all quotes and trades in NYSE- and NYSE American-listed securities are reported and disseminated in real-time, and as such, we share in the tape revenues for information on NYSE- and NYSE American-listed securities. Revenues from net U.S. tape plans are recognized on a monthly basis.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Products Revenue Sharing</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most significant component of data products revenues recorded on a net basis is the UTP Plan revenue sharing in the U.S. All indicators of gross versus net reporting under U.S. GAAP have been considered in analyzing the appropriate presentation of UTP Plan revenue sharing. However, the following are the primary indicators of net reporting:</w:t>
      </w:r>
    </w:p>
    <w:p>
      <w:pPr>
        <w:spacing w:after="0" w:line="37"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ind w:left="6160" w:hanging="332"/>
        <w:spacing w:after="0" w:line="277" w:lineRule="auto"/>
        <w:tabs>
          <w:tab w:leader="none" w:pos="6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Primary Obligor: We are the administrator for the UTP Plan, in addition to being a participant in the UTP Plan.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45" w:right="239" w:bottom="1440" w:gutter="0" w:footer="0" w:header="0"/>
          <w:type w:val="continuous"/>
        </w:sectPr>
      </w:pPr>
    </w:p>
    <w:bookmarkStart w:id="86" w:name="page87"/>
    <w:bookmarkEnd w:id="8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ind w:left="340"/>
        <w:spacing w:after="0" w:line="329" w:lineRule="auto"/>
        <w:rPr>
          <w:sz w:val="20"/>
          <w:szCs w:val="20"/>
          <w:color w:val="auto"/>
        </w:rPr>
      </w:pPr>
      <w:r>
        <w:rPr>
          <w:rFonts w:ascii="Arial" w:cs="Arial" w:eastAsia="Arial" w:hAnsi="Arial"/>
          <w:sz w:val="17"/>
          <w:szCs w:val="17"/>
          <w:color w:val="auto"/>
        </w:rPr>
        <w:t>our unique role as administrator, we facilitate the collection and dissemination of revenues on behalf of the UTP Plan participants. As a participant, we share in the net distribution of revenues according to the plan on the same terms as all other plan participants.</w:t>
      </w:r>
    </w:p>
    <w:p>
      <w:pPr>
        <w:spacing w:after="0" w:line="9" w:lineRule="exact"/>
        <w:rPr>
          <w:sz w:val="20"/>
          <w:szCs w:val="20"/>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35"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exchanges that comprise Nasdaq Nordic and Nasdaq Baltic do not have any data products revenue sharing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Index Licensing and Services Revenues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develop and license Nasdaq branded indexes, associated derivatives and financial products as part of our Global Index Family. We also provide custom calculation services for third-party clients. Revenues primarily include license fees from these branded indexes, associated derivatives and financial products in the U.S. and abroad.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recognized over the term of the license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Market Technology provides technology solutions for trading, clearing, settlement, surveillance and information dissemination, as well as enterprise governance, risk management and compliance software solutions. Revenues primarily consist of software, license and support revenues, change request and advisory revenues, and software as a service revenues.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most solutions, we enter into multiple-element sales arrangements to develop technology solutions, license the right to use software, and provide post-contract support and other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the final element of the arrangement or the entire term of the arrangement for which the services will be delivered.</w:t>
      </w:r>
    </w:p>
    <w:p>
      <w:pPr>
        <w:spacing w:after="0" w:line="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enter into agreements to modify the system solutions sold by Nasdaq after delivery has occurred. These revenues are recognized when earned.</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enter into revolving subscription agreements which allow customers to connect to our servers to access certain services. These revenues are recognized ratably over the subscription term.</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recognition for our Market Technology business was impacted due to the adoption of ASU 2014-09, “Revenue from Contracts with Customers.” See “Recent Accounting Pronouncements,” of Note 2, “Summary of Significant Accounting Policies,” for further discussion.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present both basic and diluted earnings per share. Basic earnings per share is computed by dividing net income attributable to Nasdaq by the weighted-average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15, “Earnings Per Share,” for further discussion.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 healthcare cost trend rate, retirement age assumption, our historical assumptions compared with actual results and analysis of current market conditions and asset allocations. See Note 12, “Retirement Plans,” for further discussion.</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expected rate of return on plan assets for our U.S. pension plans represents our long-term assessment of return expectations which may change based on significant shifts in economic and financial market conditions. The long-term rate</w:t>
      </w:r>
    </w:p>
    <w:p>
      <w:pPr>
        <w:spacing w:after="0" w:line="207"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445" w:right="239" w:bottom="1440" w:gutter="0" w:footer="0" w:header="0"/>
          <w:type w:val="continuous"/>
        </w:sectPr>
      </w:pPr>
    </w:p>
    <w:bookmarkStart w:id="87" w:name="page88"/>
    <w:bookmarkEnd w:id="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Nasdaq uses the fair value method of accounting for share-based awards. Share-based awards, or equity awards, include stock options, restricted stock, and PSUs. The fair value of stock options are estimated using the Black-Scholes option-pricing model. The fair value of restricted stock awards and PSUs, other than PSUs granted with market conditions, is determined based on the grant date closing stock price less the present value of future cash dividends. We estimate the fair value of PSUs granted with market conditions using a Monte Carlo simulation model at the date of grant.</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recognize compensation expense for equity awards on a straight-line basis over the requisite service period of the award, taking into account an estimated forfeiture rate.</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Excess tax benefits or expense related to employee share-based payments, if any, are recognized as income tax benefit or expense in the Consolidated Statements of Income when the awards vest or are settled.</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Nasdaq also has an ESPP that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13, “Share-Based Compensation,” for further discussion of our share-based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expense rent from non-cancellable operating leases, net of sublease income, on a straight line basis, based on future minimum lease payments. The net costs are included in occupancy expense in the Consolidated Statements of Income. See Note 18, “Leases,”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 techniques are observable or unobservable. Observable inputs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reflect market data obtained from independent sources, while unobservable inputs reflect Nasdaq’s market assumptions. These two types of inputs create the following fair value hierarchy:</w:t>
      </w:r>
    </w:p>
    <w:p>
      <w:pPr>
        <w:spacing w:after="0" w:line="46"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Level 1—Quoted prices for identical instruments in active markets.</w:t>
      </w:r>
    </w:p>
    <w:p>
      <w:pPr>
        <w:spacing w:after="0" w:line="101"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1" w:lineRule="exact"/>
        <w:rPr>
          <w:rFonts w:ascii="Arial" w:cs="Arial" w:eastAsia="Arial" w:hAnsi="Arial"/>
          <w:sz w:val="18"/>
          <w:szCs w:val="18"/>
          <w:color w:val="auto"/>
        </w:rPr>
      </w:pPr>
    </w:p>
    <w:p>
      <w:pPr>
        <w:ind w:right="80" w:firstLine="8"/>
        <w:spacing w:after="0" w:line="421" w:lineRule="auto"/>
        <w:tabs>
          <w:tab w:leader="none" w:pos="3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Level 3—Instruments whose significant value drivers are unobservable. This hierarchy requires the use of observable market data when available. See Note 16, “Fair Value of Financial Instruments,” for further discussion.</w:t>
      </w:r>
    </w:p>
    <w:p>
      <w:pPr>
        <w:spacing w:after="0"/>
        <w:rPr>
          <w:sz w:val="20"/>
          <w:szCs w:val="20"/>
          <w:color w:val="auto"/>
        </w:rPr>
      </w:pPr>
      <w:r>
        <w:rPr>
          <w:rFonts w:ascii="Arial" w:cs="Arial" w:eastAsia="Arial" w:hAnsi="Arial"/>
          <w:sz w:val="18"/>
          <w:szCs w:val="18"/>
          <w:b w:val="1"/>
          <w:bCs w:val="1"/>
          <w:color w:val="auto"/>
        </w:rPr>
        <w:t>Tax Matters</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the asset and liability method to determine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Tax Cuts and Jobs Act was enacted on December 22, 2017. We are required to recognize the effect of the tax law changes in the period of enactment, such as remeasuring our U.S. deferred tax assets and liabilities, reassessing the net realizability of deferred tax assets and liabilities, and determining the applicability of the one-time mandatory transition tax on accumulated foreign earnings. SAB 118 has provided guidance which allows us to record provisional amounts during a measurement period not to extend beyond one year of the enactment date. As of December 31, 2017, we have recorded a provisional estimate of the effects of the new legislation. We will continue to analyze the Tax Cuts and Jobs Act and related accounting guidance and interpretations in order to finalize any impacts within the measurement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See Note 11, “Income Taxes,” for further discussion.</w:t>
      </w:r>
    </w:p>
    <w:p>
      <w:pPr>
        <w:spacing w:after="0" w:line="1084"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45"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980" w:type="dxa"/>
            <w:vAlign w:val="bottom"/>
            <w:tcBorders>
              <w:top w:val="single" w:sz="8" w:color="auto"/>
              <w:left w:val="single" w:sz="8" w:color="auto"/>
              <w:right w:val="single" w:sz="8" w:color="auto"/>
            </w:tcBorders>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320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 on the Financial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Accounting Standard</w:t>
            </w:r>
          </w:p>
        </w:tc>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32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Effective Date</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Statements or Other</w:t>
            </w: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99"/>
              </w:rPr>
              <w:t>Compensation - Stock</w:t>
            </w:r>
          </w:p>
        </w:tc>
        <w:tc>
          <w:tcPr>
            <w:tcW w:w="2960" w:type="dxa"/>
            <w:vAlign w:val="bottom"/>
          </w:tcPr>
          <w:p>
            <w:pPr>
              <w:ind w:left="20"/>
              <w:spacing w:after="0"/>
              <w:rPr>
                <w:sz w:val="20"/>
                <w:szCs w:val="20"/>
                <w:color w:val="auto"/>
              </w:rPr>
            </w:pPr>
            <w:r>
              <w:rPr>
                <w:rFonts w:ascii="Arial" w:cs="Arial" w:eastAsia="Arial" w:hAnsi="Arial"/>
                <w:sz w:val="18"/>
                <w:szCs w:val="18"/>
                <w:color w:val="auto"/>
                <w:w w:val="98"/>
              </w:rPr>
              <w:t>This ASU involves several aspects of</w:t>
            </w: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the accounting for share-based payment</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We adopted this</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1"/>
              </w:rPr>
              <w:t>The adoption resulted in</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5"/>
              </w:rPr>
              <w:t>transactions, including the income tax consequences, classification of awards as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rPr>
              <w:t>standard on</w:t>
            </w: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Compensation</w:t>
            </w:r>
          </w:p>
        </w:tc>
        <w:tc>
          <w:tcPr>
            <w:tcW w:w="6160" w:type="dxa"/>
            <w:vAlign w:val="bottom"/>
            <w:tcBorders>
              <w:right w:val="single" w:sz="8" w:color="auto"/>
            </w:tcBorders>
            <w:gridSpan w:val="2"/>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recognition of</w:t>
            </w: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continue"/>
          </w:tcPr>
          <w:p>
            <w:pPr>
              <w:spacing w:after="0"/>
              <w:rPr>
                <w:sz w:val="15"/>
                <w:szCs w:val="15"/>
                <w:color w:val="auto"/>
              </w:rPr>
            </w:pPr>
          </w:p>
        </w:tc>
        <w:tc>
          <w:tcPr>
            <w:tcW w:w="61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w w:val="96"/>
              </w:rPr>
              <w:t>either equity or liabilities, and classification on the statement of cash flows. This</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252525"/>
                <w:w w:val="92"/>
              </w:rPr>
              <w:t>January 1, 2017 on</w:t>
            </w:r>
          </w:p>
        </w:tc>
        <w:tc>
          <w:tcPr>
            <w:tcW w:w="1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In March 2016, the FASB</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guidance requires all income tax effects of awards to be recognized as income tax</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w w:val="92"/>
              </w:rPr>
              <w:t>a prospective basis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excess tax benefits in</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line="201" w:lineRule="exact"/>
              <w:rPr>
                <w:sz w:val="20"/>
                <w:szCs w:val="20"/>
                <w:color w:val="auto"/>
              </w:rPr>
            </w:pPr>
            <w:r>
              <w:rPr>
                <w:rFonts w:ascii="Arial" w:cs="Arial" w:eastAsia="Arial" w:hAnsi="Arial"/>
                <w:sz w:val="18"/>
                <w:szCs w:val="18"/>
                <w:color w:val="auto"/>
              </w:rPr>
              <w:t>issued ASU 2016-09,</w:t>
            </w: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2"/>
              </w:rPr>
              <w:t>expense or benefit in the income statement when the awards vest or are settled, as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w w:val="99"/>
              </w:rPr>
              <w:t>for the impacts on</w:t>
            </w:r>
          </w:p>
        </w:tc>
        <w:tc>
          <w:tcPr>
            <w:tcW w:w="18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3"/>
                <w:szCs w:val="13"/>
                <w:color w:val="auto"/>
              </w:rPr>
              <w:t>our provision for</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6160" w:type="dxa"/>
            <w:vAlign w:val="bottom"/>
            <w:tcBorders>
              <w:right w:val="single" w:sz="8" w:color="auto"/>
            </w:tcBorders>
            <w:gridSpan w:val="2"/>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income taxes rather</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“Improvements to</w:t>
            </w:r>
          </w:p>
        </w:tc>
        <w:tc>
          <w:tcPr>
            <w:tcW w:w="6160" w:type="dxa"/>
            <w:vAlign w:val="bottom"/>
            <w:tcBorders>
              <w:right w:val="single" w:sz="8" w:color="auto"/>
            </w:tcBorders>
            <w:gridSpan w:val="2"/>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continue"/>
          </w:tcPr>
          <w:p>
            <w:pPr>
              <w:spacing w:after="0"/>
              <w:rPr>
                <w:sz w:val="10"/>
                <w:szCs w:val="10"/>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opposed to additional paid-in-capital</w:t>
            </w:r>
          </w:p>
        </w:tc>
        <w:tc>
          <w:tcPr>
            <w:tcW w:w="3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where it was previously recorded. This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w w:val="99"/>
              </w:rPr>
              <w:t>the accounting for</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9"/>
              </w:rPr>
              <w:t>than additional paid-in</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9"/>
              </w:rPr>
              <w:t>Employee Share-Based</w:t>
            </w:r>
          </w:p>
        </w:tc>
        <w:tc>
          <w:tcPr>
            <w:tcW w:w="2960" w:type="dxa"/>
            <w:vAlign w:val="bottom"/>
            <w:vMerge w:val="continue"/>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continue"/>
          </w:tcPr>
          <w:p>
            <w:pPr>
              <w:spacing w:after="0"/>
              <w:rPr>
                <w:sz w:val="11"/>
                <w:szCs w:val="11"/>
                <w:color w:val="auto"/>
              </w:rPr>
            </w:pPr>
          </w:p>
        </w:tc>
        <w:tc>
          <w:tcPr>
            <w:tcW w:w="616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5"/>
                <w:szCs w:val="15"/>
                <w:color w:val="auto"/>
              </w:rPr>
              <w:t>guidance impacts the calculation of our total diluted share count for the earnings per</w:t>
            </w:r>
          </w:p>
        </w:tc>
        <w:tc>
          <w:tcPr>
            <w:tcW w:w="14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5"/>
                <w:szCs w:val="15"/>
                <w:color w:val="252525"/>
              </w:rPr>
              <w:t>income taxes and</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capital of $40 million</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Payment Accounting.”</w:t>
            </w: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3"/>
              </w:rPr>
              <w:t>share calculation, as calculated under the treasury stock method. It also allows an</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rPr>
              <w:t>the effect on</w:t>
            </w: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continue"/>
          </w:tcPr>
          <w:p>
            <w:pPr>
              <w:spacing w:after="0"/>
              <w:rPr>
                <w:sz w:val="11"/>
                <w:szCs w:val="11"/>
                <w:color w:val="auto"/>
              </w:rPr>
            </w:pPr>
          </w:p>
        </w:tc>
        <w:tc>
          <w:tcPr>
            <w:tcW w:w="6160" w:type="dxa"/>
            <w:vAlign w:val="bottom"/>
            <w:tcBorders>
              <w:right w:val="single" w:sz="8" w:color="auto"/>
            </w:tcBorders>
            <w:gridSpan w:val="2"/>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 the year ended</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tcPr>
          <w:p>
            <w:pPr>
              <w:spacing w:after="0"/>
              <w:rPr>
                <w:sz w:val="7"/>
                <w:szCs w:val="7"/>
                <w:color w:val="auto"/>
              </w:rPr>
            </w:pP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1"/>
              </w:rPr>
              <w:t>employer to repurchase more of an employee’s shares for tax withholding purposes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w w:val="91"/>
              </w:rPr>
              <w:t>earnings per share.</w:t>
            </w: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tcPr>
          <w:p>
            <w:pPr>
              <w:spacing w:after="0"/>
              <w:rPr>
                <w:sz w:val="15"/>
                <w:szCs w:val="15"/>
                <w:color w:val="auto"/>
              </w:rPr>
            </w:pPr>
          </w:p>
        </w:tc>
        <w:tc>
          <w:tcPr>
            <w:tcW w:w="6160" w:type="dxa"/>
            <w:vAlign w:val="bottom"/>
            <w:tcBorders>
              <w:right w:val="single" w:sz="8" w:color="auto"/>
            </w:tcBorders>
            <w:gridSpan w:val="2"/>
            <w:vMerge w:val="continue"/>
          </w:tcPr>
          <w:p>
            <w:pPr>
              <w:spacing w:after="0"/>
              <w:rPr>
                <w:sz w:val="15"/>
                <w:szCs w:val="15"/>
                <w:color w:val="auto"/>
              </w:rPr>
            </w:pPr>
          </w:p>
        </w:tc>
        <w:tc>
          <w:tcPr>
            <w:tcW w:w="1480" w:type="dxa"/>
            <w:vAlign w:val="bottom"/>
            <w:tcBorders>
              <w:right w:val="single" w:sz="8" w:color="auto"/>
            </w:tcBorders>
            <w:vMerge w:val="continue"/>
          </w:tcPr>
          <w:p>
            <w:pPr>
              <w:spacing w:after="0"/>
              <w:rPr>
                <w:sz w:val="15"/>
                <w:szCs w:val="15"/>
                <w:color w:val="auto"/>
              </w:rPr>
            </w:pP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December 31, 2017.</w:t>
            </w: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right w:val="single" w:sz="8" w:color="auto"/>
            </w:tcBorders>
          </w:tcPr>
          <w:p>
            <w:pPr>
              <w:spacing w:after="0"/>
              <w:rPr>
                <w:sz w:val="15"/>
                <w:szCs w:val="15"/>
                <w:color w:val="auto"/>
              </w:rPr>
            </w:pPr>
          </w:p>
        </w:tc>
        <w:tc>
          <w:tcPr>
            <w:tcW w:w="61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8"/>
                <w:szCs w:val="18"/>
                <w:color w:val="auto"/>
                <w:w w:val="99"/>
              </w:rPr>
              <w:t>without triggering liability accounting. All tax-related cash flows resulting from</w:t>
            </w:r>
          </w:p>
        </w:tc>
        <w:tc>
          <w:tcPr>
            <w:tcW w:w="14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252525"/>
              </w:rPr>
              <w:t>We adopted the</w:t>
            </w: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share-based payments are reported as operating activities on the statement of cash</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changes for the</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flows. In regards to forfeitures, a policy election is required to either estimate the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cash flow</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number of awards that are expected to vest or account for forfeitures as they occur.</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statement</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classification</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retrospectively.</w:t>
            </w: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99"/>
              </w:rPr>
              <w:t>Compensation - Stock</w:t>
            </w:r>
          </w:p>
        </w:tc>
        <w:tc>
          <w:tcPr>
            <w:tcW w:w="2960" w:type="dxa"/>
            <w:vAlign w:val="bottom"/>
          </w:tcPr>
          <w:p>
            <w:pPr>
              <w:ind w:left="20"/>
              <w:spacing w:after="0"/>
              <w:rPr>
                <w:sz w:val="20"/>
                <w:szCs w:val="20"/>
                <w:color w:val="auto"/>
              </w:rPr>
            </w:pPr>
            <w:r>
              <w:rPr>
                <w:rFonts w:ascii="Arial" w:cs="Arial" w:eastAsia="Arial" w:hAnsi="Arial"/>
                <w:sz w:val="18"/>
                <w:szCs w:val="18"/>
                <w:color w:val="auto"/>
              </w:rPr>
              <w:t>This ASU clarifies when changes to</w:t>
            </w: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the terms or conditions of a share-based</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We adopted this</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8"/>
              </w:rPr>
              <w:t>Adopting this standard</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3"/>
              </w:rPr>
              <w:t>payment award must be accounted for as modifications. Under the new guidance,</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rPr>
              <w:t>standard on June</w:t>
            </w: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Compensation</w:t>
            </w:r>
          </w:p>
        </w:tc>
        <w:tc>
          <w:tcPr>
            <w:tcW w:w="6160" w:type="dxa"/>
            <w:vAlign w:val="bottom"/>
            <w:tcBorders>
              <w:right w:val="single" w:sz="8" w:color="auto"/>
            </w:tcBorders>
            <w:gridSpan w:val="2"/>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had no impact on our</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4"/>
              </w:rPr>
              <w:t>modification accounting is required only if the fair value, the vesting conditions, or</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rPr>
              <w:t>30, 2017 on a</w:t>
            </w: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May 2017, the FASB</w:t>
            </w:r>
          </w:p>
        </w:tc>
        <w:tc>
          <w:tcPr>
            <w:tcW w:w="6160" w:type="dxa"/>
            <w:vAlign w:val="bottom"/>
            <w:tcBorders>
              <w:right w:val="single" w:sz="8" w:color="auto"/>
            </w:tcBorders>
            <w:gridSpan w:val="2"/>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consolidated financial</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6160" w:type="dxa"/>
            <w:vAlign w:val="bottom"/>
            <w:tcBorders>
              <w:right w:val="single" w:sz="8" w:color="auto"/>
            </w:tcBorders>
            <w:gridSpan w:val="2"/>
            <w:vMerge w:val="restart"/>
          </w:tcPr>
          <w:p>
            <w:pPr>
              <w:ind w:left="20"/>
              <w:spacing w:after="0" w:line="176" w:lineRule="exact"/>
              <w:rPr>
                <w:sz w:val="20"/>
                <w:szCs w:val="20"/>
                <w:color w:val="auto"/>
              </w:rPr>
            </w:pPr>
            <w:r>
              <w:rPr>
                <w:rFonts w:ascii="Arial" w:cs="Arial" w:eastAsia="Arial" w:hAnsi="Arial"/>
                <w:sz w:val="18"/>
                <w:szCs w:val="18"/>
                <w:color w:val="auto"/>
                <w:w w:val="90"/>
              </w:rPr>
              <w:t>the classification of the award (as equity or liability) change as a result of the change</w:t>
            </w:r>
          </w:p>
        </w:tc>
        <w:tc>
          <w:tcPr>
            <w:tcW w:w="14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252525"/>
                <w:w w:val="98"/>
              </w:rPr>
              <w:t>prospective basis.</w:t>
            </w: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gridSpan w:val="2"/>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7"/>
              </w:rPr>
              <w:t>statements. The future</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issued ASU 2017-09,</w:t>
            </w: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in terms or conditions.</w:t>
            </w:r>
          </w:p>
        </w:tc>
        <w:tc>
          <w:tcPr>
            <w:tcW w:w="32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320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impact will depend on</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line="201" w:lineRule="exact"/>
              <w:rPr>
                <w:sz w:val="20"/>
                <w:szCs w:val="20"/>
                <w:color w:val="auto"/>
              </w:rPr>
            </w:pPr>
            <w:r>
              <w:rPr>
                <w:rFonts w:ascii="Arial" w:cs="Arial" w:eastAsia="Arial" w:hAnsi="Arial"/>
                <w:sz w:val="18"/>
                <w:szCs w:val="18"/>
                <w:color w:val="auto"/>
              </w:rPr>
              <w:t>“Scope of Modification</w:t>
            </w:r>
          </w:p>
        </w:tc>
        <w:tc>
          <w:tcPr>
            <w:tcW w:w="2960" w:type="dxa"/>
            <w:vAlign w:val="bottom"/>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960" w:type="dxa"/>
            <w:vAlign w:val="bottom"/>
          </w:tcPr>
          <w:p>
            <w:pPr>
              <w:spacing w:after="0"/>
              <w:rPr>
                <w:sz w:val="7"/>
                <w:szCs w:val="7"/>
                <w:color w:val="auto"/>
              </w:rPr>
            </w:pPr>
          </w:p>
        </w:tc>
        <w:tc>
          <w:tcPr>
            <w:tcW w:w="320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the extent and nature of</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Accounting.”</w:t>
            </w:r>
          </w:p>
        </w:tc>
        <w:tc>
          <w:tcPr>
            <w:tcW w:w="2960" w:type="dxa"/>
            <w:vAlign w:val="bottom"/>
          </w:tcPr>
          <w:p>
            <w:pPr>
              <w:spacing w:after="0"/>
              <w:rPr>
                <w:sz w:val="11"/>
                <w:szCs w:val="11"/>
                <w:color w:val="auto"/>
              </w:rPr>
            </w:pPr>
          </w:p>
        </w:tc>
        <w:tc>
          <w:tcPr>
            <w:tcW w:w="32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2960" w:type="dxa"/>
            <w:vAlign w:val="bottom"/>
          </w:tcPr>
          <w:p>
            <w:pPr>
              <w:spacing w:after="0"/>
              <w:rPr>
                <w:sz w:val="8"/>
                <w:szCs w:val="8"/>
                <w:color w:val="auto"/>
              </w:rPr>
            </w:pPr>
          </w:p>
        </w:tc>
        <w:tc>
          <w:tcPr>
            <w:tcW w:w="320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future changes to the</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tcPr>
          <w:p>
            <w:pPr>
              <w:spacing w:after="0"/>
              <w:rPr>
                <w:sz w:val="10"/>
                <w:szCs w:val="10"/>
                <w:color w:val="auto"/>
              </w:rPr>
            </w:pPr>
          </w:p>
        </w:tc>
        <w:tc>
          <w:tcPr>
            <w:tcW w:w="2960" w:type="dxa"/>
            <w:vAlign w:val="bottom"/>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terms of our share-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based payment awards.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Historically, we have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 had significant</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changes to our share-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based payment awards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therefore do not</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expect adoption of this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guidance to have a</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material impact on our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financial</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gridSpan w:val="2"/>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97"/>
              </w:rPr>
              <w:t>Business Combination</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w w:val="92"/>
              </w:rPr>
              <w:t>This ASU clarifies the definition of a business with the objective of adding guidance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We adopted this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None. However, this</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252525"/>
                <w:w w:val="90"/>
              </w:rPr>
              <w:t>to assist companies with evaluating whether transactions should be accounted for as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rPr>
              <w:t>standard on</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standard may impact</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January 2017, the</w:t>
            </w:r>
          </w:p>
        </w:tc>
        <w:tc>
          <w:tcPr>
            <w:tcW w:w="6160" w:type="dxa"/>
            <w:vAlign w:val="bottom"/>
            <w:tcBorders>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continue"/>
          </w:tcPr>
          <w:p>
            <w:pPr>
              <w:spacing w:after="0"/>
              <w:rPr>
                <w:sz w:val="15"/>
                <w:szCs w:val="15"/>
                <w:color w:val="auto"/>
              </w:rPr>
            </w:pPr>
          </w:p>
        </w:tc>
        <w:tc>
          <w:tcPr>
            <w:tcW w:w="61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252525"/>
                <w:w w:val="90"/>
              </w:rPr>
              <w:t>acquisitions (or disposals) of assets or businesses. The new guidance is expected to</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252525"/>
                <w:w w:val="92"/>
              </w:rPr>
              <w:t>January 1, 2018 on</w:t>
            </w: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how we account for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FASB issued ASU 2017-</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w w:val="92"/>
              </w:rPr>
              <w:t>reduce the number of transactions that need to be further evaluated as businesses.</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w w:val="89"/>
              </w:rPr>
              <w:t>a prospective basis.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future acquisitions.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01, “Clarifying the</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rPr>
              <w:t>Early adoption is permitted for certain types of transactions</w:t>
            </w:r>
            <w:r>
              <w:rPr>
                <w:rFonts w:ascii="Arial" w:cs="Arial" w:eastAsia="Arial" w:hAnsi="Arial"/>
                <w:sz w:val="18"/>
                <w:szCs w:val="18"/>
                <w:color w:val="000000"/>
              </w:rPr>
              <w:t>.</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Definition of a Business.”</w:t>
            </w:r>
          </w:p>
        </w:tc>
        <w:tc>
          <w:tcPr>
            <w:tcW w:w="2960" w:type="dxa"/>
            <w:vAlign w:val="bottom"/>
            <w:tcBorders>
              <w:bottom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00" w:type="dxa"/>
            <w:vAlign w:val="bottom"/>
          </w:tcPr>
          <w:p>
            <w:pPr>
              <w:jc w:val="right"/>
              <w:ind w:right="2170"/>
              <w:spacing w:after="0"/>
              <w:rPr>
                <w:sz w:val="20"/>
                <w:szCs w:val="20"/>
                <w:color w:val="auto"/>
              </w:rPr>
            </w:pPr>
            <w:r>
              <w:rPr>
                <w:rFonts w:ascii="Arial" w:cs="Arial" w:eastAsia="Arial" w:hAnsi="Arial"/>
                <w:sz w:val="18"/>
                <w:szCs w:val="18"/>
                <w:color w:val="auto"/>
              </w:rPr>
              <w:t>F-17</w:t>
            </w: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45" w:right="21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980" w:type="dxa"/>
            <w:vAlign w:val="bottom"/>
            <w:tcBorders>
              <w:top w:val="single" w:sz="8" w:color="auto"/>
              <w:left w:val="single" w:sz="8" w:color="auto"/>
              <w:right w:val="single" w:sz="8" w:color="auto"/>
            </w:tcBorders>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c>
          <w:tcPr>
            <w:tcW w:w="356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 on the Financial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Accounting Standard</w:t>
            </w:r>
          </w:p>
        </w:tc>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356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Effective Date</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Statements or Other</w:t>
            </w: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600" w:type="dxa"/>
            <w:vAlign w:val="bottom"/>
            <w:tcBorders>
              <w:bottom w:val="single" w:sz="8" w:color="auto"/>
            </w:tcBorders>
            <w:vMerge w:val="continue"/>
          </w:tcPr>
          <w:p>
            <w:pPr>
              <w:spacing w:after="0"/>
              <w:rPr>
                <w:sz w:val="16"/>
                <w:szCs w:val="16"/>
                <w:color w:val="auto"/>
              </w:rPr>
            </w:pPr>
          </w:p>
        </w:tc>
        <w:tc>
          <w:tcPr>
            <w:tcW w:w="35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Goodwill</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w w:val="96"/>
              </w:rPr>
              <w:t>This ASU simplifies how an entity is required to test goodwill for impairment and</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January 1, 2020,</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We do not anticipate a</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vMerge w:val="restart"/>
          </w:tcPr>
          <w:p>
            <w:pPr>
              <w:ind w:left="20"/>
              <w:spacing w:after="0"/>
              <w:rPr>
                <w:sz w:val="20"/>
                <w:szCs w:val="20"/>
                <w:color w:val="auto"/>
              </w:rPr>
            </w:pPr>
            <w:r>
              <w:rPr>
                <w:rFonts w:ascii="Arial" w:cs="Arial" w:eastAsia="Arial" w:hAnsi="Arial"/>
                <w:sz w:val="18"/>
                <w:szCs w:val="18"/>
                <w:color w:val="252525"/>
              </w:rPr>
              <w:t>removes the second step of the</w:t>
            </w:r>
          </w:p>
        </w:tc>
        <w:tc>
          <w:tcPr>
            <w:tcW w:w="3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252525"/>
              </w:rPr>
              <w:t>goodwill impairment test, which required a</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w w:val="94"/>
              </w:rPr>
              <w:t>with early adoption</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8"/>
              </w:rPr>
              <w:t>material impact on our</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January 2017, the</w:t>
            </w:r>
          </w:p>
        </w:tc>
        <w:tc>
          <w:tcPr>
            <w:tcW w:w="2600" w:type="dxa"/>
            <w:vAlign w:val="bottom"/>
            <w:vMerge w:val="continue"/>
          </w:tcPr>
          <w:p>
            <w:pPr>
              <w:spacing w:after="0"/>
              <w:rPr>
                <w:sz w:val="10"/>
                <w:szCs w:val="10"/>
                <w:color w:val="auto"/>
              </w:rPr>
            </w:pPr>
          </w:p>
        </w:tc>
        <w:tc>
          <w:tcPr>
            <w:tcW w:w="356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continue"/>
          </w:tcPr>
          <w:p>
            <w:pPr>
              <w:spacing w:after="0"/>
              <w:rPr>
                <w:sz w:val="15"/>
                <w:szCs w:val="15"/>
                <w:color w:val="auto"/>
              </w:rPr>
            </w:pPr>
          </w:p>
        </w:tc>
        <w:tc>
          <w:tcPr>
            <w:tcW w:w="61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252525"/>
                <w:w w:val="92"/>
              </w:rPr>
              <w:t>hypothetical purchase price allocation if the fair value of a reporting unit is less than</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252525"/>
              </w:rPr>
              <w:t>as of January 1,</w:t>
            </w: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consolidated financial</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FASB issued ASU 2017-</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rPr>
              <w:t>its  carrying  amount.  Goodwill impairment  will  now be measured using the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2017 permitted</w:t>
            </w:r>
            <w:r>
              <w:rPr>
                <w:rFonts w:ascii="Arial" w:cs="Arial" w:eastAsia="Arial" w:hAnsi="Arial"/>
                <w:sz w:val="18"/>
                <w:szCs w:val="18"/>
                <w:color w:val="000000"/>
              </w:rPr>
              <w: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statements at the time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04, “Simplifying the Test</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w w:val="93"/>
              </w:rPr>
              <w:t>difference between the carrying amount and the fair value of the reporting unit and</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of adoption of this new</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 Goodwill</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w w:val="92"/>
              </w:rPr>
              <w:t>the loss recognized should not exceed the total amount of goodwill allocated to that</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standard as the carrying</w:t>
            </w:r>
          </w:p>
        </w:tc>
        <w:tc>
          <w:tcPr>
            <w:tcW w:w="0" w:type="dxa"/>
            <w:vAlign w:val="bottom"/>
          </w:tcPr>
          <w:p>
            <w:pPr>
              <w:spacing w:after="0"/>
              <w:rPr>
                <w:sz w:val="1"/>
                <w:szCs w:val="1"/>
                <w:color w:val="auto"/>
              </w:rPr>
            </w:pPr>
          </w:p>
        </w:tc>
      </w:tr>
      <w:tr>
        <w:trPr>
          <w:trHeight w:val="25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Impairment.”</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w w:val="96"/>
              </w:rPr>
              <w:t>reporting unit. The amendments in this ASU should be applied on a prospective</w:t>
            </w:r>
          </w:p>
        </w:tc>
        <w:tc>
          <w:tcPr>
            <w:tcW w:w="148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amounts of our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w w:val="95"/>
              </w:rPr>
              <w:t>basis. Early adoption is permitted for interim or annual goodwill impairment tests</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reporting units have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252525"/>
              </w:rPr>
              <w:t>performed on testing dates after January 1, 2017.</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been less than their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corresponding fair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values in recent years.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Therefore, the second</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step </w:t>
            </w:r>
            <w:r>
              <w:rPr>
                <w:rFonts w:ascii="Arial" w:cs="Arial" w:eastAsia="Arial" w:hAnsi="Arial"/>
                <w:sz w:val="18"/>
                <w:szCs w:val="18"/>
                <w:color w:val="252525"/>
              </w:rPr>
              <w:t>of the goodwill</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w w:val="92"/>
              </w:rPr>
              <w:t>impairment test was not</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 xml:space="preserve">required. </w:t>
            </w:r>
            <w:r>
              <w:rPr>
                <w:rFonts w:ascii="Arial" w:cs="Arial" w:eastAsia="Arial" w:hAnsi="Arial"/>
                <w:sz w:val="18"/>
                <w:szCs w:val="18"/>
                <w:color w:val="000000"/>
              </w:rPr>
              <w:t>However,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changes in future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projections, market</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conditions and other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factors may cause a</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change in the excess of</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fair value of our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reporting units over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their corresponding</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carrying amounts. We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do not anticipate early</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adoption of this</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260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standard.</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gridSpan w:val="2"/>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w w:val="96"/>
              </w:rPr>
              <w:t>Financial Instruments -</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This ASU changes the impairment model for certain financial instruments. The new</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2020,</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are currently</w:t>
            </w: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Credit Losses</w:t>
            </w:r>
          </w:p>
        </w:tc>
        <w:tc>
          <w:tcPr>
            <w:tcW w:w="61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8"/>
                <w:szCs w:val="18"/>
                <w:color w:val="auto"/>
                <w:w w:val="95"/>
              </w:rPr>
              <w:t>model is a forward looking expected loss model and will apply to financial assets</w:t>
            </w:r>
          </w:p>
        </w:tc>
        <w:tc>
          <w:tcPr>
            <w:tcW w:w="14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w w:val="94"/>
              </w:rPr>
              <w:t>with early adoption</w:t>
            </w:r>
          </w:p>
        </w:tc>
        <w:tc>
          <w:tcPr>
            <w:tcW w:w="182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assessing the impact</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89"/>
              </w:rPr>
              <w:t>subject to credit losses and measured at amortized cost and certain off-balance sheet</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permitted as of</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that this standard will</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9"/>
              </w:rPr>
              <w:t>In June 2016, the FASB</w:t>
            </w:r>
          </w:p>
        </w:tc>
        <w:tc>
          <w:tcPr>
            <w:tcW w:w="6160" w:type="dxa"/>
            <w:vAlign w:val="bottom"/>
            <w:tcBorders>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continue"/>
          </w:tcPr>
          <w:p>
            <w:pPr>
              <w:spacing w:after="0"/>
              <w:rPr>
                <w:sz w:val="15"/>
                <w:szCs w:val="15"/>
                <w:color w:val="auto"/>
              </w:rPr>
            </w:pPr>
          </w:p>
        </w:tc>
        <w:tc>
          <w:tcPr>
            <w:tcW w:w="2600" w:type="dxa"/>
            <w:vAlign w:val="bottom"/>
          </w:tcPr>
          <w:p>
            <w:pPr>
              <w:ind w:left="20"/>
              <w:spacing w:after="0" w:line="176" w:lineRule="exact"/>
              <w:rPr>
                <w:sz w:val="20"/>
                <w:szCs w:val="20"/>
                <w:color w:val="auto"/>
              </w:rPr>
            </w:pPr>
            <w:r>
              <w:rPr>
                <w:rFonts w:ascii="Arial" w:cs="Arial" w:eastAsia="Arial" w:hAnsi="Arial"/>
                <w:sz w:val="18"/>
                <w:szCs w:val="18"/>
                <w:color w:val="auto"/>
                <w:w w:val="97"/>
              </w:rPr>
              <w:t>credit  exposures.  This  includes</w:t>
            </w:r>
          </w:p>
        </w:tc>
        <w:tc>
          <w:tcPr>
            <w:tcW w:w="356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w w:val="95"/>
              </w:rPr>
              <w:t>loans,  held-to-maturity  debt  securities,  loan</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January 1, 2019.</w:t>
            </w: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have on our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issued ASU 2016-13,</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commitments, financial guarantees and net investments in leases, as well as trade</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financial</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“Measurement of Credit</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receivables. For available-for-sale debt securities with unrealized losses, credit</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statements. We do not</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Losses on Financial</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losses will be measured in a manner similar to today, except that the losses will be</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anticipate early</w:t>
            </w:r>
          </w:p>
        </w:tc>
        <w:tc>
          <w:tcPr>
            <w:tcW w:w="0" w:type="dxa"/>
            <w:vAlign w:val="bottom"/>
          </w:tcPr>
          <w:p>
            <w:pPr>
              <w:spacing w:after="0"/>
              <w:rPr>
                <w:sz w:val="1"/>
                <w:szCs w:val="1"/>
                <w:color w:val="auto"/>
              </w:rPr>
            </w:pPr>
          </w:p>
        </w:tc>
      </w:tr>
      <w:tr>
        <w:trPr>
          <w:trHeight w:val="25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Instruments.”</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recognized as allowances rather than reductions in the amortized cost of the</w:t>
            </w:r>
          </w:p>
        </w:tc>
        <w:tc>
          <w:tcPr>
            <w:tcW w:w="148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adoption of this</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35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standard.</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040" w:type="dxa"/>
            <w:vAlign w:val="bottom"/>
            <w:gridSpan w:val="2"/>
          </w:tcPr>
          <w:p>
            <w:pPr>
              <w:ind w:left="960"/>
              <w:spacing w:after="0"/>
              <w:rPr>
                <w:sz w:val="20"/>
                <w:szCs w:val="20"/>
                <w:color w:val="auto"/>
              </w:rPr>
            </w:pPr>
            <w:r>
              <w:rPr>
                <w:rFonts w:ascii="Arial" w:cs="Arial" w:eastAsia="Arial" w:hAnsi="Arial"/>
                <w:sz w:val="18"/>
                <w:szCs w:val="18"/>
                <w:color w:val="auto"/>
              </w:rPr>
              <w:t>F-18</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45" w:right="21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980" w:type="dxa"/>
            <w:vAlign w:val="bottom"/>
            <w:tcBorders>
              <w:top w:val="single" w:sz="8" w:color="auto"/>
              <w:left w:val="single" w:sz="8" w:color="auto"/>
              <w:right w:val="single" w:sz="8" w:color="auto"/>
            </w:tcBorders>
          </w:tcPr>
          <w:p>
            <w:pPr>
              <w:spacing w:after="0"/>
              <w:rPr>
                <w:sz w:val="14"/>
                <w:szCs w:val="14"/>
                <w:color w:val="auto"/>
              </w:rPr>
            </w:pPr>
          </w:p>
        </w:tc>
        <w:tc>
          <w:tcPr>
            <w:tcW w:w="4140" w:type="dxa"/>
            <w:vAlign w:val="bottom"/>
            <w:tcBorders>
              <w:top w:val="single" w:sz="8" w:color="auto"/>
            </w:tcBorders>
          </w:tcPr>
          <w:p>
            <w:pPr>
              <w:spacing w:after="0"/>
              <w:rPr>
                <w:sz w:val="14"/>
                <w:szCs w:val="14"/>
                <w:color w:val="auto"/>
              </w:rPr>
            </w:pPr>
          </w:p>
        </w:tc>
        <w:tc>
          <w:tcPr>
            <w:tcW w:w="202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 on the Financial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Accounting Standard</w:t>
            </w:r>
          </w:p>
        </w:tc>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Effective Date</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Statements or Other</w:t>
            </w: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414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Leases</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Under this ASU, at the commencement date, lessees will be required to recognize a</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2019,</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When adopted, ASU</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2"/>
              </w:rPr>
              <w:t>lease liability, which is a lessee’s obligation to make lease payments arising from a</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with early adoption</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2016-02 will result in</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February 2016, the</w:t>
            </w:r>
          </w:p>
        </w:tc>
        <w:tc>
          <w:tcPr>
            <w:tcW w:w="6160" w:type="dxa"/>
            <w:vAlign w:val="bottom"/>
            <w:tcBorders>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continue"/>
          </w:tcPr>
          <w:p>
            <w:pPr>
              <w:spacing w:after="0"/>
              <w:rPr>
                <w:sz w:val="15"/>
                <w:szCs w:val="15"/>
                <w:color w:val="auto"/>
              </w:rPr>
            </w:pPr>
          </w:p>
        </w:tc>
        <w:tc>
          <w:tcPr>
            <w:tcW w:w="61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w w:val="92"/>
              </w:rPr>
              <w:t>lease, measured on a discounted basis; and a right-of-use asset, which is an asset</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permitted.</w:t>
            </w: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8"/>
              </w:rPr>
              <w:t>an increase in the assets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FASB issued ASU 2016-</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89"/>
              </w:rPr>
              <w:t>that represents the lessee’s right to use, or control the use of, a specified asset for the</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and liabilities reflected</w:t>
            </w:r>
          </w:p>
        </w:tc>
        <w:tc>
          <w:tcPr>
            <w:tcW w:w="0" w:type="dxa"/>
            <w:vAlign w:val="bottom"/>
          </w:tcPr>
          <w:p>
            <w:pPr>
              <w:spacing w:after="0"/>
              <w:rPr>
                <w:sz w:val="1"/>
                <w:szCs w:val="1"/>
                <w:color w:val="auto"/>
              </w:rPr>
            </w:pPr>
          </w:p>
        </w:tc>
      </w:tr>
      <w:tr>
        <w:trPr>
          <w:trHeight w:val="25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02, “Leases.”</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lease term. This guidance is not applicable for leases with a term of 12 months or</w:t>
            </w:r>
          </w:p>
        </w:tc>
        <w:tc>
          <w:tcPr>
            <w:tcW w:w="148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 our consolidated</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less. Lessor accounting is largely unchanged.</w:t>
            </w: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balance sheets. In</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addition, we will be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required to disclose key</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information about our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leases. We are currently</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assessing the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significance that this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standard will have on</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our consolidated</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do not anticipate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adoption of this</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standard.</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gridSpan w:val="2"/>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w w:val="96"/>
              </w:rPr>
              <w:t>Financial Instruments -</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This ASU requires that most equity investments be measured at fair value, with</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We adopted this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Since we do not have a</w:t>
            </w: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Overall</w:t>
            </w:r>
          </w:p>
        </w:tc>
        <w:tc>
          <w:tcPr>
            <w:tcW w:w="4140" w:type="dxa"/>
            <w:vAlign w:val="bottom"/>
          </w:tcPr>
          <w:p>
            <w:pPr>
              <w:ind w:left="20"/>
              <w:spacing w:after="0" w:line="175" w:lineRule="exact"/>
              <w:rPr>
                <w:sz w:val="20"/>
                <w:szCs w:val="20"/>
                <w:color w:val="auto"/>
              </w:rPr>
            </w:pPr>
            <w:r>
              <w:rPr>
                <w:rFonts w:ascii="Arial" w:cs="Arial" w:eastAsia="Arial" w:hAnsi="Arial"/>
                <w:sz w:val="18"/>
                <w:szCs w:val="18"/>
                <w:color w:val="auto"/>
              </w:rPr>
              <w:t>subsequent changes in fair value recognized in net</w:t>
            </w:r>
          </w:p>
        </w:tc>
        <w:tc>
          <w:tcPr>
            <w:tcW w:w="202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8"/>
                <w:szCs w:val="18"/>
                <w:color w:val="auto"/>
              </w:rPr>
              <w:t>income. Under this new</w:t>
            </w:r>
          </w:p>
        </w:tc>
        <w:tc>
          <w:tcPr>
            <w:tcW w:w="14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252525"/>
              </w:rPr>
              <w:t>standard on</w:t>
            </w:r>
          </w:p>
        </w:tc>
        <w:tc>
          <w:tcPr>
            <w:tcW w:w="182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significant investment</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2"/>
              </w:rPr>
              <w:t>guidance, Nasdaq will no longer be able to recognize unrealized holding gains and</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w w:val="92"/>
              </w:rPr>
              <w:t>January 1, 2018 on</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6"/>
              </w:rPr>
              <w:t>in financial instruments</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January 2016, the</w:t>
            </w:r>
          </w:p>
        </w:tc>
        <w:tc>
          <w:tcPr>
            <w:tcW w:w="6160" w:type="dxa"/>
            <w:vAlign w:val="bottom"/>
            <w:tcBorders>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continue"/>
          </w:tcPr>
          <w:p>
            <w:pPr>
              <w:spacing w:after="0"/>
              <w:rPr>
                <w:sz w:val="15"/>
                <w:szCs w:val="15"/>
                <w:color w:val="auto"/>
              </w:rPr>
            </w:pPr>
          </w:p>
        </w:tc>
        <w:tc>
          <w:tcPr>
            <w:tcW w:w="61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w w:val="90"/>
              </w:rPr>
              <w:t>losses on equity securities classified today as available-for-sale in accumulated other</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252525"/>
                <w:w w:val="89"/>
              </w:rPr>
              <w:t>a prospective basis.</w:t>
            </w: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impacted by this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FASB issued ASU 2016-</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comprehensive income within stockholders’ equity. For certain equity investments</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standard at the time of</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01, “Recognition and</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that do not have readily determinable fair values, there is a new measurement</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adoption, there was no</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Measurement of</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alternative where those investments are measured at cost, less any impairment, plus</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material impact on our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Financial Assets and</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or minus changes resulting from observable price changes in orderly transactions for</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financial</w:t>
            </w:r>
          </w:p>
        </w:tc>
        <w:tc>
          <w:tcPr>
            <w:tcW w:w="0" w:type="dxa"/>
            <w:vAlign w:val="bottom"/>
          </w:tcPr>
          <w:p>
            <w:pPr>
              <w:spacing w:after="0"/>
              <w:rPr>
                <w:sz w:val="1"/>
                <w:szCs w:val="1"/>
                <w:color w:val="auto"/>
              </w:rPr>
            </w:pPr>
          </w:p>
        </w:tc>
      </w:tr>
      <w:tr>
        <w:trPr>
          <w:trHeight w:val="25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Financial Liabilities.”</w:t>
            </w: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the identical or a similar investment of the same issuer. This new standard does not</w:t>
            </w:r>
          </w:p>
        </w:tc>
        <w:tc>
          <w:tcPr>
            <w:tcW w:w="148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statements. We have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change the guidance for classifying and measuring investments in debt securities</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elected the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and loans. This new guidance also impacts financial liabilities accounted for under</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measurement</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the fair value option and affects the presentation and disclosure requirements for</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alternative for equity</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financial assets and liabilities.</w:t>
            </w: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investments which were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historically accounted</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under the cost</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method of accounting.</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could result in</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volatility in earnings.</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980" w:type="dxa"/>
            <w:vAlign w:val="bottom"/>
          </w:tcPr>
          <w:p>
            <w:pPr>
              <w:spacing w:after="0"/>
              <w:rPr>
                <w:sz w:val="24"/>
                <w:szCs w:val="24"/>
                <w:color w:val="auto"/>
              </w:rPr>
            </w:pPr>
          </w:p>
        </w:tc>
        <w:tc>
          <w:tcPr>
            <w:tcW w:w="4140" w:type="dxa"/>
            <w:vAlign w:val="bottom"/>
          </w:tcPr>
          <w:p>
            <w:pPr>
              <w:ind w:left="3560"/>
              <w:spacing w:after="0"/>
              <w:rPr>
                <w:sz w:val="20"/>
                <w:szCs w:val="20"/>
                <w:color w:val="auto"/>
              </w:rPr>
            </w:pPr>
            <w:r>
              <w:rPr>
                <w:rFonts w:ascii="Arial" w:cs="Arial" w:eastAsia="Arial" w:hAnsi="Arial"/>
                <w:sz w:val="18"/>
                <w:szCs w:val="18"/>
                <w:color w:val="auto"/>
              </w:rPr>
              <w:t>F-19</w:t>
            </w: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45" w:right="21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980" w:type="dxa"/>
            <w:vAlign w:val="bottom"/>
            <w:tcBorders>
              <w:top w:val="single" w:sz="8" w:color="auto"/>
              <w:left w:val="single" w:sz="8" w:color="auto"/>
              <w:right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 on the Financial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Accounting Standard</w:t>
            </w:r>
          </w:p>
        </w:tc>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Effective Date</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Statements or Other</w:t>
            </w: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Income Statement -</w:t>
            </w:r>
          </w:p>
        </w:tc>
        <w:tc>
          <w:tcPr>
            <w:tcW w:w="2580" w:type="dxa"/>
            <w:vAlign w:val="bottom"/>
          </w:tcPr>
          <w:p>
            <w:pPr>
              <w:ind w:left="20"/>
              <w:spacing w:after="0"/>
              <w:rPr>
                <w:sz w:val="20"/>
                <w:szCs w:val="20"/>
                <w:color w:val="auto"/>
              </w:rPr>
            </w:pPr>
            <w:r>
              <w:rPr>
                <w:rFonts w:ascii="Arial" w:cs="Arial" w:eastAsia="Arial" w:hAnsi="Arial"/>
                <w:sz w:val="18"/>
                <w:szCs w:val="18"/>
                <w:color w:val="auto"/>
              </w:rPr>
              <w:t>This ASU provides an election</w:t>
            </w:r>
          </w:p>
        </w:tc>
        <w:tc>
          <w:tcPr>
            <w:tcW w:w="1040" w:type="dxa"/>
            <w:vAlign w:val="bottom"/>
          </w:tcPr>
          <w:p>
            <w:pPr>
              <w:ind w:left="20"/>
              <w:spacing w:after="0"/>
              <w:rPr>
                <w:sz w:val="20"/>
                <w:szCs w:val="20"/>
                <w:color w:val="auto"/>
              </w:rPr>
            </w:pPr>
            <w:r>
              <w:rPr>
                <w:rFonts w:ascii="Arial" w:cs="Arial" w:eastAsia="Arial" w:hAnsi="Arial"/>
                <w:sz w:val="18"/>
                <w:szCs w:val="18"/>
                <w:color w:val="auto"/>
              </w:rPr>
              <w:t>to reclassify</w:t>
            </w:r>
          </w:p>
        </w:tc>
        <w:tc>
          <w:tcPr>
            <w:tcW w:w="1620" w:type="dxa"/>
            <w:vAlign w:val="bottom"/>
          </w:tcPr>
          <w:p>
            <w:pPr>
              <w:ind w:left="20"/>
              <w:spacing w:after="0"/>
              <w:rPr>
                <w:sz w:val="20"/>
                <w:szCs w:val="20"/>
                <w:color w:val="auto"/>
              </w:rPr>
            </w:pPr>
            <w:r>
              <w:rPr>
                <w:rFonts w:ascii="Arial" w:cs="Arial" w:eastAsia="Arial" w:hAnsi="Arial"/>
                <w:sz w:val="18"/>
                <w:szCs w:val="18"/>
                <w:color w:val="auto"/>
              </w:rPr>
              <w:t>tax effects that are</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stranded in</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2019,</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are currently</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580" w:type="dxa"/>
            <w:vAlign w:val="bottom"/>
            <w:vMerge w:val="restart"/>
          </w:tcPr>
          <w:p>
            <w:pPr>
              <w:ind w:left="20"/>
              <w:spacing w:after="0"/>
              <w:rPr>
                <w:sz w:val="20"/>
                <w:szCs w:val="20"/>
                <w:color w:val="auto"/>
              </w:rPr>
            </w:pPr>
            <w:r>
              <w:rPr>
                <w:rFonts w:ascii="Arial" w:cs="Arial" w:eastAsia="Arial" w:hAnsi="Arial"/>
                <w:sz w:val="18"/>
                <w:szCs w:val="18"/>
                <w:color w:val="auto"/>
                <w:w w:val="92"/>
              </w:rPr>
              <w:t>accumulated other comprehensive</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income as a</w:t>
            </w:r>
          </w:p>
        </w:tc>
        <w:tc>
          <w:tcPr>
            <w:tcW w:w="1620" w:type="dxa"/>
            <w:vAlign w:val="bottom"/>
            <w:vMerge w:val="restart"/>
          </w:tcPr>
          <w:p>
            <w:pPr>
              <w:ind w:left="60"/>
              <w:spacing w:after="0"/>
              <w:rPr>
                <w:sz w:val="20"/>
                <w:szCs w:val="20"/>
                <w:color w:val="auto"/>
              </w:rPr>
            </w:pPr>
            <w:r>
              <w:rPr>
                <w:rFonts w:ascii="Arial" w:cs="Arial" w:eastAsia="Arial" w:hAnsi="Arial"/>
                <w:sz w:val="18"/>
                <w:szCs w:val="18"/>
                <w:color w:val="auto"/>
              </w:rPr>
              <w:t>result of tax reform</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to retained</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with early adoption</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assessing the impact</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Reporting</w:t>
            </w:r>
          </w:p>
        </w:tc>
        <w:tc>
          <w:tcPr>
            <w:tcW w:w="25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616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8"/>
                <w:szCs w:val="18"/>
                <w:color w:val="auto"/>
                <w:w w:val="94"/>
              </w:rPr>
              <w:t>earnings. An election is also available to reclassify other stranded tax effects that</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permitted.</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that this standard will</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93"/>
              </w:rPr>
              <w:t>Comprehensive Income</w:t>
            </w:r>
          </w:p>
        </w:tc>
        <w:tc>
          <w:tcPr>
            <w:tcW w:w="6160" w:type="dxa"/>
            <w:vAlign w:val="bottom"/>
            <w:tcBorders>
              <w:right w:val="single" w:sz="8" w:color="auto"/>
            </w:tcBorders>
            <w:gridSpan w:val="4"/>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8"/>
                <w:szCs w:val="18"/>
                <w:color w:val="auto"/>
                <w:w w:val="95"/>
              </w:rPr>
              <w:t>relate to the Tax Cuts and Jobs Act but do not directly relate to the change in the</w:t>
            </w:r>
          </w:p>
        </w:tc>
        <w:tc>
          <w:tcPr>
            <w:tcW w:w="148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have on our</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tcPr>
          <w:p>
            <w:pPr>
              <w:spacing w:after="0"/>
              <w:rPr>
                <w:sz w:val="10"/>
                <w:szCs w:val="10"/>
                <w:color w:val="auto"/>
              </w:rPr>
            </w:pPr>
          </w:p>
        </w:tc>
        <w:tc>
          <w:tcPr>
            <w:tcW w:w="6160" w:type="dxa"/>
            <w:vAlign w:val="bottom"/>
            <w:tcBorders>
              <w:right w:val="single" w:sz="8" w:color="auto"/>
            </w:tcBorders>
            <w:gridSpan w:val="4"/>
            <w:vMerge w:val="continue"/>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February 2018, the</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6"/>
              </w:rPr>
              <w:t>federal rate. Tax effects that are stranded in accumulated other comprehensive</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financial</w:t>
            </w: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continue"/>
          </w:tcPr>
          <w:p>
            <w:pPr>
              <w:spacing w:after="0"/>
              <w:rPr>
                <w:sz w:val="15"/>
                <w:szCs w:val="15"/>
                <w:color w:val="auto"/>
              </w:rPr>
            </w:pPr>
          </w:p>
        </w:tc>
        <w:tc>
          <w:tcPr>
            <w:tcW w:w="6160" w:type="dxa"/>
            <w:vAlign w:val="bottom"/>
            <w:tcBorders>
              <w:right w:val="single" w:sz="8" w:color="auto"/>
            </w:tcBorders>
            <w:gridSpan w:val="4"/>
          </w:tcPr>
          <w:p>
            <w:pPr>
              <w:ind w:left="20"/>
              <w:spacing w:after="0" w:line="176" w:lineRule="exact"/>
              <w:rPr>
                <w:sz w:val="20"/>
                <w:szCs w:val="20"/>
                <w:color w:val="auto"/>
              </w:rPr>
            </w:pPr>
            <w:r>
              <w:rPr>
                <w:rFonts w:ascii="Arial" w:cs="Arial" w:eastAsia="Arial" w:hAnsi="Arial"/>
                <w:sz w:val="18"/>
                <w:szCs w:val="18"/>
                <w:color w:val="auto"/>
                <w:w w:val="98"/>
              </w:rPr>
              <w:t>income for other reasons (e.g., prior changes in tax law, a change in valuation</w:t>
            </w:r>
          </w:p>
        </w:tc>
        <w:tc>
          <w:tcPr>
            <w:tcW w:w="148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FASB issued ASU 2018-</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4"/>
              </w:rPr>
              <w:t>allowance) may not be reclassified. Previously, the effects of changes in tax rates</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02, “Reclassification of</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1"/>
              </w:rPr>
              <w:t>and laws on deferred tax balances were required to be recorded as a component of</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Certain Tax Effects from</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6"/>
              </w:rPr>
              <w:t>tax expense related to continuing operations for the period in which the law was</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Accumulated Other</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7"/>
              </w:rPr>
              <w:t>enacted, even if the assets and liabilities related to items of accumulated other</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Comprehensive Income.”</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3"/>
              </w:rPr>
              <w:t>comprehensive income. In other words, backward tracing of the income tax effects</w:t>
            </w:r>
          </w:p>
        </w:tc>
        <w:tc>
          <w:tcPr>
            <w:tcW w:w="148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5"/>
              </w:rPr>
              <w:t>of items originally recognized through accumulated other comprehensive income</w:t>
            </w: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was prohibited.</w:t>
            </w:r>
          </w:p>
        </w:tc>
        <w:tc>
          <w:tcPr>
            <w:tcW w:w="1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gridSpan w:val="4"/>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w w:val="88"/>
              </w:rPr>
              <w:t>Revenue From Contracts</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5"/>
              </w:rPr>
              <w:t>The new revenue recognition standard sets forth a five-step revenue recognition</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We adopted this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See discussion below.</w:t>
            </w: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With Customers</w:t>
            </w:r>
          </w:p>
        </w:tc>
        <w:tc>
          <w:tcPr>
            <w:tcW w:w="6160" w:type="dxa"/>
            <w:vAlign w:val="bottom"/>
            <w:tcBorders>
              <w:right w:val="single" w:sz="8" w:color="auto"/>
            </w:tcBorders>
            <w:gridSpan w:val="4"/>
          </w:tcPr>
          <w:p>
            <w:pPr>
              <w:ind w:left="20"/>
              <w:spacing w:after="0" w:line="175" w:lineRule="exact"/>
              <w:rPr>
                <w:sz w:val="20"/>
                <w:szCs w:val="20"/>
                <w:color w:val="auto"/>
              </w:rPr>
            </w:pPr>
            <w:r>
              <w:rPr>
                <w:rFonts w:ascii="Arial" w:cs="Arial" w:eastAsia="Arial" w:hAnsi="Arial"/>
                <w:sz w:val="18"/>
                <w:szCs w:val="18"/>
                <w:color w:val="auto"/>
                <w:w w:val="92"/>
              </w:rPr>
              <w:t>model to determine when and how revenue is recognized. The core principle of the</w:t>
            </w:r>
          </w:p>
        </w:tc>
        <w:tc>
          <w:tcPr>
            <w:tcW w:w="14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252525"/>
              </w:rPr>
              <w:t>standard on</w:t>
            </w: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8"/>
                <w:szCs w:val="18"/>
                <w:color w:val="auto"/>
              </w:rPr>
              <w:t>guidance is that an entity should recognize revenue to depict the transfer of</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52525"/>
              </w:rPr>
              <w:t>January 1, 2018</w:t>
            </w: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May 2014, the FASB</w:t>
            </w:r>
          </w:p>
        </w:tc>
        <w:tc>
          <w:tcPr>
            <w:tcW w:w="6160" w:type="dxa"/>
            <w:vAlign w:val="bottom"/>
            <w:tcBorders>
              <w:right w:val="single" w:sz="8" w:color="auto"/>
            </w:tcBorders>
            <w:gridSpan w:val="4"/>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continue"/>
          </w:tcPr>
          <w:p>
            <w:pPr>
              <w:spacing w:after="0"/>
              <w:rPr>
                <w:sz w:val="15"/>
                <w:szCs w:val="15"/>
                <w:color w:val="auto"/>
              </w:rPr>
            </w:pPr>
          </w:p>
        </w:tc>
        <w:tc>
          <w:tcPr>
            <w:tcW w:w="6160" w:type="dxa"/>
            <w:vAlign w:val="bottom"/>
            <w:tcBorders>
              <w:right w:val="single" w:sz="8" w:color="auto"/>
            </w:tcBorders>
            <w:gridSpan w:val="4"/>
          </w:tcPr>
          <w:p>
            <w:pPr>
              <w:ind w:left="20"/>
              <w:spacing w:after="0" w:line="176" w:lineRule="exact"/>
              <w:rPr>
                <w:sz w:val="20"/>
                <w:szCs w:val="20"/>
                <w:color w:val="auto"/>
              </w:rPr>
            </w:pPr>
            <w:r>
              <w:rPr>
                <w:rFonts w:ascii="Arial" w:cs="Arial" w:eastAsia="Arial" w:hAnsi="Arial"/>
                <w:sz w:val="18"/>
                <w:szCs w:val="18"/>
                <w:color w:val="auto"/>
                <w:w w:val="90"/>
              </w:rPr>
              <w:t>promised goods or services to customers in an amount that reflects the consideration</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252525"/>
              </w:rPr>
              <w:t>using the full</w:t>
            </w: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issued ASU 2014-09,</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5"/>
              </w:rPr>
              <w:t>it expects to receive in exchange for those goods or services. The standard also</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retrospective</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“Revenue from Contracts</w:t>
            </w:r>
          </w:p>
        </w:tc>
        <w:tc>
          <w:tcPr>
            <w:tcW w:w="6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4"/>
              </w:rPr>
              <w:t>requires more detailed disclosures. The standard provides alternative methods of</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52525"/>
              </w:rPr>
              <w:t>method.</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with Customers (Topic</w:t>
            </w:r>
          </w:p>
        </w:tc>
        <w:tc>
          <w:tcPr>
            <w:tcW w:w="2580" w:type="dxa"/>
            <w:vAlign w:val="bottom"/>
          </w:tcPr>
          <w:p>
            <w:pPr>
              <w:ind w:left="20"/>
              <w:spacing w:after="0"/>
              <w:rPr>
                <w:sz w:val="20"/>
                <w:szCs w:val="20"/>
                <w:color w:val="auto"/>
              </w:rPr>
            </w:pPr>
            <w:r>
              <w:rPr>
                <w:rFonts w:ascii="Arial" w:cs="Arial" w:eastAsia="Arial" w:hAnsi="Arial"/>
                <w:sz w:val="18"/>
                <w:szCs w:val="18"/>
                <w:color w:val="auto"/>
              </w:rPr>
              <w:t>initial adoption.</w:t>
            </w: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6"/>
              </w:rPr>
              <w:t>606),” which supersedes</w:t>
            </w:r>
          </w:p>
        </w:tc>
        <w:tc>
          <w:tcPr>
            <w:tcW w:w="2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revenue recognition</w:t>
            </w: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guidance in Accounting</w:t>
            </w: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Standards Codification,</w:t>
            </w: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“Revenue Recognition.”</w:t>
            </w:r>
          </w:p>
        </w:tc>
        <w:tc>
          <w:tcPr>
            <w:tcW w:w="2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 and expense recognition for our Market Technology business and revenue recognition for our Listing Services business were impacted due to the adoption of Topic 606; however, the impact on our consolidated financial statements at the time of adoption was not material. There was no impact to revenue and expense recognition for our other businesses.</w:t>
      </w:r>
    </w:p>
    <w:p>
      <w:pPr>
        <w:spacing w:after="0" w:line="18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b w:val="1"/>
          <w:bCs w:val="1"/>
          <w:i w:val="1"/>
          <w:iCs w:val="1"/>
          <w:color w:val="auto"/>
        </w:rPr>
        <w:t xml:space="preserve">Market Technology. </w:t>
      </w:r>
      <w:r>
        <w:rPr>
          <w:rFonts w:ascii="Arial" w:cs="Arial" w:eastAsia="Arial" w:hAnsi="Arial"/>
          <w:sz w:val="18"/>
          <w:szCs w:val="18"/>
          <w:color w:val="auto"/>
        </w:rPr>
        <w:t>In our Market Technology business, we enter into contracts with customers to develop technology solutions, license the right to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and provide post-contract support and other services to our customers. Under accounting</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policies prior to the adoption of Topic 606, we did not recognize revenue or expense until we began the final stage of the contract as we are not able to establish VSOE for individual elements of the contract. Under Topic 606, we no longer defer recognition of revenue and expense until the final stage of the contract. For each of our contracts, we have identified multiple performance obligations, allocated the transaction price to these obligations and are recognizing revenue for each of these obligations as they are satisfied. Expenses are no longer deferred, with the exception of certain commission expense, but are recognized as incurred. Since revenue and expense are recognized in earlier stages of the contract, the balance sheet accounts for deferred revenue and costs have declined upon adoption of Topic 606. Due to the complexity of certain contracts, the revenue recognition treatment under Topic 606 is dependent on contract-specific terms and may vary in some instances.</w:t>
      </w:r>
    </w:p>
    <w:p>
      <w:pPr>
        <w:spacing w:after="0" w:line="19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 xml:space="preserve">Listing Services. </w:t>
      </w:r>
      <w:r>
        <w:rPr>
          <w:rFonts w:ascii="Arial" w:cs="Arial" w:eastAsia="Arial" w:hAnsi="Arial"/>
          <w:sz w:val="18"/>
          <w:szCs w:val="18"/>
          <w:color w:val="auto"/>
        </w:rPr>
        <w:t>Under accounting policies prior to the adoption of Topic 606, amounts received for initial listing fees and listing of additional shares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generally deferred and revenue was recognized over estimated service periods of six and four years, respectively. Under Topic 606, we have identified the performance obligations associated with these services and are recording revenue upon satisfaction of each performance obligation. Under Topic 606, we recognize initial listing fees over a shorter period on average than the prior estimated service period. Since we recognize revenues earlier under Topic 606, the balance sheet account for deferred revenue has declined upon adoption.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items to note regarding the accounting for our Market Technology and Listing Services businesses under Topic 606:</w:t>
      </w:r>
    </w:p>
    <w:p>
      <w:pPr>
        <w:spacing w:after="0" w:line="23" w:lineRule="exact"/>
        <w:rPr>
          <w:sz w:val="20"/>
          <w:szCs w:val="20"/>
          <w:color w:val="auto"/>
        </w:rPr>
      </w:pPr>
    </w:p>
    <w:p>
      <w:pPr>
        <w:ind w:left="5540" w:right="3200" w:hanging="5208"/>
        <w:spacing w:after="0" w:line="542" w:lineRule="auto"/>
        <w:tabs>
          <w:tab w:leader="none" w:pos="6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revenue recognition for existing and new contracts is recognized in earlier stages under the new standard; F-20</w:t>
      </w:r>
    </w:p>
    <w:p>
      <w:pPr>
        <w:sectPr>
          <w:pgSz w:w="11900" w:h="16838" w:orient="portrait"/>
          <w:cols w:equalWidth="0" w:num="1">
            <w:col w:w="11440"/>
          </w:cols>
          <w:pgMar w:left="240" w:top="445" w:right="21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9"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 recognition for Market Technology contracts is recognized in earlier stages under the new standard;</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portion of revenues and expenses that were previously deferred were recognized either in prior period revenues, through restatement, or as an adjustment to retained earnings upon adoption of the new standard; and</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overall value of our contracts and the timing of cash flows from customers did not change.</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expected effect of the adoption of Topic 606 on our Consolidated Statements of Income for the years ended December 31, 2017 and 2016:</w:t>
      </w:r>
    </w:p>
    <w:p>
      <w:pPr>
        <w:sectPr>
          <w:pgSz w:w="11900" w:h="16838" w:orient="portrait"/>
          <w:cols w:equalWidth="0" w:num="1">
            <w:col w:w="11420"/>
          </w:cols>
          <w:pgMar w:left="240" w:top="445" w:right="239" w:bottom="1440" w:gutter="0" w:footer="0" w:header="0"/>
        </w:sectPr>
      </w:pPr>
    </w:p>
    <w:p>
      <w:pPr>
        <w:spacing w:after="0" w:line="194"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19685</wp:posOffset>
            </wp:positionV>
            <wp:extent cx="17583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54" w:lineRule="exact"/>
        <w:rPr>
          <w:sz w:val="20"/>
          <w:szCs w:val="20"/>
          <w:color w:val="auto"/>
        </w:rPr>
      </w:pPr>
    </w:p>
    <w:tbl>
      <w:tblPr>
        <w:tblLayout w:type="fixed"/>
        <w:tblInd w:w="418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9"/>
              </w:rPr>
              <w:t>Adjustment to</w:t>
            </w:r>
          </w:p>
        </w:tc>
        <w:tc>
          <w:tcPr>
            <w:tcW w:w="820" w:type="dxa"/>
            <w:vAlign w:val="bottom"/>
          </w:tcPr>
          <w:p>
            <w:pPr>
              <w:spacing w:after="0"/>
              <w:rPr>
                <w:sz w:val="13"/>
                <w:szCs w:val="13"/>
                <w:color w:val="auto"/>
              </w:rPr>
            </w:pPr>
          </w:p>
        </w:tc>
      </w:tr>
      <w:tr>
        <w:trPr>
          <w:trHeight w:val="135"/>
        </w:trPr>
        <w:tc>
          <w:tcPr>
            <w:tcW w:w="8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Reflect Adoption</w:t>
            </w:r>
          </w:p>
        </w:tc>
        <w:tc>
          <w:tcPr>
            <w:tcW w:w="820" w:type="dxa"/>
            <w:vAlign w:val="bottom"/>
          </w:tcPr>
          <w:p>
            <w:pPr>
              <w:spacing w:after="0"/>
              <w:rPr>
                <w:sz w:val="11"/>
                <w:szCs w:val="11"/>
                <w:color w:val="auto"/>
              </w:rPr>
            </w:pPr>
          </w:p>
        </w:tc>
      </w:tr>
      <w:tr>
        <w:trPr>
          <w:trHeight w:val="174"/>
        </w:trPr>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As Reported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of Topic 606</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2"/>
              </w:rPr>
              <w:t>As Adjusted</w:t>
            </w:r>
          </w:p>
        </w:tc>
      </w:tr>
      <w:tr>
        <w:trPr>
          <w:trHeight w:val="173"/>
        </w:trPr>
        <w:tc>
          <w:tcPr>
            <w:tcW w:w="82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Arial" w:cs="Arial" w:eastAsia="Arial" w:hAnsi="Arial"/>
                <w:sz w:val="13"/>
                <w:szCs w:val="13"/>
                <w:b w:val="1"/>
                <w:bCs w:val="1"/>
                <w:color w:val="auto"/>
              </w:rPr>
              <w:t>(in millions)</w:t>
            </w:r>
          </w:p>
        </w:tc>
        <w:tc>
          <w:tcPr>
            <w:tcW w:w="8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53340</wp:posOffset>
            </wp:positionV>
            <wp:extent cx="582295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extLst>
                        <a:ext uri="{28A0092B-C50C-407E-A947-70E740481C1C}"/>
                      </a:extLst>
                    </a:blip>
                    <a:srcRect/>
                    <a:stretch>
                      <a:fillRect/>
                    </a:stretch>
                  </pic:blipFill>
                  <pic:spPr bwMode="auto">
                    <a:xfrm>
                      <a:off x="0" y="0"/>
                      <a:ext cx="582295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17583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Adjustment to</w:t>
            </w:r>
          </w:p>
        </w:tc>
        <w:tc>
          <w:tcPr>
            <w:tcW w:w="860" w:type="dxa"/>
            <w:vAlign w:val="bottom"/>
          </w:tcPr>
          <w:p>
            <w:pPr>
              <w:spacing w:after="0"/>
              <w:rPr>
                <w:sz w:val="13"/>
                <w:szCs w:val="13"/>
                <w:color w:val="auto"/>
              </w:rPr>
            </w:pPr>
          </w:p>
        </w:tc>
      </w:tr>
      <w:tr>
        <w:trPr>
          <w:trHeight w:val="135"/>
        </w:trPr>
        <w:tc>
          <w:tcPr>
            <w:tcW w:w="8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Reflect</w:t>
            </w:r>
          </w:p>
        </w:tc>
        <w:tc>
          <w:tcPr>
            <w:tcW w:w="860" w:type="dxa"/>
            <w:vAlign w:val="bottom"/>
          </w:tcPr>
          <w:p>
            <w:pPr>
              <w:spacing w:after="0"/>
              <w:rPr>
                <w:sz w:val="11"/>
                <w:szCs w:val="11"/>
                <w:color w:val="auto"/>
              </w:rPr>
            </w:pPr>
          </w:p>
        </w:tc>
      </w:tr>
      <w:tr>
        <w:trPr>
          <w:trHeight w:val="135"/>
        </w:trPr>
        <w:tc>
          <w:tcPr>
            <w:tcW w:w="8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Adoption of</w:t>
            </w:r>
          </w:p>
        </w:tc>
        <w:tc>
          <w:tcPr>
            <w:tcW w:w="860" w:type="dxa"/>
            <w:vAlign w:val="bottom"/>
          </w:tcPr>
          <w:p>
            <w:pPr>
              <w:spacing w:after="0"/>
              <w:rPr>
                <w:sz w:val="11"/>
                <w:szCs w:val="11"/>
                <w:color w:val="auto"/>
              </w:rPr>
            </w:pPr>
          </w:p>
        </w:tc>
      </w:tr>
      <w:tr>
        <w:trPr>
          <w:trHeight w:val="174"/>
        </w:trPr>
        <w:tc>
          <w:tcPr>
            <w:tcW w:w="8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As Reported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Topic 606</w:t>
            </w: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2"/>
              </w:rPr>
              <w:t>As Adjusted</w:t>
            </w:r>
          </w:p>
        </w:tc>
      </w:tr>
      <w:tr>
        <w:trPr>
          <w:trHeight w:val="173"/>
        </w:trPr>
        <w:tc>
          <w:tcPr>
            <w:tcW w:w="86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Arial" w:cs="Arial" w:eastAsia="Arial" w:hAnsi="Arial"/>
                <w:sz w:val="13"/>
                <w:szCs w:val="13"/>
                <w:b w:val="1"/>
                <w:bCs w:val="1"/>
                <w:color w:val="auto"/>
              </w:rPr>
              <w:t>(in millions)</w:t>
            </w:r>
          </w:p>
        </w:tc>
        <w:tc>
          <w:tcPr>
            <w:tcW w:w="860" w:type="dxa"/>
            <w:vAlign w:val="bottom"/>
          </w:tcPr>
          <w:p>
            <w:pPr>
              <w:spacing w:after="0"/>
              <w:rPr>
                <w:sz w:val="15"/>
                <w:szCs w:val="15"/>
                <w:color w:val="auto"/>
              </w:rPr>
            </w:pPr>
          </w:p>
        </w:tc>
      </w:tr>
    </w:tbl>
    <w:p>
      <w:pPr>
        <w:spacing w:after="0" w:line="96" w:lineRule="exact"/>
        <w:rPr>
          <w:sz w:val="20"/>
          <w:szCs w:val="20"/>
          <w:color w:val="auto"/>
        </w:rPr>
      </w:pPr>
    </w:p>
    <w:p>
      <w:pPr>
        <w:sectPr>
          <w:pgSz w:w="11900" w:h="16838" w:orient="portrait"/>
          <w:cols w:equalWidth="0" w:num="2">
            <w:col w:w="6940" w:space="120"/>
            <w:col w:w="4360"/>
          </w:cols>
          <w:pgMar w:left="240" w:top="445" w:right="239" w:bottom="1440" w:gutter="0" w:footer="0" w:header="0"/>
          <w:type w:val="continuous"/>
        </w:sectPr>
      </w:pPr>
    </w:p>
    <w:p>
      <w:pPr>
        <w:ind w:left="680"/>
        <w:spacing w:after="0"/>
        <w:rPr>
          <w:sz w:val="20"/>
          <w:szCs w:val="20"/>
          <w:color w:val="auto"/>
        </w:rPr>
      </w:pPr>
      <w:r>
        <w:rPr>
          <w:rFonts w:ascii="Arial" w:cs="Arial" w:eastAsia="Arial" w:hAnsi="Arial"/>
          <w:sz w:val="18"/>
          <w:szCs w:val="18"/>
          <w:color w:val="auto"/>
        </w:rPr>
        <w:t>Revenues less transaction-based expenses:</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Market Services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Services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Information Services</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Technology</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w w:val="90"/>
              </w:rPr>
              <w:t>Total revenues less transaction-based expenses</w:t>
            </w: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w:t>
            </w:r>
          </w:p>
        </w:tc>
      </w:tr>
      <w:tr>
        <w:trPr>
          <w:trHeight w:val="27"/>
        </w:trPr>
        <w:tc>
          <w:tcPr>
            <w:tcW w:w="3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0"/>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70"/>
        </w:trPr>
        <w:tc>
          <w:tcPr>
            <w:tcW w:w="35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Total operating expenses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176"/>
        </w:trPr>
        <w:tc>
          <w:tcPr>
            <w:tcW w:w="3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Net income attributable to Nasdaq</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67"/>
        </w:trPr>
        <w:tc>
          <w:tcPr>
            <w:tcW w:w="35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r>
      <w:tr>
        <w:trPr>
          <w:trHeight w:val="231"/>
        </w:trPr>
        <w:tc>
          <w:tcPr>
            <w:tcW w:w="3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0"/>
        </w:trPr>
        <w:tc>
          <w:tcPr>
            <w:tcW w:w="3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-95885</wp:posOffset>
            </wp:positionV>
            <wp:extent cx="35845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1"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Adjustment to reflect the adoption of Topic 606 for the year ended December 31, 2017 and 2016 primarily pertains to our Market Technology business.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1, 2016, as the result of the adoption of Topic 606, the impact to retained earnings was immaterial. The following table presents the effect of the adoption on our Consolidated Balance Sheets as of December 31, 2017 and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December 31, 2017</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9"/>
              </w:rPr>
              <w:t>December 31, 2016</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4"/>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Adjustment to</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Adjustment to</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5"/>
        </w:trPr>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Reflect Adoption</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Reflect Adoption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4"/>
        </w:trPr>
        <w:tc>
          <w:tcPr>
            <w:tcW w:w="318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rPr>
              <w:t>As Reported</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of Topic 606</w:t>
            </w:r>
          </w:p>
        </w:tc>
        <w:tc>
          <w:tcPr>
            <w:tcW w:w="9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As Adjusted</w:t>
            </w:r>
          </w:p>
        </w:tc>
        <w:tc>
          <w:tcPr>
            <w:tcW w:w="960" w:type="dxa"/>
            <w:vAlign w:val="bottom"/>
            <w:gridSpan w:val="3"/>
          </w:tcPr>
          <w:p>
            <w:pPr>
              <w:ind w:left="80"/>
              <w:spacing w:after="0"/>
              <w:rPr>
                <w:sz w:val="20"/>
                <w:szCs w:val="20"/>
                <w:color w:val="auto"/>
              </w:rPr>
            </w:pPr>
            <w:r>
              <w:rPr>
                <w:rFonts w:ascii="Arial" w:cs="Arial" w:eastAsia="Arial" w:hAnsi="Arial"/>
                <w:sz w:val="13"/>
                <w:szCs w:val="13"/>
                <w:b w:val="1"/>
                <w:bCs w:val="1"/>
                <w:color w:val="auto"/>
              </w:rPr>
              <w:t>As Reported</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of Topic 606</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As Adjusted</w:t>
            </w:r>
          </w:p>
        </w:tc>
      </w:tr>
      <w:tr>
        <w:trPr>
          <w:trHeight w:val="241"/>
        </w:trPr>
        <w:tc>
          <w:tcPr>
            <w:tcW w:w="3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(in millions)</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r>
      <w:tr>
        <w:trPr>
          <w:trHeight w:val="259"/>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15,786</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14,088</w:t>
            </w:r>
          </w:p>
        </w:tc>
      </w:tr>
      <w:tr>
        <w:trPr>
          <w:trHeight w:val="67"/>
        </w:trPr>
        <w:tc>
          <w:tcPr>
            <w:tcW w:w="3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r>
      <w:tr>
        <w:trPr>
          <w:trHeight w:val="305"/>
        </w:trPr>
        <w:tc>
          <w:tcPr>
            <w:tcW w:w="3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Non-current deferred revenue</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r>
      <w:tr>
        <w:trPr>
          <w:trHeight w:val="318"/>
        </w:trPr>
        <w:tc>
          <w:tcPr>
            <w:tcW w:w="3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Nasdaq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3,477</w:t>
            </w: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Nasdaq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15,786</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14,088</w:t>
            </w:r>
          </w:p>
        </w:tc>
      </w:tr>
      <w:tr>
        <w:trPr>
          <w:trHeight w:val="27"/>
        </w:trPr>
        <w:tc>
          <w:tcPr>
            <w:tcW w:w="3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18"/>
        </w:trPr>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F-21</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type w:val="continuous"/>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68" w:lineRule="exact"/>
        <w:rPr>
          <w:sz w:val="20"/>
          <w:szCs w:val="20"/>
          <w:color w:val="auto"/>
        </w:rPr>
      </w:pPr>
    </w:p>
    <w:p>
      <w:pPr>
        <w:jc w:val="both"/>
        <w:ind w:right="3520" w:firstLine="8"/>
        <w:spacing w:after="0" w:line="425" w:lineRule="auto"/>
        <w:tabs>
          <w:tab w:leader="none" w:pos="1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Charges 2015 Restructuring Plan</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first quarter of 2015, we performed a comprehensive review of our processes, businesses and systems in a company-wide effort to improve performance, cut costs, and reduce spending. In June 2016, we completed our 2015 restructuring plan and recognized total net pre-tax charges of $213 million for the period March 2015 through June 2016.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restructuring plan charges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r>
      <w:tr>
        <w:trPr>
          <w:trHeight w:val="264"/>
        </w:trPr>
        <w:tc>
          <w:tcPr>
            <w:tcW w:w="3000" w:type="dxa"/>
            <w:vAlign w:val="bottom"/>
          </w:tcPr>
          <w:p>
            <w:pPr>
              <w:spacing w:after="0"/>
              <w:rPr>
                <w:sz w:val="22"/>
                <w:szCs w:val="22"/>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2016</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340" w:type="dxa"/>
            <w:vAlign w:val="bottom"/>
            <w:tcBorders>
              <w:bottom w:val="single" w:sz="8" w:color="auto"/>
            </w:tcBorders>
          </w:tcPr>
          <w:p>
            <w:pPr>
              <w:spacing w:after="0"/>
              <w:rPr>
                <w:sz w:val="22"/>
                <w:szCs w:val="22"/>
                <w:color w:val="auto"/>
              </w:rPr>
            </w:pPr>
          </w:p>
        </w:tc>
      </w:tr>
      <w:tr>
        <w:trPr>
          <w:trHeight w:val="249"/>
        </w:trPr>
        <w:tc>
          <w:tcPr>
            <w:tcW w:w="3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gridSpan w:val="3"/>
          </w:tcPr>
          <w:p>
            <w:pPr>
              <w:jc w:val="right"/>
              <w:ind w:right="419"/>
              <w:spacing w:after="0"/>
              <w:rPr>
                <w:sz w:val="20"/>
                <w:szCs w:val="20"/>
                <w:color w:val="auto"/>
              </w:rPr>
            </w:pPr>
            <w:r>
              <w:rPr>
                <w:rFonts w:ascii="Arial" w:cs="Arial" w:eastAsia="Arial" w:hAnsi="Arial"/>
                <w:sz w:val="13"/>
                <w:szCs w:val="13"/>
                <w:b w:val="1"/>
                <w:bCs w:val="1"/>
                <w:color w:val="auto"/>
                <w:w w:val="95"/>
              </w:rPr>
              <w:t>(in millions)</w:t>
            </w:r>
          </w:p>
        </w:tc>
        <w:tc>
          <w:tcPr>
            <w:tcW w:w="340" w:type="dxa"/>
            <w:vAlign w:val="bottom"/>
          </w:tcPr>
          <w:p>
            <w:pPr>
              <w:spacing w:after="0"/>
              <w:rPr>
                <w:sz w:val="21"/>
                <w:szCs w:val="21"/>
                <w:color w:val="auto"/>
              </w:rPr>
            </w:pPr>
          </w:p>
        </w:tc>
      </w:tr>
      <w:tr>
        <w:trPr>
          <w:trHeight w:val="258"/>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Rebranding of trade name</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119</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Severance</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Facilities-related</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3000" w:type="dxa"/>
            <w:vAlign w:val="bottom"/>
          </w:tcPr>
          <w:p>
            <w:pPr>
              <w:ind w:left="40"/>
              <w:spacing w:after="0"/>
              <w:rPr>
                <w:sz w:val="20"/>
                <w:szCs w:val="20"/>
                <w:color w:val="auto"/>
              </w:rPr>
            </w:pPr>
            <w:r>
              <w:rPr>
                <w:rFonts w:ascii="Arial" w:cs="Arial" w:eastAsia="Arial" w:hAnsi="Arial"/>
                <w:sz w:val="18"/>
                <w:szCs w:val="18"/>
                <w:color w:val="auto"/>
              </w:rPr>
              <w:t>Total restructuring charges</w:t>
            </w:r>
          </w:p>
        </w:tc>
        <w:tc>
          <w:tcPr>
            <w:tcW w:w="8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172</w:t>
            </w:r>
          </w:p>
        </w:tc>
      </w:tr>
      <w:tr>
        <w:trPr>
          <w:trHeight w:val="20"/>
        </w:trPr>
        <w:tc>
          <w:tcPr>
            <w:tcW w:w="3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year ended December 31, 2016, we recognized restructuring charges totaling $41 million, including severance costs of $22 million related to workforce reductions of 201 positions across our organization, $8 million for asset impairments, primarily related to fixed assets and capitalized software that were retired, and $10 million of other charges. For the year ended December 31, 2015, we recorded restructuring charges totaling $172 million, including rebranding of our trade name of $119 million, severance costs of $25 million related to workforce reductions of 230 positions across our organization, $18 million for asset impairments, primarily related to fixed assets and capitalized software that were retired, and $10 million of other charges.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Reserve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an accrued severance balance of $17 million was included in other current liabilities in the Consolidated Balance Sheets and was paid during 2017.</w:t>
      </w:r>
    </w:p>
    <w:p>
      <w:pPr>
        <w:spacing w:after="0" w:line="812" w:lineRule="exact"/>
        <w:rPr>
          <w:sz w:val="20"/>
          <w:szCs w:val="20"/>
          <w:color w:val="auto"/>
        </w:rPr>
      </w:pPr>
    </w:p>
    <w:p>
      <w:pPr>
        <w:sectPr>
          <w:pgSz w:w="11900" w:h="16838" w:orient="portrait"/>
          <w:cols w:equalWidth="0" w:num="2">
            <w:col w:w="5480" w:space="460"/>
            <w:col w:w="5480"/>
          </w:cols>
          <w:pgMar w:left="240" w:top="44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 * * *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completed the following acquisitions in 2017, 2016 and 2015. Financial results of each transaction are included in our Consolidated Statements of Income from the date of each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Purchase</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Total Net Liabilities</w:t>
            </w:r>
          </w:p>
        </w:tc>
        <w:tc>
          <w:tcPr>
            <w:tcW w:w="14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Total Net Deferred Tax</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Acquired</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4"/>
        </w:trPr>
        <w:tc>
          <w:tcPr>
            <w:tcW w:w="2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Consideration</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Acquired</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3"/>
              </w:rPr>
              <w:t>Liability</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5"/>
              </w:rPr>
              <w:t>Intangible Assets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Goodwill</w:t>
            </w:r>
          </w:p>
        </w:tc>
      </w:tr>
      <w:tr>
        <w:trPr>
          <w:trHeight w:val="249"/>
        </w:trPr>
        <w:tc>
          <w:tcPr>
            <w:tcW w:w="2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2"/>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eVestment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
        </w:trPr>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type w:val="continuous"/>
        </w:sectPr>
      </w:pP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amounts in the table above represent the preliminary allocation of purchase price as of December 31, 2017 and are subject to revision during the remainder of the measurement period, a period not to exceed 12 months from the acquisition date. Adjustments to the provisional values, which may include tax and other estimates, during the measurement period will be recorded in the reporting period in which the adjustment amounts are determined. Changes to amounts recorded as assets and liabilities may result in a corresponding adjustment to goodwill.</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“Intangible Assets” below for further discussion of intangible assets acquired in the eVestment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eVestment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we acquired eVestment for $705 million. The aggregate cash consideration of $744 million, which is net of</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acquired of $22 million, included $39 million of estimated tax benefits associated with the transaction. We acquired net liabilities, at fair value, totaling $10 million and we recorded a net deferred tax liability of $104 million, which is net of the $39 million in estimated tax benefits associated with the transaction. The deferred tax liability recorded of $143 million relates to differences in the U.S. GAAP and tax basis of our investment in eVestment. eVestment is part of our Information Services segment.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used cash on hand and issuances of commercial paper to fund this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Sybenetix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2017, we acquired Sybenetix for an immaterial 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Sybenetix is part of our Market Technology segment.</w:t>
      </w:r>
    </w:p>
    <w:p>
      <w:pPr>
        <w:spacing w:after="0" w:line="37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445" w:right="2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Purchase</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Total Net Assets</w:t>
            </w:r>
          </w:p>
        </w:tc>
        <w:tc>
          <w:tcPr>
            <w:tcW w:w="14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Total Net Deferred Tax</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Acquired</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4"/>
        </w:trPr>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6"/>
              </w:rPr>
              <w:t>Consideration</w:t>
            </w: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0"/>
              </w:rPr>
              <w:t>(Liabilities) Acquired</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3"/>
              </w:rPr>
              <w:t>Liability</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5"/>
              </w:rPr>
              <w:t>Intangible Assets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Goodwill</w:t>
            </w:r>
          </w:p>
        </w:tc>
      </w:tr>
      <w:tr>
        <w:trPr>
          <w:trHeight w:val="249"/>
        </w:trPr>
        <w:tc>
          <w:tcPr>
            <w:tcW w:w="2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8"/>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Boardvantage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Marketwired</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64"/>
        </w:trPr>
        <w:tc>
          <w:tcPr>
            <w:tcW w:w="2140" w:type="dxa"/>
            <w:vAlign w:val="bottom"/>
          </w:tcPr>
          <w:p>
            <w:pPr>
              <w:ind w:left="40"/>
              <w:spacing w:after="0"/>
              <w:rPr>
                <w:sz w:val="20"/>
                <w:szCs w:val="20"/>
                <w:color w:val="auto"/>
              </w:rPr>
            </w:pPr>
            <w:r>
              <w:rPr>
                <w:rFonts w:ascii="Arial" w:cs="Arial" w:eastAsia="Arial" w:hAnsi="Arial"/>
                <w:sz w:val="18"/>
                <w:szCs w:val="18"/>
                <w:color w:val="auto"/>
              </w:rPr>
              <w:t>Nasdaq Canada</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amounts in the table above represent the final allocation of purchase price for each acquisition. The allocations of the purchase price were subject to revision during the measurement period, a period not to exceed 12 months from the acquisition date. Adjustments to the provisional values, which may include tax and other estimates, during the measurement period are recorded in the reporting period in which the adjustment amounts are determined. We finalized the allocation of the purchase price for Marketwired and Nasdaq Canada in February 2017. In the second quarter of 2017, we finalized the allocation of the purchase price for Boardvantage and ISE. There were no adjustments to the provisional values during the 12-month measurement period for Nasdaq Canada and ISE. In the second quarter of 2016, we recorded a measurement period adjustment of $5 million related to our acquisition of Marketwired which is discussed below under “Acquisition of Marketwired.” In the second quarter of 2017, we recorded a measurement period adjustment of $7 million related to our acquisition of Boardvantage which is discussed below under “Acquisition of Boardvantage.”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“Intangible Assets” below for further discussion of intangible assets acquired through our 2016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ISE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we acquired ISE for $1,070 million. We acquired net assets, at fair value, totaling $83 million and recorded a net deferred tax liability of $185 million, comprised of a deferred tax liability of $266 million and a deferred tax asset of $81 million, related to differences in the U.S. GAAP and tax basis of our investment in ISE. ISE is part of our Market Services, Information Services and Market Technology segments.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we issued the 2023 Notes and in June 2016, we issued the 2026 Notes to fund this acquisition. See “1.75% Senior Unsecured Notes,” and “3.85% Senior Unsecured Notes,” of Note 10, “Debt Obligations,” for further discussion.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Boardvantage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2016, we acquired Boardvantage for $242 million ($197 million in cash paid plus $45 million in working capital adjustments, which primarily includes cash acquired). We acquired net assets, at fair value, totaling $28 million and recorded a net deferred tax liability of $45 million, comprised of a deferred tax liability of $46 million and a deferred tax asset of $1 million, related to differences in the U.S. GAAP and tax</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basis of our investment in Boardvantage. In the second quarter of 2017, we recorded a measurement period adjustment of $7 million to the estimated fair value of deferred tax assets to reflect a revised assessment following the receipt of new information. The adjustment resulted in an increase to deferred tax assets recorded and a decrease to goodwill. The adjustment did not result in an impact to our Consolidated Statements of Income. Boardvantage is part of our Corporate Solutions business within our Corporate Services segment.</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borrowed $197 million under the revolving credit commitment of a previous credit facility to fund this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Marketwired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2016, we acquired Marketwired for $111 million ($109 million in cash paid plus $2 million in working capital adjustments). We acquired net liabilities, at fair value, totaling $1 million and recorded a deferred tax liability of $10 million related to differences in the U.S. GAAP and tax basis of our investment in Marketwired. In the second quarter of 2016, we recorded a measurement period adjustment of $5 million to the estimated fair value of deferred tax liabilities to reflect a revised assessment following the receipt of new information. The adjustment resulted in a decrease to both deferred tax liabilities recorded and goodwill. The adjustment did not result in an impact to our Consolidated Statements of Income. Marketwired is part of our Corporate Solutions business within our Corporate Services segment.</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borrowed $109 million under the revolving credit commitment of a previous credit facility to fund this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Nasdaq Canada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we acquired Nasdaq Canada for $116 million ($115 million in cash paid plus $1 million in working capital adjustments). We acquired net assets, at fair value, totaling $6 million and recorded a deferred tax liability of $20 million related to differences in the U.S. GAAP and tax basis of our investment in Nasdaq Canada. Nasdaq Canada is part of our Market Services segment and our Data Products business within our Information Services segment.</w:t>
      </w:r>
    </w:p>
    <w:p>
      <w:pPr>
        <w:spacing w:after="0" w:line="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Nasdaq used cash on hand and borrowed $55 million under the revolving credit commitment of a previous credit facility to fund this acquisition.</w:t>
      </w:r>
    </w:p>
    <w:p>
      <w:pPr>
        <w:spacing w:after="0" w:line="6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445"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Purchase</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Total Net Assets</w:t>
            </w:r>
          </w:p>
        </w:tc>
        <w:tc>
          <w:tcPr>
            <w:tcW w:w="13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Total Net Deferred</w:t>
            </w:r>
          </w:p>
        </w:tc>
        <w:tc>
          <w:tcPr>
            <w:tcW w:w="20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Acquired</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4"/>
        </w:trPr>
        <w:tc>
          <w:tcPr>
            <w:tcW w:w="3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Consideration</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8"/>
              </w:rPr>
              <w:t>Acquired</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3"/>
              </w:rPr>
              <w:t>Tax Liability</w:t>
            </w: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89"/>
              </w:rPr>
              <w:t>Intangible Assets</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Goodwill</w:t>
            </w:r>
          </w:p>
        </w:tc>
      </w:tr>
      <w:tr>
        <w:trPr>
          <w:trHeight w:val="276"/>
        </w:trPr>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2"/>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DWA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finalized the allocation of the purchase price for DWA in January 2016. There were no adjustments to the provisional values for this acquisition during the 12-month measurement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“Intangible Assets” below for further discussion of intangible assets acquired in the DWA acquisition.</w:t>
      </w:r>
    </w:p>
    <w:p>
      <w:pPr>
        <w:sectPr>
          <w:pgSz w:w="11900" w:h="16838" w:orient="portrait"/>
          <w:cols w:equalWidth="0" w:num="1">
            <w:col w:w="11420"/>
          </w:cols>
          <w:pgMar w:left="240" w:top="44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DWA</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we completed the acquisition of DWA for $226 million ($225 million cash paid plus $1 million in working capital adjustments). We acquired net assets, at fair value, totaling $8 million and recorded a deferred tax liability of $34 million related to differences in the U.S. GAAP and tax basis of our investment in DWA. DWA is part of our Data Products and Index Licensing and Services businesses within our Information Services segment.</w:t>
      </w:r>
    </w:p>
    <w:p>
      <w:pPr>
        <w:spacing w:after="0" w:line="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Nasdaq used cash on hand and borrowed $100 million under the revolving credit commitment of a previous credit facility to fund this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Full Ownership of NPM and Acquisition of SecondMarket</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2015, we acquired full ownership of NPM following the acquisition of the minority stake that was previously held by a third party. In addition, through NPM, we acquired SecondMarket. The additional ownership interest in NPM and SecondMarket were purchased for an immaterial amount. NPM and SecondMarket are part of our Listing Services business within our Corporate Services segment.</w:t>
      </w:r>
    </w:p>
    <w:p>
      <w:pPr>
        <w:spacing w:after="0" w:line="52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i w:val="1"/>
          <w:iCs w:val="1"/>
          <w:color w:val="auto"/>
        </w:rPr>
        <w:t>* *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presents the details of acquired intangible assets at the date of each acquisition. All acquired intangible assets with finite lives are amortized using the straight-line method.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2015</w:t>
            </w:r>
          </w:p>
        </w:tc>
      </w:tr>
      <w:tr>
        <w:trPr>
          <w:trHeight w:val="144"/>
        </w:trPr>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Nasdaq</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4"/>
        </w:trPr>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eVestment</w:t>
            </w:r>
          </w:p>
        </w:tc>
        <w:tc>
          <w:tcPr>
            <w:tcW w:w="160" w:type="dxa"/>
            <w:vAlign w:val="bottom"/>
          </w:tcPr>
          <w:p>
            <w:pPr>
              <w:spacing w:after="0"/>
              <w:rPr>
                <w:sz w:val="15"/>
                <w:szCs w:val="15"/>
                <w:color w:val="auto"/>
              </w:rPr>
            </w:pPr>
          </w:p>
        </w:tc>
        <w:tc>
          <w:tcPr>
            <w:tcW w:w="940" w:type="dxa"/>
            <w:vAlign w:val="bottom"/>
            <w:gridSpan w:val="2"/>
          </w:tcPr>
          <w:p>
            <w:pPr>
              <w:ind w:left="300"/>
              <w:spacing w:after="0"/>
              <w:rPr>
                <w:sz w:val="20"/>
                <w:szCs w:val="20"/>
                <w:color w:val="auto"/>
              </w:rPr>
            </w:pPr>
            <w:r>
              <w:rPr>
                <w:rFonts w:ascii="Arial" w:cs="Arial" w:eastAsia="Arial" w:hAnsi="Arial"/>
                <w:sz w:val="13"/>
                <w:szCs w:val="13"/>
                <w:b w:val="1"/>
                <w:bCs w:val="1"/>
                <w:color w:val="auto"/>
              </w:rPr>
              <w:t>ISE</w:t>
            </w: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Boardvantage</w:t>
            </w:r>
          </w:p>
        </w:tc>
        <w:tc>
          <w:tcPr>
            <w:tcW w:w="1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Marketwired</w:t>
            </w:r>
          </w:p>
        </w:tc>
        <w:tc>
          <w:tcPr>
            <w:tcW w:w="2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Canada</w:t>
            </w:r>
          </w:p>
        </w:tc>
        <w:tc>
          <w:tcPr>
            <w:tcW w:w="140" w:type="dxa"/>
            <w:vAlign w:val="bottom"/>
          </w:tcPr>
          <w:p>
            <w:pPr>
              <w:spacing w:after="0"/>
              <w:rPr>
                <w:sz w:val="15"/>
                <w:szCs w:val="15"/>
                <w:color w:val="auto"/>
              </w:rPr>
            </w:pPr>
          </w:p>
        </w:tc>
        <w:tc>
          <w:tcPr>
            <w:tcW w:w="820" w:type="dxa"/>
            <w:vAlign w:val="bottom"/>
          </w:tcPr>
          <w:p>
            <w:pPr>
              <w:jc w:val="right"/>
              <w:ind w:right="194"/>
              <w:spacing w:after="0"/>
              <w:rPr>
                <w:sz w:val="20"/>
                <w:szCs w:val="20"/>
                <w:color w:val="auto"/>
              </w:rPr>
            </w:pPr>
            <w:r>
              <w:rPr>
                <w:rFonts w:ascii="Arial" w:cs="Arial" w:eastAsia="Arial" w:hAnsi="Arial"/>
                <w:sz w:val="13"/>
                <w:szCs w:val="13"/>
                <w:b w:val="1"/>
                <w:bCs w:val="1"/>
                <w:color w:val="auto"/>
              </w:rPr>
              <w:t>DWA</w:t>
            </w:r>
          </w:p>
        </w:tc>
      </w:tr>
      <w:tr>
        <w:trPr>
          <w:trHeight w:val="254"/>
        </w:trPr>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8"/>
              </w:rPr>
              <w:t>($ in millions)</w:t>
            </w: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219"/>
        </w:trPr>
        <w:tc>
          <w:tcPr>
            <w:tcW w:w="2980" w:type="dxa"/>
            <w:vAlign w:val="bottom"/>
            <w:gridSpan w:val="3"/>
          </w:tcPr>
          <w:p>
            <w:pPr>
              <w:ind w:left="40"/>
              <w:spacing w:after="0"/>
              <w:rPr>
                <w:sz w:val="20"/>
                <w:szCs w:val="20"/>
                <w:color w:val="auto"/>
              </w:rPr>
            </w:pPr>
            <w:r>
              <w:rPr>
                <w:rFonts w:ascii="Arial" w:cs="Arial" w:eastAsia="Arial" w:hAnsi="Arial"/>
                <w:sz w:val="18"/>
                <w:szCs w:val="18"/>
                <w:b w:val="1"/>
                <w:bCs w:val="1"/>
                <w:color w:val="auto"/>
              </w:rPr>
              <w:t>Intangible Assets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Exchange registrations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940" w:type="dxa"/>
            <w:vAlign w:val="bottom"/>
            <w:gridSpan w:val="2"/>
          </w:tcPr>
          <w:p>
            <w:pPr>
              <w:ind w:left="140"/>
              <w:spacing w:after="0"/>
              <w:rPr>
                <w:sz w:val="20"/>
                <w:szCs w:val="20"/>
                <w:color w:val="auto"/>
              </w:rPr>
            </w:pPr>
            <w:r>
              <w:rPr>
                <w:rFonts w:ascii="Arial" w:cs="Arial" w:eastAsia="Arial" w:hAnsi="Arial"/>
                <w:sz w:val="18"/>
                <w:szCs w:val="18"/>
                <w:color w:val="auto"/>
              </w:rPr>
              <w:t>Discount rate used</w:t>
            </w:r>
          </w:p>
        </w:tc>
        <w:tc>
          <w:tcPr>
            <w:tcW w:w="16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Estimated average useful life</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Discount rate used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940" w:type="dxa"/>
            <w:vAlign w:val="bottom"/>
            <w:gridSpan w:val="2"/>
          </w:tcPr>
          <w:p>
            <w:pPr>
              <w:ind w:left="140"/>
              <w:spacing w:after="0"/>
              <w:rPr>
                <w:sz w:val="20"/>
                <w:szCs w:val="20"/>
                <w:color w:val="auto"/>
              </w:rPr>
            </w:pPr>
            <w:r>
              <w:rPr>
                <w:rFonts w:ascii="Arial" w:cs="Arial" w:eastAsia="Arial" w:hAnsi="Arial"/>
                <w:sz w:val="18"/>
                <w:szCs w:val="18"/>
                <w:color w:val="auto"/>
              </w:rPr>
              <w:t>Estimated average useful life</w:t>
            </w:r>
          </w:p>
        </w:tc>
        <w:tc>
          <w:tcPr>
            <w:tcW w:w="16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years</w:t>
            </w:r>
          </w:p>
        </w:tc>
        <w:tc>
          <w:tcPr>
            <w:tcW w:w="1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 years</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 years</w:t>
            </w:r>
          </w:p>
        </w:tc>
        <w:tc>
          <w:tcPr>
            <w:tcW w:w="1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6 years</w:t>
            </w:r>
          </w:p>
        </w:tc>
        <w:tc>
          <w:tcPr>
            <w:tcW w:w="1020" w:type="dxa"/>
            <w:vAlign w:val="bottom"/>
            <w:gridSpan w:val="3"/>
          </w:tcPr>
          <w:p>
            <w:pPr>
              <w:ind w:left="120"/>
              <w:spacing w:after="0"/>
              <w:rPr>
                <w:sz w:val="20"/>
                <w:szCs w:val="20"/>
                <w:color w:val="auto"/>
              </w:rPr>
            </w:pPr>
            <w:r>
              <w:rPr>
                <w:rFonts w:ascii="Arial" w:cs="Arial" w:eastAsia="Arial" w:hAnsi="Arial"/>
                <w:sz w:val="18"/>
                <w:szCs w:val="18"/>
                <w:color w:val="auto"/>
              </w:rPr>
              <w:t>17 years</w:t>
            </w:r>
          </w:p>
        </w:tc>
        <w:tc>
          <w:tcPr>
            <w:tcW w:w="140" w:type="dxa"/>
            <w:vAlign w:val="bottom"/>
          </w:tcPr>
          <w:p>
            <w:pPr>
              <w:spacing w:after="0"/>
              <w:rPr>
                <w:sz w:val="20"/>
                <w:szCs w:val="20"/>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w w:val="86"/>
              </w:rPr>
              <w:t>15 years</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Trade name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108</w:t>
            </w:r>
          </w:p>
        </w:tc>
      </w:tr>
      <w:tr>
        <w:trPr>
          <w:trHeight w:val="243"/>
        </w:trPr>
        <w:tc>
          <w:tcPr>
            <w:tcW w:w="40" w:type="dxa"/>
            <w:vAlign w:val="bottom"/>
          </w:tcPr>
          <w:p>
            <w:pPr>
              <w:spacing w:after="0"/>
              <w:rPr>
                <w:sz w:val="21"/>
                <w:szCs w:val="21"/>
                <w:color w:val="auto"/>
              </w:rPr>
            </w:pPr>
          </w:p>
        </w:tc>
        <w:tc>
          <w:tcPr>
            <w:tcW w:w="2940" w:type="dxa"/>
            <w:vAlign w:val="bottom"/>
            <w:gridSpan w:val="2"/>
          </w:tcPr>
          <w:p>
            <w:pPr>
              <w:ind w:left="140"/>
              <w:spacing w:after="0"/>
              <w:rPr>
                <w:sz w:val="20"/>
                <w:szCs w:val="20"/>
                <w:color w:val="auto"/>
              </w:rPr>
            </w:pPr>
            <w:r>
              <w:rPr>
                <w:rFonts w:ascii="Arial" w:cs="Arial" w:eastAsia="Arial" w:hAnsi="Arial"/>
                <w:sz w:val="18"/>
                <w:szCs w:val="18"/>
                <w:color w:val="auto"/>
              </w:rPr>
              <w:t>Discount rate used</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Estimated average useful life</w:t>
            </w:r>
          </w:p>
        </w:tc>
        <w:tc>
          <w:tcPr>
            <w:tcW w:w="9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8 years</w:t>
            </w:r>
          </w:p>
        </w:tc>
        <w:tc>
          <w:tcPr>
            <w:tcW w:w="11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 year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 years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Indefinite</w:t>
            </w: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b w:val="1"/>
                <w:bCs w:val="1"/>
                <w:color w:val="auto"/>
              </w:rPr>
              <w:t>Technology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Discount rate used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40" w:type="dxa"/>
            <w:vAlign w:val="bottom"/>
          </w:tcPr>
          <w:p>
            <w:pPr>
              <w:spacing w:after="0"/>
              <w:rPr>
                <w:sz w:val="21"/>
                <w:szCs w:val="21"/>
                <w:color w:val="auto"/>
              </w:rPr>
            </w:pPr>
          </w:p>
        </w:tc>
        <w:tc>
          <w:tcPr>
            <w:tcW w:w="2940" w:type="dxa"/>
            <w:vAlign w:val="bottom"/>
            <w:gridSpan w:val="2"/>
          </w:tcPr>
          <w:p>
            <w:pPr>
              <w:ind w:left="140"/>
              <w:spacing w:after="0"/>
              <w:rPr>
                <w:sz w:val="20"/>
                <w:szCs w:val="20"/>
                <w:color w:val="auto"/>
              </w:rPr>
            </w:pPr>
            <w:r>
              <w:rPr>
                <w:rFonts w:ascii="Arial" w:cs="Arial" w:eastAsia="Arial" w:hAnsi="Arial"/>
                <w:sz w:val="18"/>
                <w:szCs w:val="18"/>
                <w:color w:val="auto"/>
              </w:rPr>
              <w:t>Estimated average useful life</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8 years</w:t>
            </w:r>
          </w:p>
        </w:tc>
        <w:tc>
          <w:tcPr>
            <w:tcW w:w="16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 years</w:t>
            </w:r>
          </w:p>
        </w:tc>
        <w:tc>
          <w:tcPr>
            <w:tcW w:w="1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5 years</w:t>
            </w: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141</w:t>
            </w: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Registrations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acquisition of ISE we acquired exchange registrations. The exchange registrations represent licenses that provide ISE with the ability to operate its options exchanges.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Nasdaq views these intangible assets as a perpetual license to operate the exchanges so long as ISE meets its regulatory requirements. Nasdaq selected a variation of the income approach called the Greenfield Approach to value the exchange</w:t>
      </w:r>
    </w:p>
    <w:p>
      <w:pPr>
        <w:spacing w:after="0" w:line="205"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445" w:right="239" w:bottom="1440" w:gutter="0" w:footer="0" w:header="0"/>
          <w:type w:val="continuous"/>
        </w:sectPr>
      </w:pPr>
    </w:p>
    <w:bookmarkStart w:id="96" w:name="page97"/>
    <w:bookmarkEnd w:id="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registrations. The Greenfield Approach refers to a discounted cash flow analysis that assumes the buyer is building the exchange from a start-up business to a normalized level of operations as of the acquisition date. This discounted cash flow model considers the required resources and eventual returns from the build-out of operational exchanges and the acquisition of customers, once the exchange registrations are obtained. The advantage of this approach is that it reflects the actual expectations that will arise from an investment in the registrations and it directly values the registrations. The Greenfield Approach relies on assumptions regarding projected revenues, margins, capital expenditures, depreciation, and working capital during the two year pre-trade phase, the 10 year ramp-up period, as well as the terminal period.</w:t>
      </w:r>
    </w:p>
    <w:p>
      <w:pPr>
        <w:spacing w:after="0" w:line="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developing a discount rate for the exchange registrations, we estimated a weighted-average cost of capital for the overall business and we employed this rate when discounting the cash flows. The resulting discounted cash flows were then tax-effected at the applicable statutory rate.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Relationships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all of our 2017, 2016 and 2015 acquisitions, we acquired customer relationships. Customer relationships represent the non-contractual and contractual relationships with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Methodology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our acquisitions of eVestment, ISE, Boardvantage, Marketwired and Nasdaq Canada, customer relationships were valued using the income approach, specifically an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DWA customer relationships were valued individually for each of DWA’s businesses using the income approach, specifically the with-and-without method. The with-and-without method is commonly used when the cash flows of a business can be estimated with and without the asset in place. The premise associated with this valuation technique is that the value of an asset is represented by the differences in the subject business’ cash flows under scenarios where (a) the asset is present and is used in operations (with); and (b) the asset is absent and not used in operations (without). Cash flow differentials are then discounted to present value to arrive at an estimate of fair value for the asset.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estimated that without current customer relationships, it would take approximately 3-6 years, depending on the business, for the customer base to grow to 100.0% of current projected revenues. We also made estimates related to compensation levels and other expenses such as sales and marketing that would be incurred as the business was ramped up through the year in which the customer base would be expected to reach the level that currently exists.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discount rates used reflect the amount of risk associated with the hypothetical cash flows for the customer relationships relative to the overall business. In developing a discount rate for the customer relationships, we estimated a weighted-average cost of capital for the overall business and we employed this rate when discounting the cash flows. The resulting discounted cash flows were then tax-effected at the applicable statutory rate.</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acquisitions of eVestment, Marketwired, Nasdaq Canada, and DWA a discounted tax amortization benefit was added to the fair value of the assets under the assumption that the customer relationships would be amortized for tax purposes over a period of 15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Useful Life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estimate the useful life based on the historical behavior of the customers and a parallel analysis of the customers using the excess earnings method.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Names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acquisitions of eVestment, ISE, and DWA, we acquired trade names. These trade names are recognized in their respective industries and carry a reputation for quality. As such, the reputation and positive recognition embodied in these trade names are valuable assets to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eVestment and ISE Trade Names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eVestment and ISE trade names were valued using the </w:t>
      </w:r>
      <w:r>
        <w:rPr>
          <w:rFonts w:ascii="Arial" w:cs="Arial" w:eastAsia="Arial" w:hAnsi="Arial"/>
          <w:sz w:val="17"/>
          <w:szCs w:val="17"/>
          <w:color w:val="252525"/>
        </w:rPr>
        <w:t>income approach,</w:t>
      </w:r>
      <w:r>
        <w:rPr>
          <w:rFonts w:ascii="Arial" w:cs="Arial" w:eastAsia="Arial" w:hAnsi="Arial"/>
          <w:sz w:val="17"/>
          <w:szCs w:val="17"/>
          <w:color w:val="auto"/>
        </w:rPr>
        <w:t xml:space="preserve"> </w:t>
      </w:r>
      <w:r>
        <w:rPr>
          <w:rFonts w:ascii="Arial" w:cs="Arial" w:eastAsia="Arial" w:hAnsi="Arial"/>
          <w:sz w:val="17"/>
          <w:szCs w:val="17"/>
          <w:color w:val="252525"/>
        </w:rPr>
        <w:t xml:space="preserve">specifically the </w:t>
      </w:r>
      <w:r>
        <w:rPr>
          <w:rFonts w:ascii="Arial" w:cs="Arial" w:eastAsia="Arial" w:hAnsi="Arial"/>
          <w:sz w:val="17"/>
          <w:szCs w:val="17"/>
          <w:color w:val="000000"/>
        </w:rPr>
        <w:t>relief-from-royalty method, or RFRM. The RFRM is used to</w:t>
      </w:r>
      <w:r>
        <w:rPr>
          <w:rFonts w:ascii="Arial" w:cs="Arial" w:eastAsia="Arial" w:hAnsi="Arial"/>
          <w:sz w:val="17"/>
          <w:szCs w:val="17"/>
          <w:color w:val="252525"/>
        </w:rPr>
        <w:t xml:space="preserve"> </w:t>
      </w:r>
      <w:r>
        <w:rPr>
          <w:rFonts w:ascii="Arial" w:cs="Arial" w:eastAsia="Arial" w:hAnsi="Arial"/>
          <w:sz w:val="17"/>
          <w:szCs w:val="17"/>
          <w:color w:val="000000"/>
        </w:rPr>
        <w:t>es</w:t>
      </w:r>
      <w:r>
        <w:rPr>
          <w:rFonts w:ascii="Arial" w:cs="Arial" w:eastAsia="Arial" w:hAnsi="Arial"/>
          <w:sz w:val="17"/>
          <w:szCs w:val="17"/>
          <w:color w:val="252525"/>
        </w:rPr>
        <w:t>timate the cost savings that accrue to the owner of an intangible asset who</w:t>
      </w:r>
      <w:r>
        <w:rPr>
          <w:rFonts w:ascii="Arial" w:cs="Arial" w:eastAsia="Arial" w:hAnsi="Arial"/>
          <w:sz w:val="17"/>
          <w:szCs w:val="17"/>
          <w:color w:val="000000"/>
        </w:rPr>
        <w:t xml:space="preserve"> </w:t>
      </w:r>
      <w:r>
        <w:rPr>
          <w:rFonts w:ascii="Arial" w:cs="Arial" w:eastAsia="Arial" w:hAnsi="Arial"/>
          <w:sz w:val="17"/>
          <w:szCs w:val="17"/>
          <w:color w:val="252525"/>
        </w:rPr>
        <w:t>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trade name and discounted to present value.</w:t>
      </w:r>
    </w:p>
    <w:p>
      <w:pPr>
        <w:spacing w:after="0" w:line="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discount rates used reflect the amount of risk associated with the hypothetical cash flows for each trade name relative to the overall business as discussed above in “Customer Relationships.”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estimated the useful life of the eVestment trade name to be 8 years and the estimated useful life of the ISE trade name to be indefinite based on the number of years the name has been in service, its popularity within the industry, and our intention to continue to use it in the branding of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DWA Trade Name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DWA trade name was considered the primary asset acquired in the DWA transaction. In valuing the acquired trade name, we used the income approach, specifically the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445" w:right="239" w:bottom="1440" w:gutter="0" w:footer="0" w:header="0"/>
          <w:type w:val="continuous"/>
        </w:sectPr>
      </w:pPr>
    </w:p>
    <w:bookmarkStart w:id="97" w:name="page98"/>
    <w:bookmarkEnd w:id="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discount rate used reflects the amount of risk associated with the hypothetical cash flows generated by the DWA trade name in the future. In developing a discount rate for the trade name, we estimated a weighted average cost of capital for the overall business and we employed this rate when discounting the cash flows. The resulting discounted cash flows were then tax-effected at the applicable statutory rate, and a discounted tax amortization benefit was added to the fair value of the asset under the assumption that the trade name would be amortized for tax purposes over a period of 15 years.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estimated the useful life of the trade name to be indefinite. The useful life was based on several factors including the number of years the name has been in service, its popularity within the industry, and our intention to continue its use in the branding of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Technology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our acquisitions of eVestment, Boardvantage, and DWA, we acquired developed technology.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Methodology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developed technologies were valued using the </w:t>
      </w:r>
      <w:r>
        <w:rPr>
          <w:rFonts w:ascii="Arial" w:cs="Arial" w:eastAsia="Arial" w:hAnsi="Arial"/>
          <w:sz w:val="18"/>
          <w:szCs w:val="18"/>
          <w:color w:val="252525"/>
        </w:rPr>
        <w:t>income approach,</w:t>
      </w:r>
      <w:r>
        <w:rPr>
          <w:rFonts w:ascii="Arial" w:cs="Arial" w:eastAsia="Arial" w:hAnsi="Arial"/>
          <w:sz w:val="18"/>
          <w:szCs w:val="18"/>
          <w:color w:val="auto"/>
        </w:rPr>
        <w:t xml:space="preserve"> </w:t>
      </w:r>
      <w:r>
        <w:rPr>
          <w:rFonts w:ascii="Arial" w:cs="Arial" w:eastAsia="Arial" w:hAnsi="Arial"/>
          <w:sz w:val="18"/>
          <w:szCs w:val="18"/>
          <w:color w:val="252525"/>
        </w:rPr>
        <w:t xml:space="preserve">specifically the </w:t>
      </w:r>
      <w:r>
        <w:rPr>
          <w:rFonts w:ascii="Arial" w:cs="Arial" w:eastAsia="Arial" w:hAnsi="Arial"/>
          <w:sz w:val="18"/>
          <w:szCs w:val="18"/>
          <w:color w:val="000000"/>
        </w:rPr>
        <w:t>RFRM as discussed above in “Trade Names.”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discount rates used reflect the amount of risk associated with the hypothetical cash flows for each developed technology relative to the overall business as discussed above in “Customer Relationships.”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Useful Life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estimated the useful life of the eVestment technology to be 8 years and the estimated useful life of the Boardvantage technology and DWA technology to be 5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and Acquisition-related Costs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for the years ended December 31, 2017, 2016 and 2015 include the financial results of the above 2017, 2016 and 2015 acquisitions from the date of each acquisition. Pro forma financial results for acquisitions completed in 2017, 2016 and 2015 have not been presented since these acquisitions both individually and in the aggregate were not material to our financial results.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Acquisition-related costs for the transactions described above were expensed as incurred and are included in merger and strategic initiatives expense in the Consolidated Statements of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Assets and Liabilities Held For Sale</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classify assets and liabilities as held for sale (disposal group)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whether the disposal group is marketed actively for sale at a price that is reasonable in relation to its current fair value, and whether actions required to complete the plan indicate that it is unlikely that significant changes to the plan will be made or that the plan will be withdrawn. We initially measure a disposal group that is classified as held for sale at the lower of its carrying amount or fair value less costs to sell. Any loss resulting from this measurement is recognized in the period in which the held for sale criteria are met. Conversely, gains are not recognized until the date of sale. We assess the fair value of a disposal group less costs to sell each reporting period it remains classified as held for sale and report any subsequent changes as an adjustment to the carrying amount of the disposal group, as long as the new carrying amount does not exceed the carrying amount of the disposal group at the time it was initially classified as held for sale. Assets are not depreciated or amortized while they are classified as held for sale. Upon determining that a disposal group meets the criteria to be classified as held for sale, we report the assets and liabilities of the disposal group as assets held for sale and liabilities held for sale in our Consolidated Balance Sheets.</w:t>
      </w:r>
    </w:p>
    <w:p>
      <w:pPr>
        <w:spacing w:after="0" w:line="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2017, we commenced a process to evaluate strategic alternatives for our Public Relations Solutions and Digital Media Services businesses within our Corporate Solutions business as part of our strategic refinement. The Corporate Solutions business is part of our Corporate Services segment. The Public Relations Solutions and Digital Media Services businesses include the following products and services:</w:t>
      </w:r>
    </w:p>
    <w:p>
      <w:pPr>
        <w:spacing w:after="0" w:line="124"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Nasdaq GlobeNewswire;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Nasdaq Influencers;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Nasdaq Media Intelligence;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Nasdaq IR Websites and Newsrooms;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Nasdaq Webcasts.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 result of the above, we determined that we met all of the criteria to classify the assets and liabilities of these businesses as held for sale as of September 30, 2017. The disposal of these businesses did not represent a strategic shift that would have a major effect on our operations and financial results and is, therefore, not classified as discontinued operations. No impairment charge was recorded for the year ended December 31, 2017 as the carrying amount of the net assets was less than the fair value less costs to sell. Fair value was determined based upon the anticipated sales price of these businesses based on current market conditions and assumptions made by management, which may differ from actual results and may result in an impairment if market conditions deteriorate. In January 2018, we announced that we entered into a definitive agreement to sell our Public Relations Solutions and Digital Media Services businesses. Based on the sales price in the agreement, no impairment charge was recorded. See “Definitive Agreement to Sell our Public Relations Solutions and Digital Media Services Businesses,” of Note 21, “Subsequent Events,” for further discussion.</w:t>
      </w:r>
    </w:p>
    <w:p>
      <w:pPr>
        <w:spacing w:after="0" w:line="717"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445"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amounts of the major classes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classified as held for sale in the Consolidated Balance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w w:val="93"/>
              </w:rPr>
              <w:t>December 31, 2017</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55"/>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32"/>
        </w:trPr>
        <w:tc>
          <w:tcPr>
            <w:tcW w:w="3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3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 held for sale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3680" w:type="dxa"/>
            <w:vAlign w:val="bottom"/>
          </w:tcPr>
          <w:p>
            <w:pPr>
              <w:ind w:left="180"/>
              <w:spacing w:after="0"/>
              <w:rPr>
                <w:sz w:val="20"/>
                <w:szCs w:val="20"/>
                <w:color w:val="auto"/>
              </w:rPr>
            </w:pPr>
            <w:r>
              <w:rPr>
                <w:rFonts w:ascii="Arial" w:cs="Arial" w:eastAsia="Arial" w:hAnsi="Arial"/>
                <w:sz w:val="18"/>
                <w:szCs w:val="18"/>
                <w:color w:val="auto"/>
              </w:rPr>
              <w:t>Total liabilities held for sale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00" w:hanging="192"/>
        <w:spacing w:after="0" w:line="219" w:lineRule="auto"/>
        <w:tabs>
          <w:tab w:leader="none" w:pos="200" w:val="left"/>
        </w:tabs>
        <w:numPr>
          <w:ilvl w:val="0"/>
          <w:numId w:val="63"/>
        </w:numPr>
        <w:rPr>
          <w:rFonts w:ascii="Arial" w:cs="Arial" w:eastAsia="Arial" w:hAnsi="Arial"/>
          <w:sz w:val="23"/>
          <w:szCs w:val="23"/>
          <w:color w:val="auto"/>
          <w:vertAlign w:val="superscript"/>
        </w:rPr>
      </w:pPr>
      <w:r>
        <w:rPr>
          <w:rFonts w:ascii="Arial" w:cs="Arial" w:eastAsia="Arial" w:hAnsi="Arial"/>
          <w:sz w:val="17"/>
          <w:szCs w:val="17"/>
          <w:color w:val="auto"/>
        </w:rPr>
        <w:t>The assignment of goodwill was based on the relative fair value of the disposal group and the portion of the remaining reporting unit.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by business segment during the year ended 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Services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Corporate Services</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Information Services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Market Technology</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3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Goodwill reclassified as held for sale</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7"/>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0"/>
                <w:szCs w:val="2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176"/>
        </w:trPr>
        <w:tc>
          <w:tcPr>
            <w:tcW w:w="41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8890</wp:posOffset>
            </wp:positionV>
            <wp:extent cx="46310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-127635</wp:posOffset>
            </wp:positionV>
            <wp:extent cx="892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left="200" w:hanging="192"/>
        <w:spacing w:after="0" w:line="220" w:lineRule="auto"/>
        <w:tabs>
          <w:tab w:leader="none" w:pos="200" w:val="left"/>
        </w:tabs>
        <w:numPr>
          <w:ilvl w:val="0"/>
          <w:numId w:val="64"/>
        </w:numPr>
        <w:rPr>
          <w:rFonts w:ascii="Arial" w:cs="Arial" w:eastAsia="Arial" w:hAnsi="Arial"/>
          <w:sz w:val="23"/>
          <w:szCs w:val="23"/>
          <w:color w:val="auto"/>
          <w:vertAlign w:val="superscript"/>
        </w:rPr>
      </w:pPr>
      <w:r>
        <w:rPr>
          <w:rFonts w:ascii="Arial" w:cs="Arial" w:eastAsia="Arial" w:hAnsi="Arial"/>
          <w:sz w:val="17"/>
          <w:szCs w:val="17"/>
          <w:color w:val="auto"/>
        </w:rPr>
        <w:t>See Note 5, “Assets and Liabilities Held for Sale,” for further discussion.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acquired for Information Services shown above relates to our acquisition of eVestment, and the goodwill acquired for Market Technology shown above relates to our acquisition of Sybenetix. See “2017 Acquisitions,” of Note 4, “Acquisitions,” for further discussion.</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second quarter of 2017, we recorded a measurement period adjustment of $7 million to the estimated fair value of deferred tax assets related to our acquisition of Boardvantage. See “Acquisition of Boardvantage,” of Note 4, “Acquisitions,” for further discussion of the Boardvantage acquisition. The adjustment was made to reflect a revised assessment of deferred tax assets following the receipt of new information. The adjustment resulted in an increase to deferred tax assets recorded and a decrease to goodwill and is reflected in the above table. The measurement period adjustment is included in our Consolidated Balance Sheets as of December 31, 2017. The adjustment did not result in an impact to our Consolidated Statements of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 amount of goodwill that is expected to be deductible for tax purposes in future periods is $864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-679450</wp:posOffset>
            </wp:positionV>
            <wp:extent cx="3670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4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There was no impairment of goodwill for the years ended December 31, 2017, 2016 and 2015; however, events such as extended economic weakness or unexpected significant declines in operating results of a reporting unit may result in goodwill impairment charges in the future.</w:t>
      </w:r>
    </w:p>
    <w:p>
      <w:pPr>
        <w:spacing w:after="0" w:line="40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445" w:right="2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our total acquired intangible assets, both finite- and indefinite-lived: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3"/>
                <w:szCs w:val="13"/>
                <w:b w:val="1"/>
                <w:bCs w:val="1"/>
                <w:color w:val="auto"/>
              </w:rPr>
              <w:t>December 31, 2016</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Weighted-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Weighted-</w:t>
            </w: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Average Useful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Average Useful</w:t>
            </w: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rPr>
              <w:t>Gross Amount</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3"/>
                <w:szCs w:val="13"/>
                <w:b w:val="1"/>
                <w:bCs w:val="1"/>
                <w:color w:val="auto"/>
                <w:w w:val="89"/>
              </w:rPr>
              <w:t>Net Amount</w:t>
            </w:r>
          </w:p>
        </w:tc>
        <w:tc>
          <w:tcPr>
            <w:tcW w:w="12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Life (in Years)</w:t>
            </w: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Gross Amount</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3"/>
                <w:szCs w:val="13"/>
                <w:b w:val="1"/>
                <w:bCs w:val="1"/>
                <w:color w:val="auto"/>
                <w:w w:val="92"/>
              </w:rPr>
              <w:t>Net Amount</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0"/>
              </w:rPr>
              <w:t>Life (in Years)</w:t>
            </w:r>
          </w:p>
        </w:tc>
      </w:tr>
      <w:tr>
        <w:trPr>
          <w:trHeight w:val="262"/>
        </w:trPr>
        <w:tc>
          <w:tcPr>
            <w:tcW w:w="24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8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Finite-Lived Intangible Assets</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Foreign currency translation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rPr>
              <w:t>Total finite-lived intangible</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05"/>
        </w:trPr>
        <w:tc>
          <w:tcPr>
            <w:tcW w:w="24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Indefinite-Lived Intangible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1"/>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Exchange and clearing</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registrations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Foreign currency translation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w w:val="97"/>
              </w:rPr>
              <w:t>Total indefinite-lived intangible</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decision to evaluate strategic alternatives for our Public Relations Solutions and Digital Media Services businesses within our Corporate Solutions business, we reclassified certain intangibles assets to held for sale. The following table presents the gross amount, accumulated amortization and net amount of finite-lived and indefinite-lived intangible assets that have been reclassified as assets held for sale as of December 31, 2017. See Note 5, “Assets and Liabilities Held for Sale,” for further discussion.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9"/>
              </w:rPr>
              <w:t>Gross</w:t>
            </w: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400" w:type="dxa"/>
            <w:vAlign w:val="bottom"/>
          </w:tcPr>
          <w:p>
            <w:pPr>
              <w:jc w:val="right"/>
              <w:ind w:right="97"/>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74"/>
        </w:trPr>
        <w:tc>
          <w:tcPr>
            <w:tcW w:w="2240" w:type="dxa"/>
            <w:vAlign w:val="bottom"/>
          </w:tcPr>
          <w:p>
            <w:pPr>
              <w:spacing w:after="0"/>
              <w:rPr>
                <w:sz w:val="15"/>
                <w:szCs w:val="15"/>
                <w:color w:val="auto"/>
              </w:rPr>
            </w:pPr>
          </w:p>
        </w:tc>
        <w:tc>
          <w:tcPr>
            <w:tcW w:w="6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9"/>
              </w:rPr>
              <w:t>Amount</w:t>
            </w: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0"/>
              </w:rPr>
              <w:t>Amortization</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249"/>
        </w:trPr>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 millions)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Finite-lived intangible assets</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reclassified as held for sale:</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240" w:type="dxa"/>
            <w:vAlign w:val="bottom"/>
          </w:tcPr>
          <w:p>
            <w:pPr>
              <w:ind w:left="40"/>
              <w:spacing w:after="0"/>
              <w:rPr>
                <w:sz w:val="20"/>
                <w:szCs w:val="20"/>
                <w:color w:val="auto"/>
              </w:rPr>
            </w:pPr>
            <w:r>
              <w:rPr>
                <w:rFonts w:ascii="Arial" w:cs="Arial" w:eastAsia="Arial" w:hAnsi="Arial"/>
                <w:sz w:val="18"/>
                <w:szCs w:val="18"/>
                <w:color w:val="auto"/>
              </w:rPr>
              <w:t>Total finite-lived intangible</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2"/>
        </w:trPr>
        <w:tc>
          <w:tcPr>
            <w:tcW w:w="2240" w:type="dxa"/>
            <w:vAlign w:val="bottom"/>
          </w:tcPr>
          <w:p>
            <w:pPr>
              <w:ind w:left="200"/>
              <w:spacing w:after="0"/>
              <w:rPr>
                <w:sz w:val="20"/>
                <w:szCs w:val="20"/>
                <w:color w:val="auto"/>
              </w:rPr>
            </w:pPr>
            <w:r>
              <w:rPr>
                <w:rFonts w:ascii="Arial" w:cs="Arial" w:eastAsia="Arial" w:hAnsi="Arial"/>
                <w:sz w:val="18"/>
                <w:szCs w:val="18"/>
                <w:color w:val="auto"/>
              </w:rPr>
              <w:t>assets held for sale</w:t>
            </w:r>
          </w:p>
        </w:tc>
        <w:tc>
          <w:tcPr>
            <w:tcW w:w="1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Amortization expense for acquired finite-lived intangible assets was $92 million for the year ended December 31, 2017, $82 million for the year ended December 31, 2016, and $62 million for the year ended December 31, 2015. Amortization expense increased in 2017 and 2016 primarily due to additional amortization expense associated with acquired intangible assets. The increase in 2017 was associated with our 2017 and 2016 acquisitions and the increase in 2016 was primarily associated with our 2016 acquisitions. These amounts are included in depreciation and amortization expense in the Consolidated Statements of Income.</w:t>
      </w:r>
    </w:p>
    <w:p>
      <w:pPr>
        <w:spacing w:after="0" w:line="2126"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 January 2018, we announced that we entered into a definitive agreement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 sell our Public Relations Solutions and Digital Media Services businesses.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See “Definitive Agreement to Sell our Public Relations Solutions and Digital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Media Services Businesses,” of Note 21, “Subsequent Events,” for further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445"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gridSpan w:val="9"/>
            <w:vMerge w:val="restart"/>
          </w:tcPr>
          <w:p>
            <w:pPr>
              <w:ind w:left="100"/>
              <w:spacing w:after="0"/>
              <w:rPr>
                <w:sz w:val="20"/>
                <w:szCs w:val="20"/>
                <w:color w:val="auto"/>
              </w:rPr>
            </w:pPr>
            <w:r>
              <w:rPr>
                <w:rFonts w:ascii="Arial" w:cs="Arial" w:eastAsia="Arial" w:hAnsi="Arial"/>
                <w:sz w:val="18"/>
                <w:szCs w:val="18"/>
                <w:color w:val="auto"/>
                <w:w w:val="94"/>
              </w:rPr>
              <w:t>assumptions used in our impairment tests are reasonable, but variations in</w:t>
            </w:r>
          </w:p>
        </w:tc>
        <w:tc>
          <w:tcPr>
            <w:tcW w:w="0" w:type="dxa"/>
            <w:vAlign w:val="bottom"/>
          </w:tcPr>
          <w:p>
            <w:pPr>
              <w:spacing w:after="0" w:line="20" w:lineRule="exact"/>
              <w:rPr>
                <w:sz w:val="1"/>
                <w:szCs w:val="1"/>
                <w:color w:val="auto"/>
              </w:rPr>
            </w:pPr>
          </w:p>
        </w:tc>
      </w:tr>
      <w:tr>
        <w:trPr>
          <w:trHeight w:val="574"/>
        </w:trPr>
        <w:tc>
          <w:tcPr>
            <w:tcW w:w="5720" w:type="dxa"/>
            <w:vAlign w:val="bottom"/>
            <w:gridSpan w:val="5"/>
          </w:tcPr>
          <w:p>
            <w:pPr>
              <w:spacing w:after="0"/>
              <w:rPr>
                <w:sz w:val="20"/>
                <w:szCs w:val="20"/>
                <w:color w:val="auto"/>
              </w:rPr>
            </w:pPr>
            <w:r>
              <w:rPr>
                <w:rFonts w:ascii="Arial" w:cs="Arial" w:eastAsia="Arial" w:hAnsi="Arial"/>
                <w:sz w:val="18"/>
                <w:szCs w:val="18"/>
                <w:color w:val="auto"/>
                <w:w w:val="95"/>
              </w:rPr>
              <w:t>The estimated future amortization expense (excluding the impact of foreign</w:t>
            </w:r>
          </w:p>
        </w:tc>
        <w:tc>
          <w:tcPr>
            <w:tcW w:w="5700" w:type="dxa"/>
            <w:vAlign w:val="bottom"/>
            <w:gridSpan w:val="9"/>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20" w:type="dxa"/>
            <w:vAlign w:val="bottom"/>
            <w:gridSpan w:val="5"/>
          </w:tcPr>
          <w:p>
            <w:pPr>
              <w:spacing w:after="0"/>
              <w:rPr>
                <w:sz w:val="20"/>
                <w:szCs w:val="20"/>
                <w:color w:val="auto"/>
              </w:rPr>
            </w:pPr>
            <w:r>
              <w:rPr>
                <w:rFonts w:ascii="Arial" w:cs="Arial" w:eastAsia="Arial" w:hAnsi="Arial"/>
                <w:sz w:val="18"/>
                <w:szCs w:val="18"/>
                <w:color w:val="auto"/>
                <w:w w:val="94"/>
              </w:rPr>
              <w:t>currency translation adjustments of $65 million as of December 31, 2017) of</w:t>
            </w:r>
          </w:p>
        </w:tc>
        <w:tc>
          <w:tcPr>
            <w:tcW w:w="5700" w:type="dxa"/>
            <w:vAlign w:val="bottom"/>
            <w:gridSpan w:val="9"/>
          </w:tcPr>
          <w:p>
            <w:pPr>
              <w:ind w:left="100"/>
              <w:spacing w:after="0"/>
              <w:rPr>
                <w:sz w:val="20"/>
                <w:szCs w:val="20"/>
                <w:color w:val="auto"/>
              </w:rPr>
            </w:pPr>
            <w:r>
              <w:rPr>
                <w:rFonts w:ascii="Arial" w:cs="Arial" w:eastAsia="Arial" w:hAnsi="Arial"/>
                <w:sz w:val="18"/>
                <w:szCs w:val="18"/>
                <w:color w:val="auto"/>
                <w:w w:val="97"/>
              </w:rPr>
              <w:t>any of the assumptions could result in different calculations of fair value.</w:t>
            </w:r>
          </w:p>
        </w:tc>
        <w:tc>
          <w:tcPr>
            <w:tcW w:w="0" w:type="dxa"/>
            <w:vAlign w:val="bottom"/>
          </w:tcPr>
          <w:p>
            <w:pPr>
              <w:spacing w:after="0"/>
              <w:rPr>
                <w:sz w:val="1"/>
                <w:szCs w:val="1"/>
                <w:color w:val="auto"/>
              </w:rPr>
            </w:pPr>
          </w:p>
        </w:tc>
      </w:tr>
      <w:tr>
        <w:trPr>
          <w:trHeight w:val="230"/>
        </w:trPr>
        <w:tc>
          <w:tcPr>
            <w:tcW w:w="5720" w:type="dxa"/>
            <w:vAlign w:val="bottom"/>
            <w:gridSpan w:val="5"/>
          </w:tcPr>
          <w:p>
            <w:pPr>
              <w:spacing w:after="0"/>
              <w:rPr>
                <w:sz w:val="20"/>
                <w:szCs w:val="20"/>
                <w:color w:val="auto"/>
              </w:rPr>
            </w:pPr>
            <w:r>
              <w:rPr>
                <w:rFonts w:ascii="Arial" w:cs="Arial" w:eastAsia="Arial" w:hAnsi="Arial"/>
                <w:sz w:val="18"/>
                <w:szCs w:val="18"/>
                <w:color w:val="auto"/>
                <w:w w:val="93"/>
              </w:rPr>
              <w:t>acquired finite-lived intangible assets as of December 31, 2017 is as follows:</w:t>
            </w:r>
          </w:p>
        </w:tc>
        <w:tc>
          <w:tcPr>
            <w:tcW w:w="268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7. Investments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5700" w:type="dxa"/>
            <w:vAlign w:val="bottom"/>
            <w:gridSpan w:val="9"/>
          </w:tcPr>
          <w:p>
            <w:pPr>
              <w:ind w:left="100"/>
              <w:spacing w:after="0"/>
              <w:rPr>
                <w:sz w:val="20"/>
                <w:szCs w:val="20"/>
                <w:color w:val="auto"/>
              </w:rPr>
            </w:pPr>
            <w:r>
              <w:rPr>
                <w:rFonts w:ascii="Arial" w:cs="Arial" w:eastAsia="Arial" w:hAnsi="Arial"/>
                <w:sz w:val="18"/>
                <w:szCs w:val="18"/>
                <w:color w:val="auto"/>
              </w:rPr>
              <w:t>The following table presents the details of our investments:</w:t>
            </w:r>
          </w:p>
        </w:tc>
        <w:tc>
          <w:tcPr>
            <w:tcW w:w="0" w:type="dxa"/>
            <w:vAlign w:val="bottom"/>
          </w:tcPr>
          <w:p>
            <w:pPr>
              <w:spacing w:after="0"/>
              <w:rPr>
                <w:sz w:val="1"/>
                <w:szCs w:val="1"/>
                <w:color w:val="auto"/>
              </w:rPr>
            </w:pPr>
          </w:p>
        </w:tc>
      </w:tr>
      <w:tr>
        <w:trPr>
          <w:trHeight w:val="250"/>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w w:val="89"/>
              </w:rPr>
              <w:t>December 31,</w:t>
            </w:r>
          </w:p>
        </w:tc>
        <w:tc>
          <w:tcPr>
            <w:tcW w:w="212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2019</w:t>
            </w: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9"/>
              <w:spacing w:after="0" w:line="133" w:lineRule="exact"/>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5"/>
              <w:spacing w:after="0" w:line="133" w:lineRule="exact"/>
              <w:rPr>
                <w:sz w:val="20"/>
                <w:szCs w:val="20"/>
                <w:color w:val="auto"/>
              </w:rPr>
            </w:pPr>
            <w:r>
              <w:rPr>
                <w:rFonts w:ascii="Arial" w:cs="Arial" w:eastAsia="Arial" w:hAnsi="Arial"/>
                <w:sz w:val="13"/>
                <w:szCs w:val="13"/>
                <w:b w:val="1"/>
                <w:bCs w:val="1"/>
                <w:color w:val="auto"/>
                <w:w w:val="89"/>
              </w:rPr>
              <w:t>2016</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0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020" w:type="dxa"/>
            <w:vAlign w:val="bottom"/>
            <w:tcBorders>
              <w:bottom w:val="single" w:sz="8" w:color="CCEEFF"/>
            </w:tcBorders>
            <w:vMerge w:val="continue"/>
            <w:shd w:val="clear" w:color="auto" w:fill="CCEEFF"/>
          </w:tcPr>
          <w:p>
            <w:pPr>
              <w:spacing w:after="0"/>
              <w:rPr>
                <w:sz w:val="9"/>
                <w:szCs w:val="9"/>
                <w:color w:val="auto"/>
              </w:rPr>
            </w:pPr>
          </w:p>
        </w:tc>
        <w:tc>
          <w:tcPr>
            <w:tcW w:w="34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right w:val="single" w:sz="8" w:color="CCEEFF"/>
            </w:tcBorders>
          </w:tcPr>
          <w:p>
            <w:pPr>
              <w:spacing w:after="0"/>
              <w:rPr>
                <w:sz w:val="9"/>
                <w:szCs w:val="9"/>
                <w:color w:val="auto"/>
              </w:rPr>
            </w:pPr>
          </w:p>
        </w:tc>
        <w:tc>
          <w:tcPr>
            <w:tcW w:w="128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Trading securities</w:t>
            </w:r>
          </w:p>
        </w:tc>
        <w:tc>
          <w:tcPr>
            <w:tcW w:w="6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221</w:t>
            </w:r>
          </w:p>
        </w:tc>
        <w:tc>
          <w:tcPr>
            <w:tcW w:w="360" w:type="dxa"/>
            <w:vAlign w:val="bottom"/>
            <w:tcBorders>
              <w:bottom w:val="single" w:sz="8" w:color="CCEEFF"/>
            </w:tcBorders>
            <w:vMerge w:val="restart"/>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2021</w:t>
            </w:r>
          </w:p>
        </w:tc>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1"/>
                <w:szCs w:val="11"/>
                <w:color w:val="auto"/>
              </w:rPr>
            </w:pPr>
          </w:p>
        </w:tc>
        <w:tc>
          <w:tcPr>
            <w:tcW w:w="140" w:type="dxa"/>
            <w:vAlign w:val="bottom"/>
            <w:tcBorders>
              <w:right w:val="single" w:sz="8" w:color="CCEEFF"/>
            </w:tcBorders>
          </w:tcPr>
          <w:p>
            <w:pPr>
              <w:spacing w:after="0"/>
              <w:rPr>
                <w:sz w:val="11"/>
                <w:szCs w:val="11"/>
                <w:color w:val="auto"/>
              </w:rPr>
            </w:pPr>
          </w:p>
        </w:tc>
        <w:tc>
          <w:tcPr>
            <w:tcW w:w="1280" w:type="dxa"/>
            <w:vAlign w:val="bottom"/>
            <w:tcBorders>
              <w:bottom w:val="single" w:sz="8" w:color="CCEEFF"/>
            </w:tcBorders>
            <w:vMerge w:val="continue"/>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vMerge w:val="continue"/>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360" w:type="dxa"/>
            <w:vAlign w:val="bottom"/>
            <w:tcBorders>
              <w:bottom w:val="single" w:sz="8" w:color="CCEEFF"/>
            </w:tcBorders>
            <w:vMerge w:val="continue"/>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02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auto"/>
              </w:rPr>
              <w:t>Available-for-sale investment</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25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10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020" w:type="dxa"/>
            <w:vAlign w:val="bottom"/>
            <w:tcBorders>
              <w:bottom w:val="single" w:sz="8" w:color="CCEEFF"/>
            </w:tcBorders>
            <w:vMerge w:val="continue"/>
            <w:shd w:val="clear" w:color="auto" w:fill="CCEEFF"/>
          </w:tcPr>
          <w:p>
            <w:pPr>
              <w:spacing w:after="0"/>
              <w:rPr>
                <w:sz w:val="12"/>
                <w:szCs w:val="12"/>
                <w:color w:val="auto"/>
              </w:rPr>
            </w:pPr>
          </w:p>
        </w:tc>
        <w:tc>
          <w:tcPr>
            <w:tcW w:w="3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3"/>
            <w:vMerge w:val="restart"/>
          </w:tcPr>
          <w:p>
            <w:pPr>
              <w:ind w:left="16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460" w:type="dxa"/>
            <w:vAlign w:val="bottom"/>
            <w:gridSpan w:val="2"/>
            <w:vMerge w:val="restart"/>
          </w:tcPr>
          <w:p>
            <w:pPr>
              <w:ind w:left="40"/>
              <w:spacing w:after="0"/>
              <w:rPr>
                <w:sz w:val="20"/>
                <w:szCs w:val="20"/>
                <w:color w:val="auto"/>
              </w:rPr>
            </w:pPr>
            <w:r>
              <w:rPr>
                <w:rFonts w:ascii="Arial" w:cs="Arial" w:eastAsia="Arial" w:hAnsi="Arial"/>
                <w:sz w:val="18"/>
                <w:szCs w:val="18"/>
                <w:color w:val="auto"/>
              </w:rPr>
              <w:t>2023 and thereafter</w:t>
            </w:r>
          </w:p>
        </w:tc>
        <w:tc>
          <w:tcPr>
            <w:tcW w:w="18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4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CCEEFF"/>
            </w:tcBorders>
          </w:tcPr>
          <w:p>
            <w:pPr>
              <w:spacing w:after="0"/>
              <w:rPr>
                <w:sz w:val="12"/>
                <w:szCs w:val="12"/>
                <w:color w:val="auto"/>
              </w:rPr>
            </w:pPr>
          </w:p>
        </w:tc>
        <w:tc>
          <w:tcPr>
            <w:tcW w:w="1960" w:type="dxa"/>
            <w:vAlign w:val="bottom"/>
            <w:gridSpan w:val="2"/>
            <w:vMerge w:val="restart"/>
            <w:shd w:val="clear" w:color="auto" w:fill="CCEEFF"/>
          </w:tcPr>
          <w:p>
            <w:pPr>
              <w:spacing w:after="0" w:line="170" w:lineRule="exact"/>
              <w:rPr>
                <w:sz w:val="20"/>
                <w:szCs w:val="20"/>
                <w:color w:val="auto"/>
              </w:rPr>
            </w:pPr>
            <w:r>
              <w:rPr>
                <w:rFonts w:ascii="Arial" w:cs="Arial" w:eastAsia="Arial" w:hAnsi="Arial"/>
                <w:sz w:val="18"/>
                <w:szCs w:val="18"/>
                <w:color w:val="auto"/>
                <w:w w:val="89"/>
                <w:shd w:val="clear" w:color="auto" w:fill="CCEEFF"/>
              </w:rPr>
              <w:t>Equity method investments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9"/>
              <w:spacing w:after="0" w:line="170" w:lineRule="exact"/>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line="170" w:lineRule="exact"/>
              <w:rPr>
                <w:sz w:val="20"/>
                <w:szCs w:val="20"/>
                <w:color w:val="auto"/>
              </w:rPr>
            </w:pPr>
            <w:r>
              <w:rPr>
                <w:rFonts w:ascii="Arial" w:cs="Arial" w:eastAsia="Arial" w:hAnsi="Arial"/>
                <w:sz w:val="18"/>
                <w:szCs w:val="18"/>
                <w:color w:val="auto"/>
              </w:rPr>
              <w:t>124</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CCEEFF"/>
            </w:tcBorders>
          </w:tcPr>
          <w:p>
            <w:pPr>
              <w:spacing w:after="0"/>
              <w:rPr>
                <w:sz w:val="2"/>
                <w:szCs w:val="2"/>
                <w:color w:val="auto"/>
              </w:rPr>
            </w:pPr>
          </w:p>
        </w:tc>
        <w:tc>
          <w:tcPr>
            <w:tcW w:w="1960" w:type="dxa"/>
            <w:vAlign w:val="bottom"/>
            <w:tcBorders>
              <w:bottom w:val="single" w:sz="8" w:color="CCEEFF"/>
            </w:tcBorders>
            <w:gridSpan w:val="2"/>
            <w:vMerge w:val="continue"/>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vMerge w:val="continue"/>
            <w:shd w:val="clear" w:color="auto" w:fill="CCEEFF"/>
          </w:tcPr>
          <w:p>
            <w:pPr>
              <w:spacing w:after="0"/>
              <w:rPr>
                <w:sz w:val="2"/>
                <w:szCs w:val="2"/>
                <w:color w:val="auto"/>
              </w:rPr>
            </w:pPr>
          </w:p>
        </w:tc>
        <w:tc>
          <w:tcPr>
            <w:tcW w:w="36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vMerge w:val="continue"/>
            <w:shd w:val="clear" w:color="auto" w:fill="CCEEFF"/>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4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6"/>
                <w:szCs w:val="6"/>
                <w:color w:val="auto"/>
              </w:rPr>
            </w:pPr>
          </w:p>
        </w:tc>
        <w:tc>
          <w:tcPr>
            <w:tcW w:w="140" w:type="dxa"/>
            <w:vAlign w:val="bottom"/>
            <w:tcBorders>
              <w:right w:val="single" w:sz="8" w:color="CCEEFF"/>
            </w:tcBorders>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46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3"/>
          </w:tcPr>
          <w:p>
            <w:pPr>
              <w:spacing w:after="0" w:line="170" w:lineRule="exact"/>
              <w:rPr>
                <w:sz w:val="20"/>
                <w:szCs w:val="20"/>
                <w:color w:val="auto"/>
              </w:rPr>
            </w:pPr>
            <w:r>
              <w:rPr>
                <w:rFonts w:ascii="Arial" w:cs="Arial" w:eastAsia="Arial" w:hAnsi="Arial"/>
                <w:sz w:val="18"/>
                <w:szCs w:val="18"/>
                <w:color w:val="auto"/>
              </w:rPr>
              <w:t>Cost method investments</w:t>
            </w:r>
          </w:p>
        </w:tc>
        <w:tc>
          <w:tcPr>
            <w:tcW w:w="200" w:type="dxa"/>
            <w:vAlign w:val="bottom"/>
          </w:tcPr>
          <w:p>
            <w:pPr>
              <w:jc w:val="right"/>
              <w:spacing w:after="0" w:line="170"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ind w:right="19"/>
              <w:spacing w:after="0" w:line="170" w:lineRule="exact"/>
              <w:rPr>
                <w:sz w:val="20"/>
                <w:szCs w:val="20"/>
                <w:color w:val="auto"/>
              </w:rPr>
            </w:pPr>
            <w:r>
              <w:rPr>
                <w:rFonts w:ascii="Arial" w:cs="Arial" w:eastAsia="Arial" w:hAnsi="Arial"/>
                <w:sz w:val="18"/>
                <w:szCs w:val="18"/>
                <w:color w:val="auto"/>
              </w:rPr>
              <w:t>152</w:t>
            </w:r>
          </w:p>
        </w:tc>
        <w:tc>
          <w:tcPr>
            <w:tcW w:w="360" w:type="dxa"/>
            <w:vAlign w:val="bottom"/>
          </w:tcPr>
          <w:p>
            <w:pPr>
              <w:jc w:val="right"/>
              <w:ind w:right="99"/>
              <w:spacing w:after="0" w:line="170"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0" w:lineRule="exact"/>
              <w:rPr>
                <w:sz w:val="20"/>
                <w:szCs w:val="20"/>
                <w:color w:val="auto"/>
              </w:rPr>
            </w:pPr>
            <w:r>
              <w:rPr>
                <w:rFonts w:ascii="Arial" w:cs="Arial" w:eastAsia="Arial" w:hAnsi="Arial"/>
                <w:sz w:val="18"/>
                <w:szCs w:val="18"/>
                <w:color w:val="auto"/>
              </w:rPr>
              <w:t>144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 Asset Impairment Charges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Trading Securities</w:t>
            </w: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420"/>
          </w:cols>
          <w:pgMar w:left="240" w:top="438" w:right="239" w:bottom="1440" w:gutter="0" w:footer="0" w:header="0"/>
        </w:sectPr>
      </w:pPr>
    </w:p>
    <w:p>
      <w:pPr>
        <w:jc w:val="both"/>
        <w:spacing w:after="0" w:line="277" w:lineRule="auto"/>
        <w:rPr>
          <w:sz w:val="20"/>
          <w:szCs w:val="20"/>
          <w:color w:val="auto"/>
        </w:rPr>
      </w:pPr>
      <w:r>
        <w:rPr>
          <w:rFonts w:ascii="Arial" w:cs="Arial" w:eastAsia="Arial" w:hAnsi="Arial"/>
          <w:sz w:val="18"/>
          <w:szCs w:val="18"/>
          <w:color w:val="auto"/>
        </w:rPr>
        <w:t>We recorded pre-tax, non-cash intangible asset impairment charges described below during 2016 and 2015.</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2016, the eSpeed business operated in a challenging environment and, as a result, experienced a decline in operating performance. In late 2016, the management team conducted an extensive business review of the eSpeed business. Based upon this review, management changed the strategic direction of our Fixed Income business and more closely integrated the U.S. and European Fixed Income businesses under a single brand called Nasdaq Fixed Income. As part of this effort, we decided to no longer utilize the eSpeed trade name. In connection with these triggering events, following board approval in January 2017, we recorded a pre-tax, non-cash intangible asset impairment charge of $578 million to write off the full value of the eSpeed trade name as we no longer attributed any material value to the trade name. This charge is recorded in asset impairment charge in the Consolidated Statements of Income for 2016.</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in connection with our global rebranding initiative, we decided to change our company name from The NASDAQ OMX Group, Inc. to Nasdaq, Inc., which became effective in the third quarter of 2015. In connection with this action, we decided to discontinue the use of the OMX trade name and recorded a pre-tax, non-cash impairment charge of $119 million because we no longer attributed any material value to the trade name. This charge is recorded in restructuring charges in the Consolidated Statements of Income for 2015.</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intangible asset impairment charges did not impact the company’s consolidated cash flows, liquidity, or capital resources and related primarily to our Market Services segment. However, for segment reporting purposes, these charges were allocated to corporate items based on the decision that these charges should not be used to evaluate any particular segment’s operating performance.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judgments and unobservable inputs categorized as Level III in the fair value hierarchy are inherent in impairment tests performed and include assumptions about the amount and timing of expected future cash flows, growth rates and the determination of appropriate discount rates. We believe that the</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Trading securities, which are included in financial investments, at fair value in the Consolidated Balance Sheets, are primarily comprised of highly rated European government debt securities, of which $160 million as of December 31, 2017 and $172 million as of December 31, 2016, are assets utilized to meet regulatory capital requirements, primarily for our clearing operations at Nasdaq Clearing.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Investment Securities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2017, available-for-sale investment securities, which are included in financial investments, at fair value in the Consolidated Balance Sheets, are primarily comprised of commercial paper. As of December 31, 2016, available-for-sale investment securities were primarily comprised of short-term certificates of deposit and commercial paper. As of December 31, 2017 and December 31, 2016, the cumulative unrealized gains and losses on these securities were immaterial.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2017 and December 31, 2016, our equity method investments primarily included equity interests in OCC and EuroCCP N.V.</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our equity method investments are included in other non-current assets in the Consolidated Balance Sheets.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income recognized from our equity interest in the earnings and losses of these equity method investments was $15 million for the year ended December 31, 2017, $2 million for the year ended December 31, 2016 and $17 million for the year ended December 31, 2015. The change in the year ended December 31, 2017 compared with the same period in 2016 relates to our additional 20.0% ownership interest in OCC, which we acquired in connection with our acquisition of ISE in June 2016, bringing our total ownership interest in OCC to 40.0%, partially offset by $2 million of wind down costs associated with an equity method investment that was previously written off. The change in the year ended December 31, 2016 compared with the same period in 2015 is primarily due to income recognized</w:t>
      </w:r>
    </w:p>
    <w:p>
      <w:pPr>
        <w:spacing w:after="0" w:line="792" w:lineRule="exact"/>
        <w:rPr>
          <w:sz w:val="20"/>
          <w:szCs w:val="20"/>
          <w:color w:val="auto"/>
        </w:rPr>
      </w:pPr>
    </w:p>
    <w:p>
      <w:pPr>
        <w:sectPr>
          <w:pgSz w:w="11900" w:h="16838" w:orient="portrait"/>
          <w:cols w:equalWidth="0" w:num="2">
            <w:col w:w="5600" w:space="220"/>
            <w:col w:w="5600"/>
          </w:cols>
          <w:pgMar w:left="240" w:top="438"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438" w:right="239" w:bottom="1440" w:gutter="0" w:footer="0" w:header="0"/>
          <w:type w:val="continuous"/>
        </w:sectPr>
      </w:pPr>
    </w:p>
    <w:bookmarkStart w:id="101" w:name="page102"/>
    <w:bookmarkEnd w:id="1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our equity method investment in OCC, partially offset by the write-off of our equity method investment in The Order Machine. We were not able to determine what our share of OCC’s income was for the year ended December 31, 2014 until the first quarter of 2015, when financial statements were made available to us. As a result, we recorded other income of $13 million in the first quarter of 2015 relating to our share of OCC’s income for the year ended December 31, 2014.</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2016, the estimated fair value of our investment in The Order Machine was less than the carrying value and management considered the decline in value to be other-than-temporary. As a result, we recorded a pre-tax, non-cash impairment charge of $7 million to write off the full value of this investment. This charge is partially offset by a gain resulting from the sale of a percentage of a separate equity method investment and is recorded in net income from unconsolidated investees in the Consolidated Statements of Income for 2016. No other impairments of equity method investments were recorded in 2017, 2016 or 2015.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Contribution to OCC</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March 2015, in connection with being designated systemically important by the Financial Stability Oversight Council, OCC implemented a capital plan under which the options exchanges that are OCC’s stockholders made new capital contributions to OCC, committed to make further capital contributions in the future under certain specified circumstances, and received certain commitments from OCC with respect to future dividend payments and related matters. Under the OCC capital plan, OCC’s existing exchange stockholders, including Nasdaq and ISE, each contributed a pro-rata share of $150 million in new equity capital. Nasdaq’s and ISE’s capital contributions were each $30 million. OCC’s exchange stockholders also committed to provide, as may become necessary from time to time, additional replenishment capital on a pro-rata basis if certain capital thresholds are triggered. For its part, OCC adopted specific policies with respect to fees, customer refunds and stockholder dividends, which envision an annual dividend payment to its stockholders equal to the portion of OCC’s after-tax income that exceeds OCC’s capital requirements after payment of refunds to OCC’s clearing members (with such customer refunds generally to constitute 50% of the portion of OCC’s pre-tax income that exceeds OCC’s capital requirements).</w:t>
      </w:r>
    </w:p>
    <w:p>
      <w:pPr>
        <w:spacing w:after="0" w:line="5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After the SEC staff approved the OCC capital plan and the stockholders made their capital contributions, the plan’s further effectiveness was suspended under the applicable SEC rules because certain parties petitioned the full Commission to reconsider the capital plan’s approval. This stay was lifted by the SEC in September 2015, allowing OCC to implement the plan and in February 2016, the SEC issued an order approving the OCC capital plan as previously implemented and dismissed the petitions challenging that plan. The petitioners filed for a stay of the SEC’s order, which would have blocked OCC from paying a dividend under the OCC capital plan. The Federal Court of Appeals for the District of Columbia Circuit, or the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Court of Appeals, denied the requested stay, permitting OCC to pay a dividend which Nasdaq received in February 2016.</w:t>
      </w:r>
    </w:p>
    <w:p>
      <w:pPr>
        <w:spacing w:after="0" w:line="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petitioners also appealed the SEC’s order to the Court of Appeals. The Court of Appeals heard arguments on the case in March 2017 and decided the case in August 2017. The Court of Appeals remanded the case to the SEC for further examination of the record and an independent assessment by the SEC of the evidence OCC submitted. The Court directed that the SEC approval of the OCC capital plan remain in place during the SEC’s examination unless the SEC determined not to preserve it. The SEC has allowed OCC to preserve the capital plan, and in September 2017, OCC disbursed an annual dividend of $5 million per ownership share. Nasdaq, as the owner of two shares, received $10 million. The SEC provided OCC and the appellants with an opportunity to submit further briefs and evidence for the administrative record. It appears from public filings that the SEC record is complete and that the matter is now under consideration by the agency. There has been no ruling at this time, and there is no deadline for the SEC to issue its ruling.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carrying amounts of our cost method investments are included in other non-current assets in the Consolidated Balance Sheets. As of December 31, 2017 and December 31, 2016, our cost method investments primarily represented our 5% ownership interest in Borsa İstanbul, and our 5% ownership interest in LCH.Clearnet Group Limited.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Borsa Istanbul shares, which were issued to us in the first quarter of 2014, are part of the consideration received under a market technology agreement. This investment has a cost basis of $75 million which is guaranteed to us via a put option negotiated as part of the market technology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major categories of property and equipment,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4"/>
          </w:tcPr>
          <w:p>
            <w:pPr>
              <w:ind w:left="140"/>
              <w:spacing w:after="0"/>
              <w:rPr>
                <w:sz w:val="20"/>
                <w:szCs w:val="20"/>
                <w:color w:val="auto"/>
              </w:rPr>
            </w:pPr>
            <w:r>
              <w:rPr>
                <w:rFonts w:ascii="Arial" w:cs="Arial" w:eastAsia="Arial" w:hAnsi="Arial"/>
                <w:sz w:val="13"/>
                <w:szCs w:val="13"/>
                <w:b w:val="1"/>
                <w:bCs w:val="1"/>
                <w:color w:val="auto"/>
              </w:rPr>
              <w:t>Year Ended December 31,</w:t>
            </w:r>
          </w:p>
        </w:tc>
      </w:tr>
      <w:tr>
        <w:trPr>
          <w:trHeight w:val="70"/>
        </w:trPr>
        <w:tc>
          <w:tcPr>
            <w:tcW w:w="34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7"/>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94"/>
              <w:spacing w:after="0"/>
              <w:rPr>
                <w:sz w:val="20"/>
                <w:szCs w:val="20"/>
                <w:color w:val="auto"/>
              </w:rPr>
            </w:pPr>
            <w:r>
              <w:rPr>
                <w:rFonts w:ascii="Arial" w:cs="Arial" w:eastAsia="Arial" w:hAnsi="Arial"/>
                <w:sz w:val="13"/>
                <w:szCs w:val="13"/>
                <w:b w:val="1"/>
                <w:bCs w:val="1"/>
                <w:color w:val="auto"/>
                <w:w w:val="96"/>
              </w:rPr>
              <w:t>2016</w:t>
            </w:r>
          </w:p>
        </w:tc>
      </w:tr>
      <w:tr>
        <w:trPr>
          <w:trHeight w:val="70"/>
        </w:trPr>
        <w:tc>
          <w:tcPr>
            <w:tcW w:w="34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3"/>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69"/>
        </w:trPr>
        <w:tc>
          <w:tcPr>
            <w:tcW w:w="3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tcPr>
          <w:p>
            <w:pPr>
              <w:ind w:left="500"/>
              <w:spacing w:after="0"/>
              <w:rPr>
                <w:sz w:val="20"/>
                <w:szCs w:val="20"/>
                <w:color w:val="auto"/>
              </w:rPr>
            </w:pPr>
            <w:r>
              <w:rPr>
                <w:rFonts w:ascii="Arial" w:cs="Arial" w:eastAsia="Arial" w:hAnsi="Arial"/>
                <w:sz w:val="13"/>
                <w:szCs w:val="13"/>
                <w:b w:val="1"/>
                <w:bCs w:val="1"/>
                <w:color w:val="auto"/>
                <w:w w:val="93"/>
              </w:rPr>
              <w:t>(in millions)</w:t>
            </w:r>
          </w:p>
        </w:tc>
        <w:tc>
          <w:tcPr>
            <w:tcW w:w="680" w:type="dxa"/>
            <w:vAlign w:val="bottom"/>
          </w:tcPr>
          <w:p>
            <w:pPr>
              <w:spacing w:after="0"/>
              <w:rPr>
                <w:sz w:val="23"/>
                <w:szCs w:val="23"/>
                <w:color w:val="auto"/>
              </w:rPr>
            </w:pPr>
          </w:p>
        </w:tc>
      </w:tr>
      <w:tr>
        <w:trPr>
          <w:trHeight w:val="258"/>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 processing equipment and software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Furniture, equipment and leasehold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460" w:type="dxa"/>
            <w:vAlign w:val="bottom"/>
          </w:tcPr>
          <w:p>
            <w:pPr>
              <w:ind w:left="200"/>
              <w:spacing w:after="0"/>
              <w:rPr>
                <w:sz w:val="20"/>
                <w:szCs w:val="20"/>
                <w:color w:val="auto"/>
              </w:rPr>
            </w:pPr>
            <w:r>
              <w:rPr>
                <w:rFonts w:ascii="Arial" w:cs="Arial" w:eastAsia="Arial" w:hAnsi="Arial"/>
                <w:sz w:val="18"/>
                <w:szCs w:val="18"/>
                <w:color w:val="auto"/>
              </w:rPr>
              <w:t>improvements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Less: accumulated depreciation and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4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Depreciation and amortization expense for property and equipment was $96 million for the year ended December 31, 2017, $88 million for the year ended December 31, 2016 and $76 million for the year ended December 31, 2015. The increase in depreciation and amortization expense in 2017 and 2016 was primarily due to additional expense associated with assets and</w:t>
      </w:r>
    </w:p>
    <w:p>
      <w:pPr>
        <w:spacing w:after="0" w:line="185"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445" w:right="239" w:bottom="1440" w:gutter="0" w:footer="0" w:header="0"/>
          <w:type w:val="continuous"/>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software placed in service. These amounts are included in depreciation and amortization expense in the Consolidated Statements of Income.</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recorded asset impairment charges of $9 million for the year ended December 31, 2017, $8 million for the year ended December 31, 2016 and $18 million for the year ended December 31, 2015. The asset impairment charge in 2017 primarily related to the write-off of capitalized software and hardware equipment associated with our 2017 and 2016 acquisitions and is included in merger and strategic initiatives expense in the Consolidated Statements of Income. The asset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charges in 2016 and 2015 primarily related to fixed assets and capitalized software that were retired. The 2016 and 2015 asset impairment charges are included in restructuring charges in the Consolidated Statements of Income for the respective periods.</w:t>
      </w: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and 2016, we did not own any real estate properties.</w:t>
      </w:r>
    </w:p>
    <w:p>
      <w:pPr>
        <w:spacing w:after="0" w:line="76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 * * *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Revenue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represents consideration received that is yet to be recognized as revenue. The changes in our deferred revenue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are reflected in the following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Initial Listing</w:t>
            </w:r>
          </w:p>
        </w:tc>
        <w:tc>
          <w:tcPr>
            <w:tcW w:w="13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Listing of Additional</w:t>
            </w:r>
          </w:p>
        </w:tc>
        <w:tc>
          <w:tcPr>
            <w:tcW w:w="13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Annual Renewal and</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Market Technology</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Revenues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4"/>
              </w:rPr>
              <w:t>Shares Revenues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Other Revenues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Revenues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 millions)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Deferred revenue reclassified as held for sale</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84"/>
        </w:trPr>
        <w:tc>
          <w:tcPr>
            <w:tcW w:w="4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Balance at January 1,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3"/>
        </w:trPr>
        <w:tc>
          <w:tcPr>
            <w:tcW w:w="492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11420"/>
          </w:cols>
          <w:pgMar w:left="240" w:top="445"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____________</w:t>
      </w:r>
    </w:p>
    <w:p>
      <w:pPr>
        <w:spacing w:after="0" w:line="29" w:lineRule="exact"/>
        <w:rPr>
          <w:sz w:val="20"/>
          <w:szCs w:val="20"/>
          <w:color w:val="auto"/>
        </w:rPr>
      </w:pPr>
    </w:p>
    <w:p>
      <w:pPr>
        <w:ind w:left="200" w:hanging="192"/>
        <w:spacing w:after="0"/>
        <w:tabs>
          <w:tab w:leader="none" w:pos="200" w:val="left"/>
        </w:tabs>
        <w:numPr>
          <w:ilvl w:val="0"/>
          <w:numId w:val="65"/>
        </w:numPr>
        <w:rPr>
          <w:rFonts w:ascii="Arial" w:cs="Arial" w:eastAsia="Arial" w:hAnsi="Arial"/>
          <w:sz w:val="23"/>
          <w:szCs w:val="23"/>
          <w:color w:val="auto"/>
          <w:vertAlign w:val="superscript"/>
        </w:rPr>
      </w:pPr>
      <w:r>
        <w:rPr>
          <w:rFonts w:ascii="Arial" w:cs="Arial" w:eastAsia="Arial" w:hAnsi="Arial"/>
          <w:sz w:val="17"/>
          <w:szCs w:val="17"/>
          <w:color w:val="auto"/>
        </w:rPr>
        <w:t>See Note 5, “Assets and Liabilities Held for Sale,” for further discussion.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additions and revenue recognized for initial listing revenues, listing of additional shares revenues and annual renewal and other revenues primarily reflect revenues from our Listing Services business within our Corporate Services segment.</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our market technology contracts, total revenues, as well as costs incurred, are deferred until significant customizations are completed and delivered. Once delivered, deferred revenue and the related deferred costs are recognized over the post-contract support period. For these market technology contracts, we have included the deferral of costs in other current assets and other non-current assets in the Consolidated Balance Sheets.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estimate that our deferred revenue, which is primarily corporate services and market technology revenues, will be recognized in the following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Listing of</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Annual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Renewal and</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1000" w:type="dxa"/>
            <w:vAlign w:val="bottom"/>
          </w:tcPr>
          <w:p>
            <w:pPr>
              <w:spacing w:after="0"/>
              <w:rPr>
                <w:sz w:val="11"/>
                <w:szCs w:val="11"/>
                <w:color w:val="auto"/>
              </w:rPr>
            </w:pPr>
          </w:p>
        </w:tc>
        <w:tc>
          <w:tcPr>
            <w:tcW w:w="9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Initial Listing</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Technology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1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Revenues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1"/>
              </w:rPr>
              <w:t>Revenues</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4"/>
              </w:rPr>
              <w:t>Revenues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1"/>
              </w:rPr>
              <w:t>Revenues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w w:val="96"/>
              </w:rPr>
              <w:t>Total</w:t>
            </w:r>
          </w:p>
        </w:tc>
      </w:tr>
      <w:tr>
        <w:trPr>
          <w:trHeight w:val="27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85"/>
        </w:trPr>
        <w:tc>
          <w:tcPr>
            <w:tcW w:w="1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Fiscal year ended:</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 and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57"/>
        </w:trPr>
        <w:tc>
          <w:tcPr>
            <w:tcW w:w="1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10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1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56"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The timing of recognition of our deferred market technology revenues is</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primarily  dependent  upon  the  completion  of  customization  and  any</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significant modifications made pursuant to existing market technology</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contracts. As such, as it relates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445" w:right="239" w:bottom="1440" w:gutter="0" w:footer="0" w:header="0"/>
          <w:type w:val="continuous"/>
        </w:sectPr>
      </w:pPr>
    </w:p>
    <w:bookmarkStart w:id="103" w:name="page104"/>
    <w:bookmarkEnd w:id="10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to market technology revenues, the timing represents our best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left="480"/>
        <w:spacing w:after="0" w:line="272" w:lineRule="auto"/>
        <w:rPr>
          <w:sz w:val="20"/>
          <w:szCs w:val="20"/>
          <w:color w:val="auto"/>
        </w:rPr>
      </w:pPr>
      <w:r>
        <w:rPr>
          <w:rFonts w:ascii="Arial" w:cs="Arial" w:eastAsia="Arial" w:hAnsi="Arial"/>
          <w:sz w:val="17"/>
          <w:szCs w:val="17"/>
          <w:color w:val="auto"/>
        </w:rPr>
        <w:t>On January 1, 2018, we adopted ASU 2014-09, “Revenue from Contracts with Customers.” As a result, a portion of revenues that were previously deferred were recognized either in prior period revenues, through restatement, or as an adjustment to retained earnings upon adoption of the new standard. See “Recent Accounting Pronouncements,” of Note 2, “Summary of Significant Accounting Policies,” for further discussion and the impact to the deferred revenue balance.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 * * * *</w:t>
      </w:r>
    </w:p>
    <w:p>
      <w:pPr>
        <w:spacing w:after="0" w:line="468" w:lineRule="exact"/>
        <w:rPr>
          <w:sz w:val="20"/>
          <w:szCs w:val="20"/>
          <w:color w:val="auto"/>
        </w:rPr>
      </w:pPr>
    </w:p>
    <w:p>
      <w:pPr>
        <w:sectPr>
          <w:pgSz w:w="11900" w:h="16838" w:orient="portrait"/>
          <w:cols w:equalWidth="0" w:num="2">
            <w:col w:w="5140" w:space="200"/>
            <w:col w:w="6080"/>
          </w:cols>
          <w:pgMar w:left="240" w:top="445"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following table presents the changes in the carrying amount of our debt obligations during the year ended 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Payments, Accretion</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4"/>
        </w:trPr>
        <w:tc>
          <w:tcPr>
            <w:tcW w:w="6060" w:type="dxa"/>
            <w:vAlign w:val="bottom"/>
          </w:tcPr>
          <w:p>
            <w:pPr>
              <w:spacing w:after="0"/>
              <w:rPr>
                <w:sz w:val="15"/>
                <w:szCs w:val="15"/>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December 31, 2016</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Additions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1"/>
              </w:rPr>
              <w:t>and Other</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December 31, 2017</w:t>
            </w:r>
          </w:p>
        </w:tc>
      </w:tr>
      <w:tr>
        <w:trPr>
          <w:trHeight w:val="249"/>
        </w:trPr>
        <w:tc>
          <w:tcPr>
            <w:tcW w:w="6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8"/>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 commercial paper</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5.55% senior unsecured notes due January 15, 2020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5.25% senior unsecured notes repaid on May 26, 2017</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3.875% senior unsecured notes due June 7, 2021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4.25% senior unsecured notes due June 1, 2024</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1.75% senior unsecured notes due May 19, 2023</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3.85% senior unsecured notes due June 30, 2026</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unsecured floating rate notes due March 22, 2019</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$400 million senior unsecured term loan facility due November 25, 2019</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(average interest rate of 2.47% for the period January 1, 2017 through</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December 31, 2017)</w:t>
            </w:r>
          </w:p>
        </w:tc>
        <w:tc>
          <w:tcPr>
            <w:tcW w:w="3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 billion revolving credit commitment due April 25, 2022 (average interest rate</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2.66% for the period April 25, 2017 through December 31, 2017)</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3,727</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44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2017, we entered into a U.S. dollar commercial paper program. The commercial paper program is supported by our 2017 Credit Facility which provides liquidity support for the repayment of commercial paper issued through the commercial paper program. See “2017 Credit Facility” below for further discussion of our 2017 Credit Facility. The effective interest rate of commercial paper issuances fluctuate as short term interest rates and demand fluctuate. The fluctuation of these rates due to market conditions may impact our interest expense.</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we used a combination of cash on hand and net proceeds from the sale of commercial paper to redeem all of our 2018 Notes. In addition, in June 2017, we used net proceeds from the sale of commercial paper to repay $300 million of the amount outstanding on the 2016 Credit Facility. See “Early Extinguishment of 2018 Notes” and “2016 Credit Facility” below for further discussion.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agreement to acquire eVestment, we issued the 2019 Notes. Since the proposed acquisition of eVestment was not immediately expected to close, $276 million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of the net proceeds from the 2019 Notes was used to partially pay down our outstanding commercial paper balance. See “Senior Unsecured Floating Rate Notes” below for further discussion of our 2019 Notes.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commercial paper notes in the table above reflect the aggregate principal amount, less the unamortized discount which is being accreted through interest expense over the life of the applicable notes. The original maturities of these notes range from 12 days to 119 days and the weighted-average maturity is 22 days. The weighted-average effective interest rate is 1.70% per annum.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senior unsecured notes were all issued at a discount. As a result of the discount, the proceeds received from each issuance were less than the aggregate principal amount. As of December 31, 2017, the amounts in the table above reflect the aggregate principal amount, less the unamortized debt discount and the unamortized debt issuance costs which are being accreted through interest expense over the life of the applicable</w:t>
      </w:r>
    </w:p>
    <w:p>
      <w:pPr>
        <w:spacing w:after="0" w:line="426"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445" w:right="239" w:bottom="1440" w:gutter="0" w:footer="0" w:header="0"/>
          <w:type w:val="continuous"/>
        </w:sectPr>
      </w:pPr>
    </w:p>
    <w:bookmarkStart w:id="104" w:name="page105"/>
    <w:bookmarkEnd w:id="10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notes. Our senior unsecured notes are general unsecured obligations of ours and rank equally with all of our existing and future unsubordinated obligations and they are not guaranteed by any of our subsidiaries. The senior unsecured notes were issued under indentures that, among other things, limit our ability to consolidate, merge or sell all or substantially all of our assets, create liens, and enter into sale and leaseback transactions.</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exception of the 2020 Notes, upon a change of control triggering event (as defined in the various note indentures), the terms require us to repurchase all or part of each holder’s notes for cash equal to 101% of the aggregate principal amount purchased plus accrued and unpaid interest, if 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5.55% Senior Unsecured Notes</w:t>
      </w:r>
    </w:p>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January 2010, Nasdaq issued the 2020 Notes. The 2020 Notes pay interest semiannually at a rate of 5.55% per annum until January 15,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Extinguishment of 2018 Notes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2010, Nasdaq issued the 2018 Notes. The 2018 Notes paid interest semiannually at a rate of 5.25% per annum.</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2017, we redeemed all of our 2018 Notes using a combination of cash on hand and net proceeds from the sale of commercial paper issued through the commercial paper program. See “Commercial Paper Program” above for further discussion of our commercial paper program. In connection with the early extinguishment of the 2018 Notes, we recorded a pre-tax charge of $9 million, which primarily included a make-whole redemption price premium. This charge is included in general, administrative and other expense in the Consolidated Statements of Income for the year ended December 31,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3.875% Senior Unsecured Notes</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June 2013, Nasdaq issued the 2021 Notes. The 2021 Notes pay interest annually at a rate of 3.875% per annum until June 7, 2021 and such rate may vary with Nasdaq’s debt rating up to a rate not to exceed 5.875%.</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2021 Notes have been designated as a hedge of our net investment in certain foreign subsidiaries to mitigate the foreign exchange risk associated with certain investments in these subsidiaries. The increase in the carrying amount of $91 million noted in the “Payments, Accretion and Other” column in the table above primarily reflects the translation of the 2021 Notes into U.S. dollars and is recorded in accumulated other comprehensive loss within stockholders’ equity in the Consolidated Balance Sheets as of December 31,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4.25% Senior Unsecured Notes</w:t>
      </w:r>
    </w:p>
    <w:p>
      <w:pPr>
        <w:spacing w:after="0" w:line="9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May 2014, Nasdaq issued the 2024 Notes. The 2024 Notes pay interest semiannually at a rate of 4.25% per annum until June 1, 2024 and such rate may vary with Nasdaq’s debt rating up to a rate not to exceed 6.25%.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1.75% Senior Unsecured Notes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Nasdaq issued the 2023 Notes. We used the net proceeds from the 2023 Notes and the 2026 Notes to fund our acquisition of ISE. See “Acquisition of ISE,” of Note 4, “Acquisitions,” for further discussion of the ISE acquisition.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2023 Notes pay interest annually at a rate of 1.75% per annum until May 19, 2023 and such rate may vary with Nasdaq’s debt rating up to a rate not to exceed 3.75%.</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2023 Notes have been designated as a hedge of our net investment in certain foreign subsidiaries to mitigate the foreign exchange rate risk associated with certain investments in these subsidiaries. The increase in the carrying amount of $90 million noted in the “Payments, Accretion and Other” column in the table above reflects the translation of the 2023 Notes into U.S. dollars and is recorded in accumulated other comprehensive loss within stockholders’ equity in the Consolidated Balance Sheets as of December 31,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3.85% Senior Unsecured Notes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Nasdaq issued the 2026 Notes. We used the net proceeds from the 2023 Notes and the 2026 Notes to fund our acquisition of ISE. See “Acquisition of ISE,” of Note 4, “Acquisitions,” for further discussion of the ISE acquisition.</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2026 Notes pay interest semiannually at a rate of 3.85% per annum until June 30, 2026 and such rate may vary with Nasdaq’s debt rating up to a rate not to exceed 5.85%.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Floating Rate Notes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2017, Nasdaq issued the 2019 Notes. We used the net proceeds from the 2019 Notes to partially pay down our outstanding commercial paper balance and the remainder of the net proceeds was used to partially fund our acquisition of eVestment. See “Acquisition of eVestment,” of Note 4, “Acquisitions,” for further discussion of the eVestment acquisition.</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2019 Notes pay interest quarterly in arrears at a rate equal to the three-month U.S. dollar LIBOR as determined at the beginning of each quarterly period plus 0.39% per annum until March 22,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2017, the amounts in the table above reflect the aggregate principal amount, less the unamortized debt issuance costs which are being accreted through interest expense over the life of the applicable credit facility. Nasdaq is permitted to repay borrowings under our credit facilities at any time in whole or in part, without penalty.</w:t>
      </w:r>
    </w:p>
    <w:p>
      <w:pPr>
        <w:spacing w:after="0" w:line="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credit facilities contain financial and operating covenants. Financial covenants include a minimum interest expense coverage ratio and a maximum leverage ratio. Operating covenants include, among other things, limitations on Nasdaq’s ability to incur additional indebtedness, grant liens on assets, dispose of assets and pay dividends. Our credit facilities allow us to pay cash dividends on our common stock. The facilities also contain customary affirmative covenants, including access</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445" w:right="239" w:bottom="1440" w:gutter="0" w:footer="0" w:header="0"/>
          <w:type w:val="continuous"/>
        </w:sectPr>
      </w:pPr>
    </w:p>
    <w:bookmarkStart w:id="105" w:name="page106"/>
    <w:bookmarkEnd w:id="1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financial statements, notice of defaults and certain other material events, maintenance of properties and insurance, and events of default, including cross-defaults to our material indebtedness.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Nasdaq entered into the 2017 Credit Facility. The 2017 Credit Facility consists of a $1 billion five-year revolving credit facility (with sublimits for non-dollar borrowings, swingline borrowings and letters of credit), which replaced our 2014 credit facility. See “2014 Credit Facility” below for further discussion. Nasdaq intends to use funds available under the 2017 Credit Facility for general corporate purposes and to provide liquidity support for the repayment of commercial paper issued through the commercial paper program.</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2017, the balance of $110 million reflects the outstanding amount under the 2017 Credit Facility, less unamortized debt issuance costs of $5 million. Of the $885 million that is available for borrowing as of December 31, 2017, $480 million provides liquidity support for the principal amount outstanding under the commercial paper program. In addition, $1 million has been utilized for a letter of credit. As such, as of December 31, 2017, the total remaining amount available under the 2017 Credit Facility was $404 million. See “Commercial Paper Program” above for further discussion of our commercial paper program.</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2017 Credit Facility, borrowings under the revolving credit facility and swingline borrowings bear interest on the principal amount outstanding at a variable interest rate based on either the LIBOR or the base rate (as defined in the credit agreement) (or other applicable rate with respect to non-dollar borrowings), plus an applicable margin that varies with Nasdaq’s debt rating.</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2017 Credit Facility includes an option for Nasdaq to increase the available aggregate amount by up to $500 million, subject to the consent of the lenders funding the increase and certain other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Nasdaq entered into the 2016 Credit Facility. In March 2016, loans in an aggregate principal amount of $400 million were drawn under the 2016 Credit Facility and the net proceeds were used to partially repay amounts outstanding under the revolving credit commitment of the 2014 credit facility. See “2014 Credit Facility” below for further discussion of our 2014 credit facility.</w:t>
      </w:r>
    </w:p>
    <w:p>
      <w:pPr>
        <w:spacing w:after="0" w:line="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our 2016 Credit Facility, borrowings bear interest on the principal amount outstanding at a variable interest rate based on either the LIBOR or the base rate (or other applicable rate with respect to non-dollar borrowings), plus an applicable margin that varies with Nasdaq’s debt rating.</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2017, we used net proceeds from the sale of commercial paper issued through the commercial paper program to repay $300 million of the amount outstanding on the 2016 Credit Facility. The remaining amount outstanding of $100 million is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upon maturity at November 25, 2019. See “Commercial Paper Program” above for further discussion of our commercial paper program. In connection with the partial repayment of the amount outstanding on the 2016 Credit Facility, we recorded a pre-tax charge of $1 million which related to the write-off of unamortized debt issuance costs related to the $300 million payment. This charge is included in general, administrative and other expense in the Consolidated Statements of Income for the year ended December 31,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2014, Nasdaq entered into the 2014 credit facility. The 2014 credit facility consisted of a $750 million revolving credit commitment (with sublimits for non-dollar borrowings, swingline borrowings and letters of credit).</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under the 2014 credit facility had a variable interest rate based on either the LIBOR or the base rate (as defined in the credit agreement) (or other applicable rate with respect to non-dollar borrowings), plus an applicable margin that varied with Nasdaq’s debt rating.</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2017, Nasdaq entered into the 2017 Credit Facility which replaced the 2014 credit facility. As a result, our 2014 credit facility has been terminated. No amounts were outstanding on the 2014 credit facility during 2017. See “2017 Credit Facility” above for further discussion of our 2017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Facilities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credit facilities related to our Nasdaq Clearing operations in order to provide further liquidity. Credit facilities, which are available in multiple currencies, totaled $187 million as of December 31, 2017 and $170 million as of December 31, 2016 in available liquidity, none of which was utilized.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were in compliance with the covenants of all of our debt obligations.</w:t>
      </w:r>
    </w:p>
    <w:p>
      <w:pPr>
        <w:spacing w:after="0" w:line="337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445" w:right="2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left="395"/>
              <w:spacing w:after="0"/>
              <w:rPr>
                <w:sz w:val="20"/>
                <w:szCs w:val="20"/>
                <w:color w:val="auto"/>
              </w:rPr>
            </w:pPr>
            <w:r>
              <w:rPr>
                <w:rFonts w:ascii="Arial" w:cs="Arial" w:eastAsia="Arial" w:hAnsi="Arial"/>
                <w:sz w:val="13"/>
                <w:szCs w:val="13"/>
                <w:b w:val="1"/>
                <w:bCs w:val="1"/>
                <w:color w:val="auto"/>
                <w:w w:val="87"/>
              </w:rPr>
              <w:t>Year Ended December 31,</w:t>
            </w:r>
          </w:p>
        </w:tc>
        <w:tc>
          <w:tcPr>
            <w:tcW w:w="700" w:type="dxa"/>
            <w:vAlign w:val="bottom"/>
            <w:tcBorders>
              <w:bottom w:val="single" w:sz="8" w:color="auto"/>
            </w:tcBorders>
          </w:tcPr>
          <w:p>
            <w:pPr>
              <w:spacing w:after="0"/>
              <w:rPr>
                <w:sz w:val="15"/>
                <w:szCs w:val="15"/>
                <w:color w:val="auto"/>
              </w:rPr>
            </w:pPr>
          </w:p>
        </w:tc>
      </w:tr>
      <w:tr>
        <w:trPr>
          <w:trHeight w:val="214"/>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255"/>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253"/>
              <w:spacing w:after="0"/>
              <w:rPr>
                <w:sz w:val="20"/>
                <w:szCs w:val="20"/>
                <w:color w:val="auto"/>
              </w:rPr>
            </w:pPr>
            <w:r>
              <w:rPr>
                <w:rFonts w:ascii="Arial" w:cs="Arial" w:eastAsia="Arial" w:hAnsi="Arial"/>
                <w:sz w:val="13"/>
                <w:szCs w:val="13"/>
                <w:b w:val="1"/>
                <w:bCs w:val="1"/>
                <w:color w:val="auto"/>
              </w:rPr>
              <w:t>2015</w:t>
            </w:r>
          </w:p>
        </w:tc>
      </w:tr>
      <w:tr>
        <w:trPr>
          <w:trHeight w:val="70"/>
        </w:trPr>
        <w:tc>
          <w:tcPr>
            <w:tcW w:w="25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61"/>
        </w:trPr>
        <w:tc>
          <w:tcPr>
            <w:tcW w:w="2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(in millions)</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9"/>
        </w:trPr>
        <w:tc>
          <w:tcPr>
            <w:tcW w:w="252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54"/>
        </w:trPr>
        <w:tc>
          <w:tcPr>
            <w:tcW w:w="2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2520" w:type="dxa"/>
            <w:vAlign w:val="bottom"/>
          </w:tcPr>
          <w:p>
            <w:pPr>
              <w:ind w:left="280"/>
              <w:spacing w:after="0"/>
              <w:rPr>
                <w:sz w:val="20"/>
                <w:szCs w:val="20"/>
                <w:color w:val="auto"/>
              </w:rPr>
            </w:pPr>
            <w:r>
              <w:rPr>
                <w:rFonts w:ascii="Arial" w:cs="Arial" w:eastAsia="Arial" w:hAnsi="Arial"/>
                <w:sz w:val="18"/>
                <w:szCs w:val="18"/>
                <w:color w:val="auto"/>
              </w:rPr>
              <w:t>Total current income taxes</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68"/>
        </w:trPr>
        <w:tc>
          <w:tcPr>
            <w:tcW w:w="25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Total deferred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2520" w:type="dxa"/>
            <w:vAlign w:val="bottom"/>
          </w:tcPr>
          <w:p>
            <w:pPr>
              <w:ind w:left="280"/>
              <w:spacing w:after="0"/>
              <w:rPr>
                <w:sz w:val="20"/>
                <w:szCs w:val="20"/>
                <w:color w:val="auto"/>
              </w:rPr>
            </w:pPr>
            <w:r>
              <w:rPr>
                <w:rFonts w:ascii="Arial" w:cs="Arial" w:eastAsia="Arial" w:hAnsi="Arial"/>
                <w:sz w:val="18"/>
                <w:szCs w:val="18"/>
                <w:color w:val="auto"/>
              </w:rPr>
              <w:t>Total income tax provision</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2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determined that undistributed earnings of certain non-U.S. subsidiaries will be reinvested for an indefinite period of time. We have both the intent and ability to indefinitely reinvest these earnings. As of December 31, 2017, the cumulative amount of undistributed earnings in these subsidiaries is approximately $131 million. Given our intent to reinvest these earnings for an indefinite period of time, we have not accrued a deferred tax liability on these earnings. A determination of an unrecognized deferred tax liability related to these earnings is not practicable.</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2017, 2016 and 2015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240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93"/>
              </w:rPr>
              <w:t>Year Ended December 31,</w:t>
            </w:r>
          </w:p>
        </w:tc>
        <w:tc>
          <w:tcPr>
            <w:tcW w:w="740" w:type="dxa"/>
            <w:vAlign w:val="bottom"/>
            <w:tcBorders>
              <w:bottom w:val="single" w:sz="8" w:color="auto"/>
            </w:tcBorders>
          </w:tcPr>
          <w:p>
            <w:pPr>
              <w:spacing w:after="0"/>
              <w:rPr>
                <w:sz w:val="15"/>
                <w:szCs w:val="15"/>
                <w:color w:val="auto"/>
              </w:rPr>
            </w:pPr>
          </w:p>
        </w:tc>
      </w:tr>
      <w:tr>
        <w:trPr>
          <w:trHeight w:val="214"/>
        </w:trPr>
        <w:tc>
          <w:tcPr>
            <w:tcW w:w="2360" w:type="dxa"/>
            <w:vAlign w:val="bottom"/>
          </w:tcPr>
          <w:p>
            <w:pPr>
              <w:spacing w:after="0"/>
              <w:rPr>
                <w:sz w:val="18"/>
                <w:szCs w:val="18"/>
                <w:color w:val="auto"/>
              </w:rPr>
            </w:pPr>
          </w:p>
        </w:tc>
        <w:tc>
          <w:tcPr>
            <w:tcW w:w="980" w:type="dxa"/>
            <w:vAlign w:val="bottom"/>
          </w:tcPr>
          <w:p>
            <w:pPr>
              <w:jc w:val="right"/>
              <w:ind w:right="275"/>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273"/>
              <w:spacing w:after="0"/>
              <w:rPr>
                <w:sz w:val="20"/>
                <w:szCs w:val="20"/>
                <w:color w:val="auto"/>
              </w:rPr>
            </w:pPr>
            <w:r>
              <w:rPr>
                <w:rFonts w:ascii="Arial" w:cs="Arial" w:eastAsia="Arial" w:hAnsi="Arial"/>
                <w:sz w:val="13"/>
                <w:szCs w:val="13"/>
                <w:b w:val="1"/>
                <w:bCs w:val="1"/>
                <w:color w:val="auto"/>
              </w:rPr>
              <w:t>2015</w:t>
            </w:r>
          </w:p>
        </w:tc>
      </w:tr>
      <w:tr>
        <w:trPr>
          <w:trHeight w:val="70"/>
        </w:trPr>
        <w:tc>
          <w:tcPr>
            <w:tcW w:w="23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0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Federal income tax provision at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statutory rate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color w:val="auto"/>
                <w:w w:val="93"/>
              </w:rPr>
              <w:t>State income tax provision, net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360" w:type="dxa"/>
            <w:vAlign w:val="bottom"/>
          </w:tcPr>
          <w:p>
            <w:pPr>
              <w:ind w:left="200"/>
              <w:spacing w:after="0"/>
              <w:rPr>
                <w:sz w:val="20"/>
                <w:szCs w:val="20"/>
                <w:color w:val="auto"/>
              </w:rPr>
            </w:pPr>
            <w:r>
              <w:rPr>
                <w:rFonts w:ascii="Arial" w:cs="Arial" w:eastAsia="Arial" w:hAnsi="Arial"/>
                <w:sz w:val="18"/>
                <w:szCs w:val="18"/>
                <w:color w:val="auto"/>
              </w:rPr>
              <w:t>of federal effect</w:t>
            </w:r>
          </w:p>
        </w:tc>
        <w:tc>
          <w:tcPr>
            <w:tcW w:w="98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Change in deferred taxes due to</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law</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color w:val="auto"/>
                <w:w w:val="97"/>
              </w:rPr>
              <w:t>Excess tax benefits related to</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2360" w:type="dxa"/>
            <w:vAlign w:val="bottom"/>
          </w:tcPr>
          <w:p>
            <w:pPr>
              <w:ind w:left="200"/>
              <w:spacing w:after="0"/>
              <w:rPr>
                <w:sz w:val="20"/>
                <w:szCs w:val="20"/>
                <w:color w:val="auto"/>
              </w:rPr>
            </w:pPr>
            <w:r>
              <w:rPr>
                <w:rFonts w:ascii="Arial" w:cs="Arial" w:eastAsia="Arial" w:hAnsi="Arial"/>
                <w:sz w:val="18"/>
                <w:szCs w:val="18"/>
                <w:color w:val="auto"/>
              </w:rPr>
              <w:t>employee share-based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3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32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Non-U.S. subsidiary earnings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Tax credits and deductions</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unrecognized tax</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98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income tax provision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32.2 %</w:t>
            </w:r>
          </w:p>
        </w:tc>
      </w:tr>
      <w:tr>
        <w:trPr>
          <w:trHeight w:val="20"/>
        </w:trPr>
        <w:tc>
          <w:tcPr>
            <w:tcW w:w="2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lower effective tax rate in 2017 when compared to 2016 is primarily due to a decrease to tax expense associated with the remeasurement of our net U.S. deferred tax liability as a result of enactment of the Tax Cuts and Jobs Act. The decrease in the effective tax rate in 2017 is also due to the recognition of excess tax benefits associated with the vesting of employee share-based compensation arrangements. See “Recent Accounting Pronouncements” of Note 2, “Summary of Significant Accounting Policies” for further discussion. The lower effective tax rate in 2016 when compared to 2015 is primarily due to a shift in the geographic mix of earnings, largely driven by the write-off of the eSpeed trade name, partially offset by an unfavorable ruling from the Finnish Supreme Administrative Court.</w:t>
      </w:r>
    </w:p>
    <w:p>
      <w:pPr>
        <w:spacing w:after="0" w:line="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the history of pre-tax earnings and losses, are taken into account in assessing the ability to realize deferred tax assets.</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445" w:right="239" w:bottom="1440" w:gutter="0" w:footer="0" w:header="0"/>
          <w:type w:val="continuous"/>
        </w:sectPr>
      </w:pPr>
    </w:p>
    <w:bookmarkStart w:id="107" w:name="page108"/>
    <w:bookmarkEnd w:id="1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temporary differences, which give rise to our deferred tax assets and (liabilities), consisted of the following:</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represents the domestic and foreign components of income before income tax provision:</w:t>
      </w:r>
    </w:p>
    <w:p>
      <w:pPr>
        <w:spacing w:after="0" w:line="194"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1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w w:val="96"/>
              </w:rPr>
              <w:t>2016</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3"/>
                <w:szCs w:val="13"/>
                <w:b w:val="1"/>
                <w:bCs w:val="1"/>
                <w:color w:val="auto"/>
              </w:rPr>
              <w:t>(in millions)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Deferred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federal net 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Foreign net operating loss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net 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Tax credits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3160" w:type="dxa"/>
            <w:vAlign w:val="bottom"/>
          </w:tcPr>
          <w:p>
            <w:pPr>
              <w:ind w:left="280"/>
              <w:spacing w:after="0"/>
              <w:rPr>
                <w:sz w:val="20"/>
                <w:szCs w:val="20"/>
                <w:color w:val="auto"/>
              </w:rPr>
            </w:pPr>
            <w:r>
              <w:rPr>
                <w:rFonts w:ascii="Arial" w:cs="Arial" w:eastAsia="Arial" w:hAnsi="Arial"/>
                <w:sz w:val="18"/>
                <w:szCs w:val="18"/>
                <w:color w:val="auto"/>
              </w:rPr>
              <w:t>Gross deferred tax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Amortization of software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1"/>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depreciation</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80"/>
              <w:spacing w:after="0"/>
              <w:rPr>
                <w:sz w:val="20"/>
                <w:szCs w:val="20"/>
                <w:color w:val="auto"/>
              </w:rPr>
            </w:pPr>
            <w:r>
              <w:rPr>
                <w:rFonts w:ascii="Arial" w:cs="Arial" w:eastAsia="Arial" w:hAnsi="Arial"/>
                <w:sz w:val="18"/>
                <w:szCs w:val="18"/>
                <w:color w:val="auto"/>
              </w:rPr>
              <w:t>Amortization of acquired intangible</w:t>
            </w:r>
          </w:p>
        </w:tc>
        <w:tc>
          <w:tcPr>
            <w:tcW w:w="2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28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9"/>
        </w:trPr>
        <w:tc>
          <w:tcPr>
            <w:tcW w:w="3160" w:type="dxa"/>
            <w:vAlign w:val="bottom"/>
          </w:tcPr>
          <w:p>
            <w:pPr>
              <w:ind w:left="280"/>
              <w:spacing w:after="0"/>
              <w:rPr>
                <w:sz w:val="20"/>
                <w:szCs w:val="20"/>
                <w:color w:val="auto"/>
              </w:rPr>
            </w:pPr>
            <w:r>
              <w:rPr>
                <w:rFonts w:ascii="Arial" w:cs="Arial" w:eastAsia="Arial" w:hAnsi="Arial"/>
                <w:sz w:val="18"/>
                <w:szCs w:val="18"/>
                <w:color w:val="auto"/>
                <w:w w:val="89"/>
              </w:rPr>
              <w:t>Net deferred tax assets before valuation</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440"/>
              <w:spacing w:after="0"/>
              <w:rPr>
                <w:sz w:val="20"/>
                <w:szCs w:val="20"/>
                <w:color w:val="auto"/>
              </w:rPr>
            </w:pPr>
            <w:r>
              <w:rPr>
                <w:rFonts w:ascii="Arial" w:cs="Arial" w:eastAsia="Arial" w:hAnsi="Arial"/>
                <w:sz w:val="18"/>
                <w:szCs w:val="18"/>
                <w:color w:val="auto"/>
              </w:rPr>
              <w:t>allowance</w:t>
            </w: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Net deferred tax assets (liabilities)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valuation allowance has been established with regards to the tax benefits primarily associated with certain net operating losses, or NOLs, as it is more likely than not that these benefits will not be realized in the foreseeable future.</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the expiration dates for the NOLs, and credits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Jurisdiction</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18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Expiration Date</w:t>
            </w:r>
          </w:p>
        </w:tc>
      </w:tr>
      <w:tr>
        <w:trPr>
          <w:trHeight w:val="262"/>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 millions)</w:t>
            </w:r>
          </w:p>
        </w:tc>
        <w:tc>
          <w:tcPr>
            <w:tcW w:w="1840" w:type="dxa"/>
            <w:vAlign w:val="bottom"/>
          </w:tcPr>
          <w:p>
            <w:pPr>
              <w:spacing w:after="0"/>
              <w:rPr>
                <w:sz w:val="22"/>
                <w:szCs w:val="22"/>
                <w:color w:val="auto"/>
              </w:rPr>
            </w:pPr>
          </w:p>
        </w:tc>
      </w:tr>
      <w:tr>
        <w:trPr>
          <w:trHeight w:val="258"/>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NOL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2033-2035</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Foreign NOL</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2018-2026</w:t>
            </w: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NOL</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 expiration date</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State NOL</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2025-2036</w:t>
            </w: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Federal Tax credits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2018-2027</w:t>
            </w:r>
          </w:p>
        </w:tc>
      </w:tr>
      <w:tr>
        <w:trPr>
          <w:trHeight w:val="27"/>
        </w:trPr>
        <w:tc>
          <w:tcPr>
            <w:tcW w:w="2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3"/>
                <w:szCs w:val="13"/>
                <w:b w:val="1"/>
                <w:bCs w:val="1"/>
                <w:color w:val="auto"/>
                <w:w w:val="97"/>
              </w:rPr>
              <w:t>Year Ended 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61"/>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237"/>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57"/>
        </w:trPr>
        <w:tc>
          <w:tcPr>
            <w:tcW w:w="26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w:t>
            </w:r>
          </w:p>
        </w:tc>
        <w:tc>
          <w:tcPr>
            <w:tcW w:w="580" w:type="dxa"/>
            <w:vAlign w:val="bottom"/>
            <w:vMerge w:val="restart"/>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880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income tax benefits of $40 million in 2017, $41 million in 2016 and $34 million in 2015, primarily related to share-based compensation. In 2017, the benefit was included in income tax expense. In 2016 and 2015, the amounts were recorded as additional paid-in-capital in the Consolidated Balance Sheets. See “Recent Accounting Pronouncements,” of Note 2, “Summary of Significant Accounting Policies,” for further discussion.</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the effective tax rate for that period.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$45 million as of December 31, 2017 and $48 million as of December 31, 2016 of unrecognized tax benefits that if recognized would affect our effective tax rate.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60" w:type="dxa"/>
            <w:vAlign w:val="bottom"/>
          </w:tcPr>
          <w:p>
            <w:pPr>
              <w:spacing w:after="0"/>
              <w:rPr>
                <w:sz w:val="14"/>
                <w:szCs w:val="14"/>
                <w:color w:val="auto"/>
              </w:rPr>
            </w:pPr>
          </w:p>
        </w:tc>
        <w:tc>
          <w:tcPr>
            <w:tcW w:w="1820" w:type="dxa"/>
            <w:vAlign w:val="bottom"/>
            <w:gridSpan w:val="4"/>
          </w:tcPr>
          <w:p>
            <w:pPr>
              <w:ind w:left="380"/>
              <w:spacing w:after="0"/>
              <w:rPr>
                <w:sz w:val="20"/>
                <w:szCs w:val="20"/>
                <w:color w:val="auto"/>
              </w:rPr>
            </w:pPr>
            <w:r>
              <w:rPr>
                <w:rFonts w:ascii="Arial" w:cs="Arial" w:eastAsia="Arial" w:hAnsi="Arial"/>
                <w:sz w:val="13"/>
                <w:szCs w:val="13"/>
                <w:b w:val="1"/>
                <w:bCs w:val="1"/>
                <w:color w:val="auto"/>
                <w:w w:val="88"/>
              </w:rPr>
              <w:t>Year Ended December 31,</w:t>
            </w:r>
          </w:p>
        </w:tc>
        <w:tc>
          <w:tcPr>
            <w:tcW w:w="300" w:type="dxa"/>
            <w:vAlign w:val="bottom"/>
          </w:tcPr>
          <w:p>
            <w:pPr>
              <w:spacing w:after="0"/>
              <w:rPr>
                <w:sz w:val="14"/>
                <w:szCs w:val="14"/>
                <w:color w:val="auto"/>
              </w:rPr>
            </w:pPr>
          </w:p>
        </w:tc>
      </w:tr>
      <w:tr>
        <w:trPr>
          <w:trHeight w:val="57"/>
        </w:trPr>
        <w:tc>
          <w:tcPr>
            <w:tcW w:w="34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r>
      <w:tr>
        <w:trPr>
          <w:trHeight w:val="167"/>
        </w:trPr>
        <w:tc>
          <w:tcPr>
            <w:tcW w:w="3460" w:type="dxa"/>
            <w:vAlign w:val="bottom"/>
          </w:tcPr>
          <w:p>
            <w:pPr>
              <w:spacing w:after="0"/>
              <w:rPr>
                <w:sz w:val="14"/>
                <w:szCs w:val="14"/>
                <w:color w:val="auto"/>
              </w:rPr>
            </w:pPr>
          </w:p>
        </w:tc>
        <w:tc>
          <w:tcPr>
            <w:tcW w:w="640" w:type="dxa"/>
            <w:vAlign w:val="bottom"/>
          </w:tcPr>
          <w:p>
            <w:pPr>
              <w:ind w:left="380"/>
              <w:spacing w:after="0"/>
              <w:rPr>
                <w:sz w:val="20"/>
                <w:szCs w:val="20"/>
                <w:color w:val="auto"/>
              </w:rPr>
            </w:pPr>
            <w:r>
              <w:rPr>
                <w:rFonts w:ascii="Arial" w:cs="Arial" w:eastAsia="Arial" w:hAnsi="Arial"/>
                <w:sz w:val="13"/>
                <w:szCs w:val="13"/>
                <w:b w:val="1"/>
                <w:bCs w:val="1"/>
                <w:color w:val="auto"/>
                <w:w w:val="82"/>
              </w:rPr>
              <w:t>2017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2016</w:t>
            </w:r>
          </w:p>
        </w:tc>
        <w:tc>
          <w:tcPr>
            <w:tcW w:w="300" w:type="dxa"/>
            <w:vAlign w:val="bottom"/>
          </w:tcPr>
          <w:p>
            <w:pPr>
              <w:spacing w:after="0"/>
              <w:rPr>
                <w:sz w:val="14"/>
                <w:szCs w:val="14"/>
                <w:color w:val="auto"/>
              </w:rPr>
            </w:pPr>
          </w:p>
        </w:tc>
      </w:tr>
      <w:tr>
        <w:trPr>
          <w:trHeight w:val="97"/>
        </w:trPr>
        <w:tc>
          <w:tcPr>
            <w:tcW w:w="34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3"/>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42"/>
        </w:trPr>
        <w:tc>
          <w:tcPr>
            <w:tcW w:w="3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3"/>
          </w:tcPr>
          <w:p>
            <w:pPr>
              <w:jc w:val="right"/>
              <w:ind w:right="339"/>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21"/>
                <w:szCs w:val="21"/>
                <w:color w:val="auto"/>
              </w:rPr>
            </w:pPr>
          </w:p>
        </w:tc>
      </w:tr>
      <w:tr>
        <w:trPr>
          <w:trHeight w:val="258"/>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64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40</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w w:val="95"/>
              </w:rPr>
              <w:t>Additions as a result of tax positions taken in</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3460" w:type="dxa"/>
            <w:vAlign w:val="bottom"/>
          </w:tcPr>
          <w:p>
            <w:pPr>
              <w:ind w:left="200"/>
              <w:spacing w:after="0"/>
              <w:rPr>
                <w:sz w:val="20"/>
                <w:szCs w:val="20"/>
                <w:color w:val="auto"/>
              </w:rPr>
            </w:pPr>
            <w:r>
              <w:rPr>
                <w:rFonts w:ascii="Arial" w:cs="Arial" w:eastAsia="Arial" w:hAnsi="Arial"/>
                <w:sz w:val="18"/>
                <w:szCs w:val="18"/>
                <w:color w:val="auto"/>
              </w:rPr>
              <w:t>prior periods</w:t>
            </w: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Additions as a result of tax positions taken in</w:t>
            </w: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current period</w:t>
            </w:r>
          </w:p>
        </w:tc>
        <w:tc>
          <w:tcPr>
            <w:tcW w:w="6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w w:val="95"/>
              </w:rPr>
              <w:t>Reductions related to settlements with taxing</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3460" w:type="dxa"/>
            <w:vAlign w:val="bottom"/>
          </w:tcPr>
          <w:p>
            <w:pPr>
              <w:ind w:left="200"/>
              <w:spacing w:after="0"/>
              <w:rPr>
                <w:sz w:val="20"/>
                <w:szCs w:val="20"/>
                <w:color w:val="auto"/>
              </w:rPr>
            </w:pPr>
            <w:r>
              <w:rPr>
                <w:rFonts w:ascii="Arial" w:cs="Arial" w:eastAsia="Arial" w:hAnsi="Arial"/>
                <w:sz w:val="18"/>
                <w:szCs w:val="18"/>
                <w:color w:val="auto"/>
              </w:rPr>
              <w:t>authorities</w:t>
            </w:r>
          </w:p>
        </w:tc>
        <w:tc>
          <w:tcPr>
            <w:tcW w:w="6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Reductions as a result of lapses of the</w:t>
            </w: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57"/>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applicable statute of limitations</w:t>
            </w:r>
          </w:p>
        </w:tc>
        <w:tc>
          <w:tcPr>
            <w:tcW w:w="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6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w:t>
            </w:r>
          </w:p>
        </w:tc>
      </w:tr>
      <w:tr>
        <w:trPr>
          <w:trHeight w:val="20"/>
        </w:trPr>
        <w:tc>
          <w:tcPr>
            <w:tcW w:w="3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policy is to recognize interest and/or penalties related to income tax matters in income tax expense. We have accrued $9 million as of December 31, 2017 and $8 million as of December 31, 2016 for interest and penalties, net of tax effect.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Nasdaq and its eligible subsidiaries file a consolidated U.S. federal income tax return and applicable state and local income tax returns and non-U.S. income tax returns. Federal income tax returns for the years 2012 through 2015 are currently under examination by the Internal Revenue Services and we are</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445" w:right="239" w:bottom="1440" w:gutter="0" w:footer="0" w:header="0"/>
          <w:type w:val="continuous"/>
        </w:sectPr>
      </w:pPr>
    </w:p>
    <w:bookmarkStart w:id="108" w:name="page109"/>
    <w:bookmarkEnd w:id="10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subject to examination by the Internal Revenue Service for 2016. Several state tax returns are currently under examination by the respective tax authorities for the years 2005 through 2015 and we are subject to examination for 2016. Non-U.S. tax returns are subject to examination by the respective tax authorities for the years 2009 through 2016. Although the results of such examinations may have an impact on our unrecognized tax benefits, we do not anticipate that such impact will be material to our consolidated financial position or results of operations. Based on the expiration of the statute of limitations in the third quarter of 2017, we recognized $8 million in previously unrecognized tax benefits associated with positions taken in prior years. In addition, we anticipate that the amount of unrecognized tax benefits as of December 31, 2017 will decrease in the next twelve months as we expect to settle certain tax audits.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Swedish Tax Agency has disallowed certain interest expense deductions for the years 2013 - 2015. We have appealed to the Lower Administrative Court. Despite a prior negative decision from the Council for Advance Rulings and the Supreme Administrative Court's refusal to hear our appeal at that time, we continue to expect a favorable decision from the Swedish Courts. Since January 1, 2013, we have recorded tax benefits of $56 million associated with this matter. We continue to pay all assessments from the Swedish Tax Agency while this matter is pending. If the Swedish Courts agree with our position we will receive a refund of all paid assessments; if the Swedish Courts disagree with our position, we will record tax expense of $48 million or $0.28 per diluted share, which is gross of any related U.S. tax benefits and reflects the impact of foreign currency translation. We record quarterly tax benefits of $1 million to $2 million related to this matter.</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Tax Cuts and Jobs Act was enacted on December 22, 2017 and is effective January 1, 2018. The new legislation contains several key provisions, including a reduction of the U.S. corporate income tax rate from 35% to 21%. We are required to remeasure all our U.S. deferred tax assets and liabilities as of December 22, 2017 and record the impact of such remeasurement in our 2017 financial statements. For the year ended December 31, 2017, we recorded a decrease to tax expense of $87 million, substantially all of which reflects the estimated impact associated with the remeasurement of our net U.S. deferred tax liability at the lower U.S. federal corporate income tax rate. The Tax Cuts and Jobs Act also imposes a transition tax on unremitted aggregate accumulated earnings of non-U.S. subsidiaries, which did not impact us.</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SAB 118 has provided guidance which allows us to record provisional amounts during a measurement period not to extend beyond one year of the enactment date. As of December 31, 2017, we have recorded a provisional estimate of the effects of the new legislation. We will continue to analyze the Tax Cuts and Jobs Act and related accounting guidance and interpretations in order to finalize any impacts within the measurement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a 401(k) Plan for U.S. employees. Employees are immediately eligible to make contributions to the plan and are also eligible for an employer contribution match at an amount equal to 100.0% of the first 6.0% of eligible employee contributions. Savings plan expense included in compensation and benefits expense in the Consolidated Statements of Income was $13 million for 2017, $11 million for 2016 and $10 million for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Supplemental Executive Retirement Plans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maintain non-contributory, defined-benefit pension plans, non-qualified SERPs for certain senior executives and other post-retirement benefit plans for eligible employees in the U.S., collectively referred to as the Nasdaq Benefit Plans. Our pension plans and SERPs are frozen. Future service and salary for all participants do not count toward an accrual of benefits under the pension plans and SERPs. Most employees outside the U.S. are covered by local retirement plans or by applicable social laws. Benefits under social laws are generally expensed in the periods in which the costs are incurred. The total expense for these plans is included in compensation and benefits expense in the Consolidated Statements of Income and was $21 million in 2017, $23 million in 2016 and $22 million in 2015.</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Nasdaq recognizes the funded status of the Nasdaq Benefit Plans, measured as the difference between the fair value of the plan assets and the benefit obligation, in the Consolidated Balance Sheets. The funded status related to the Nasdaq Benefit Plans was underfunded by $60 million as of December 31, 2017, $59 million as of December 31, 2016 and $64 million as of December 31, 2015 and is included in accrued personnel costs and other non-current liabilities in the Consolidated Balance Sheets. The fair value of the plan assets was $79 million as of December 31, 2017 and $74 million as of December 31, 2016 and the benefit obligation was $139 million as of December 31, 2017 and $133 million as of December 31, 2016. The plan assets of the Nasdaq Benefit Plans are invested in securities per target allocations adopted by Nasdaq’s Pension and 401(k) Committee and are primarily invested in equity and fixed income securities, which are primarily categorized as Level 2 in the fair value hierarchy.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accumulated other comprehensive loss for the Nasdaq Benefit Plans was $22 million reflecting an unrecognized net loss of $37 million, partially offset by an income tax benefit of $15 million, primarily due to our pension plans.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the following benefit payments to participants in the next ten fiscal years under the Nasdaq Benefit Plans:</w:t>
      </w:r>
    </w:p>
    <w:p>
      <w:pPr>
        <w:spacing w:after="0" w:line="197"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445"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Pension</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SERP</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Post-retirement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Total</w:t>
            </w:r>
          </w:p>
        </w:tc>
      </w:tr>
      <w:tr>
        <w:trPr>
          <w:trHeight w:val="249"/>
        </w:trPr>
        <w:tc>
          <w:tcPr>
            <w:tcW w:w="1560" w:type="dxa"/>
            <w:vAlign w:val="bottom"/>
          </w:tcPr>
          <w:p>
            <w:pPr>
              <w:ind w:left="20"/>
              <w:spacing w:after="0"/>
              <w:rPr>
                <w:sz w:val="20"/>
                <w:szCs w:val="20"/>
                <w:color w:val="auto"/>
              </w:rPr>
            </w:pPr>
            <w:r>
              <w:rPr>
                <w:rFonts w:ascii="Arial" w:cs="Arial" w:eastAsia="Arial" w:hAnsi="Arial"/>
                <w:sz w:val="18"/>
                <w:szCs w:val="18"/>
                <w:color w:val="auto"/>
                <w:w w:val="99"/>
              </w:rPr>
              <w:t>Fiscal Year Ended:</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8"/>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1560" w:type="dxa"/>
            <w:vAlign w:val="bottom"/>
          </w:tcPr>
          <w:p>
            <w:pPr>
              <w:ind w:left="2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1560" w:type="dxa"/>
            <w:vAlign w:val="bottom"/>
          </w:tcPr>
          <w:p>
            <w:pPr>
              <w:ind w:left="20"/>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560" w:type="dxa"/>
            <w:vAlign w:val="bottom"/>
          </w:tcPr>
          <w:p>
            <w:pPr>
              <w:ind w:left="20"/>
              <w:spacing w:after="0"/>
              <w:rPr>
                <w:sz w:val="20"/>
                <w:szCs w:val="20"/>
                <w:color w:val="auto"/>
              </w:rPr>
            </w:pPr>
            <w:r>
              <w:rPr>
                <w:rFonts w:ascii="Arial" w:cs="Arial" w:eastAsia="Arial" w:hAnsi="Arial"/>
                <w:sz w:val="18"/>
                <w:szCs w:val="18"/>
                <w:color w:val="auto"/>
              </w:rPr>
              <w:t>2023 through 2027</w:t>
            </w:r>
          </w:p>
        </w:tc>
        <w:tc>
          <w:tcPr>
            <w:tcW w:w="6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29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15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55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share-based compensation program that provides our board of directors broad discretion in creating employee equity incentives. Share-based awards granted under this program include stock options, restricted stock (consisting of restricted stock units), and PSUs. For accounting purposes, we consider PSUs to be a form of restricted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Share-Based Compensation Expense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shows the total share-based compensation expense resulting from equity awards and the 15.0% discount for the ESPP for the years ended December 31, 2017, 2016 and 2015 in the Consolidated Statements of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ind w:left="301"/>
              <w:spacing w:after="0"/>
              <w:rPr>
                <w:sz w:val="20"/>
                <w:szCs w:val="20"/>
                <w:color w:val="auto"/>
              </w:rPr>
            </w:pPr>
            <w:r>
              <w:rPr>
                <w:rFonts w:ascii="Arial" w:cs="Arial" w:eastAsia="Arial" w:hAnsi="Arial"/>
                <w:sz w:val="13"/>
                <w:szCs w:val="13"/>
                <w:b w:val="1"/>
                <w:bCs w:val="1"/>
                <w:color w:val="auto"/>
                <w:w w:val="87"/>
              </w:rPr>
              <w:t>Year Ended December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20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77"/>
              <w:spacing w:after="0"/>
              <w:rPr>
                <w:sz w:val="20"/>
                <w:szCs w:val="20"/>
                <w:color w:val="auto"/>
              </w:rPr>
            </w:pPr>
            <w:r>
              <w:rPr>
                <w:rFonts w:ascii="Arial" w:cs="Arial" w:eastAsia="Arial" w:hAnsi="Arial"/>
                <w:sz w:val="13"/>
                <w:szCs w:val="13"/>
                <w:b w:val="1"/>
                <w:bCs w:val="1"/>
                <w:color w:val="auto"/>
                <w:w w:val="89"/>
              </w:rPr>
              <w:t>2015</w:t>
            </w:r>
          </w:p>
        </w:tc>
        <w:tc>
          <w:tcPr>
            <w:tcW w:w="0" w:type="dxa"/>
            <w:vAlign w:val="bottom"/>
          </w:tcPr>
          <w:p>
            <w:pPr>
              <w:spacing w:after="0"/>
              <w:rPr>
                <w:sz w:val="1"/>
                <w:szCs w:val="1"/>
                <w:color w:val="auto"/>
              </w:rPr>
            </w:pPr>
          </w:p>
        </w:tc>
      </w:tr>
      <w:tr>
        <w:trPr>
          <w:trHeight w:val="70"/>
        </w:trPr>
        <w:tc>
          <w:tcPr>
            <w:tcW w:w="30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3"/>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(in millions)</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Share-based compensation expense after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Available Under Our Equity Plan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we had approximately 5.8 million shares of common stock authorized for future issuance under our Equity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grant restricted stock to most active employees. The grant date fair value of restricted stock awards is based on the closing price at the date of grant less the present value of future cash dividends. Restricted stock awards granted generally vest 25.0% on the second anniversary of the grant date, 25.0% on the third anniversary of the grant date, and 50.0% on the fourth anniversary of the grant date. We generally recognize compensation expense for restricted stock awards on a straight-line basis over the requisite service period of the award, taking into account an estimated forfeiture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Activity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restricted stock activity for the years ended December 31, 2017, 2016 and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3"/>
                <w:szCs w:val="13"/>
                <w:b w:val="1"/>
                <w:bCs w:val="1"/>
                <w:color w:val="auto"/>
              </w:rPr>
              <w:t>Restricted Stock</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72"/>
              <w:spacing w:after="0" w:line="144" w:lineRule="exact"/>
              <w:rPr>
                <w:sz w:val="20"/>
                <w:szCs w:val="20"/>
                <w:color w:val="auto"/>
              </w:rPr>
            </w:pPr>
            <w:r>
              <w:rPr>
                <w:rFonts w:ascii="Arial" w:cs="Arial" w:eastAsia="Arial" w:hAnsi="Arial"/>
                <w:sz w:val="13"/>
                <w:szCs w:val="13"/>
                <w:b w:val="1"/>
                <w:bCs w:val="1"/>
                <w:color w:val="auto"/>
                <w:w w:val="87"/>
              </w:rPr>
              <w:t>Weighted-Average</w:t>
            </w: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Number of Awards</w:t>
            </w: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Grant Date Fair Value</w:t>
            </w:r>
          </w:p>
        </w:tc>
        <w:tc>
          <w:tcPr>
            <w:tcW w:w="0" w:type="dxa"/>
            <w:vAlign w:val="bottom"/>
          </w:tcPr>
          <w:p>
            <w:pPr>
              <w:spacing w:after="0"/>
              <w:rPr>
                <w:sz w:val="1"/>
                <w:szCs w:val="1"/>
                <w:color w:val="auto"/>
              </w:rPr>
            </w:pPr>
          </w:p>
        </w:tc>
      </w:tr>
      <w:tr>
        <w:trPr>
          <w:trHeight w:val="215"/>
        </w:trPr>
        <w:tc>
          <w:tcPr>
            <w:tcW w:w="2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Unvested balances at December 31,</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3,193,230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823,950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(302,444)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Unvested balances at December 31,</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3,343,738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724,200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(268,380)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Unvested balances at December 31,</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2,560,578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737,864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(207,119)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Unvested balances at December 31,</w:t>
            </w:r>
          </w:p>
        </w:tc>
        <w:tc>
          <w:tcPr>
            <w:tcW w:w="13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1,988,500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2017</w:t>
            </w: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$54 million of total unrecognized compensation cost related to restricted stock is expected to be recognized over a weighted-average period of 1.8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grant date fair value of PSUs is based on the closing price at the date of grant less the present value of future cash dividends. PSUs are based on performance measures that impact the amount of shares that each recipient will receive upon vesting.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 We have two performance-based long-term PSU programs for certain officers, a one-year performance-based program and a three-year cumulative performance-based program that focuses on TSR.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One-Year PSU Program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one-year performance-based program, an employee may receive from 0.0% to 150.0% of the target amount granted, depending on the achievement of performance measures. These awards vest ratably on an annual basis over a three-year period commencing with the end of the performance period. Compensation cost is recognized over the performance period and the three-year vesting period, taking into account an estimated forfeiture rate.</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certain grants of PSUs with a one-year performance period exceeded the applicable performance</w:t>
      </w:r>
    </w:p>
    <w:p>
      <w:pPr>
        <w:spacing w:after="0" w:line="197"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p>
      <w:pPr>
        <w:jc w:val="center"/>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20"/>
          </w:cols>
          <w:pgMar w:left="240" w:top="445" w:right="239" w:bottom="1440" w:gutter="0" w:footer="0" w:header="0"/>
          <w:type w:val="continuous"/>
        </w:sectPr>
      </w:pPr>
    </w:p>
    <w:bookmarkStart w:id="110" w:name="page111"/>
    <w:bookmarkEnd w:id="1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parameters. As a result, an additional 14,497 units above target were considered granted in the first quarter of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Three-Year PSU Program</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three-year performance-based program, each individual receives PSUs with a three-year cumulative performance period that vest at the end of the performance period. Compensation cost is recognized over the three-year vesting period. Performance will be determined by comparing Nasdaq’s TSR to two peer groups, each weighted 50.0%. The first peer group consists of exchange companies, and the second peer group consists of all companies in the S&amp;P 500. Nasdaq’s relative performance ranking against each of these groups will determine the final number of shares delivered to each individual under the program. The payout under this program will be between 0.0% and 200.0% of the number of PSUs granted and will be determined by Nasdaq’s overall performance against both peer groups. However, if Nasdaq’s TSR is negative for the three-year performance period, regardless of TSR ranking, the payout will not exceed 100.0% of the number of PSUs granted. We estimate the fair value of PSUs granted under the three-year PSU program using the Monte Carlo simulation model, as these awards contain a market condition.</w:t>
      </w: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grants of PSUs that were issued in 2015 with a three-year performance period exceeded the applicable performance parameters. As a result, an additional 237,876 units above target were considered granted in the first quarter of 2018.</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weighted-average assumptions were used to determine the weighted-average fair values of the PSU awards granted under the three-year PSU program for the years ended December 31, 2017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3"/>
                <w:szCs w:val="13"/>
                <w:b w:val="1"/>
                <w:bCs w:val="1"/>
                <w:color w:val="auto"/>
              </w:rPr>
              <w:t>Year Ended December 31,</w:t>
            </w:r>
          </w:p>
        </w:tc>
      </w:tr>
      <w:tr>
        <w:trPr>
          <w:trHeight w:val="277"/>
        </w:trPr>
        <w:tc>
          <w:tcPr>
            <w:tcW w:w="33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2017</w:t>
            </w: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Weighted-average risk free interest rate</w:t>
            </w:r>
            <w:r>
              <w:rPr>
                <w:rFonts w:ascii="Arial" w:cs="Arial" w:eastAsia="Arial" w:hAnsi="Arial"/>
                <w:sz w:val="18"/>
                <w:szCs w:val="18"/>
                <w:color w:val="auto"/>
                <w:w w:val="98"/>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62"/>
        </w:trPr>
        <w:tc>
          <w:tcPr>
            <w:tcW w:w="3320" w:type="dxa"/>
            <w:vAlign w:val="bottom"/>
          </w:tcPr>
          <w:p>
            <w:pPr>
              <w:ind w:left="4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18"/>
                <w:szCs w:val="18"/>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58"/>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Weighted-average grant date share price</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$69.45</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$66.36</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w w:val="98"/>
              </w:rPr>
              <w:t>Weighted-average fair value at grant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$81.57</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$93.25</w:t>
            </w:r>
          </w:p>
        </w:tc>
      </w:tr>
      <w:tr>
        <w:trPr>
          <w:trHeight w:val="191"/>
        </w:trPr>
        <w:tc>
          <w:tcPr>
            <w:tcW w:w="3320" w:type="dxa"/>
            <w:vAlign w:val="bottom"/>
          </w:tcPr>
          <w:p>
            <w:pPr>
              <w:spacing w:after="0"/>
              <w:rPr>
                <w:sz w:val="20"/>
                <w:szCs w:val="20"/>
                <w:color w:val="auto"/>
              </w:rPr>
            </w:pPr>
            <w:r>
              <w:rPr>
                <w:rFonts w:ascii="Arial" w:cs="Arial" w:eastAsia="Arial" w:hAnsi="Arial"/>
                <w:sz w:val="14"/>
                <w:szCs w:val="14"/>
                <w:b w:val="1"/>
                <w:bCs w:val="1"/>
                <w:color w:val="auto"/>
              </w:rPr>
              <w:t>____________</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38" w:lineRule="exact"/>
        <w:rPr>
          <w:sz w:val="20"/>
          <w:szCs w:val="20"/>
          <w:color w:val="auto"/>
        </w:rPr>
      </w:pPr>
    </w:p>
    <w:p>
      <w:pPr>
        <w:jc w:val="both"/>
        <w:ind w:left="340" w:hanging="332"/>
        <w:spacing w:after="0" w:line="226" w:lineRule="auto"/>
        <w:tabs>
          <w:tab w:leader="none" w:pos="34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The risk-free interest rate for periods within the expected life of the award is based on the U.S. Treasury yield curve in effect at the time of grant.</w:t>
      </w:r>
    </w:p>
    <w:p>
      <w:pPr>
        <w:spacing w:after="0" w:line="2" w:lineRule="exact"/>
        <w:rPr>
          <w:rFonts w:ascii="Arial" w:cs="Arial" w:eastAsia="Arial" w:hAnsi="Arial"/>
          <w:sz w:val="25"/>
          <w:szCs w:val="25"/>
          <w:color w:val="auto"/>
          <w:vertAlign w:val="superscript"/>
        </w:rPr>
      </w:pPr>
    </w:p>
    <w:p>
      <w:pPr>
        <w:jc w:val="both"/>
        <w:ind w:left="340" w:hanging="332"/>
        <w:spacing w:after="0" w:line="228" w:lineRule="auto"/>
        <w:tabs>
          <w:tab w:leader="none" w:pos="34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We use historic volatility for PSU awards issued under the three-year PSU program, as implied volatility data could not be obtained for all the companies in the peer groups used for relative performance measurement within the program.</w:t>
      </w:r>
    </w:p>
    <w:p>
      <w:pPr>
        <w:spacing w:after="0" w:line="9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the annual dividend assumption utilized in the Monte Carlo simulation model is based on Nasdaq’s dividend yield at the 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PSU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PSU activity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PSUs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0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3"/>
                <w:szCs w:val="13"/>
                <w:b w:val="1"/>
                <w:bCs w:val="1"/>
                <w:color w:val="auto"/>
              </w:rPr>
              <w:t>One-Year Program</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3"/>
                <w:szCs w:val="13"/>
                <w:b w:val="1"/>
                <w:bCs w:val="1"/>
                <w:color w:val="auto"/>
              </w:rPr>
              <w:t>Three-Year Program</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35"/>
              <w:spacing w:after="0" w:line="144" w:lineRule="exact"/>
              <w:rPr>
                <w:sz w:val="20"/>
                <w:szCs w:val="20"/>
                <w:color w:val="auto"/>
              </w:rPr>
            </w:pPr>
            <w:r>
              <w:rPr>
                <w:rFonts w:ascii="Arial" w:cs="Arial" w:eastAsia="Arial" w:hAnsi="Arial"/>
                <w:sz w:val="13"/>
                <w:szCs w:val="13"/>
                <w:b w:val="1"/>
                <w:bCs w:val="1"/>
                <w:color w:val="auto"/>
                <w:w w:val="85"/>
              </w:rPr>
              <w:t>Weighted-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89"/>
              </w:rPr>
              <w:t>Weighted-</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7"/>
              </w:rPr>
              <w:t>Average Grant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Average Grant</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Number of</w:t>
            </w:r>
          </w:p>
        </w:tc>
        <w:tc>
          <w:tcPr>
            <w:tcW w:w="140" w:type="dxa"/>
            <w:vAlign w:val="bottom"/>
          </w:tcPr>
          <w:p>
            <w:pPr>
              <w:spacing w:after="0"/>
              <w:rPr>
                <w:sz w:val="11"/>
                <w:szCs w:val="11"/>
                <w:color w:val="auto"/>
              </w:rPr>
            </w:pPr>
          </w:p>
        </w:tc>
        <w:tc>
          <w:tcPr>
            <w:tcW w:w="70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89"/>
              </w:rPr>
              <w:t>Date Fair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Awards</w:t>
            </w:r>
          </w:p>
        </w:tc>
        <w:tc>
          <w:tcPr>
            <w:tcW w:w="14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Number of Awards</w:t>
            </w:r>
          </w:p>
        </w:tc>
        <w:tc>
          <w:tcPr>
            <w:tcW w:w="140" w:type="dxa"/>
            <w:vAlign w:val="bottom"/>
          </w:tcPr>
          <w:p>
            <w:pPr>
              <w:spacing w:after="0"/>
              <w:rPr>
                <w:sz w:val="15"/>
                <w:szCs w:val="15"/>
                <w:color w:val="auto"/>
              </w:rPr>
            </w:pPr>
          </w:p>
        </w:tc>
        <w:tc>
          <w:tcPr>
            <w:tcW w:w="740" w:type="dxa"/>
            <w:vAlign w:val="bottom"/>
          </w:tcPr>
          <w:p>
            <w:pPr>
              <w:jc w:val="center"/>
              <w:ind w:right="55"/>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15"/>
        </w:trPr>
        <w:tc>
          <w:tcPr>
            <w:tcW w:w="1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balances at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December 31,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32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1,654,567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206,199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48.16</w:t>
            </w:r>
          </w:p>
        </w:tc>
        <w:tc>
          <w:tcPr>
            <w:tcW w:w="1320" w:type="dxa"/>
            <w:vAlign w:val="bottom"/>
            <w:gridSpan w:val="3"/>
          </w:tcPr>
          <w:p>
            <w:pPr>
              <w:jc w:val="right"/>
              <w:ind w:right="37"/>
              <w:spacing w:after="0"/>
              <w:rPr>
                <w:sz w:val="20"/>
                <w:szCs w:val="20"/>
                <w:color w:val="auto"/>
              </w:rPr>
            </w:pPr>
            <w:r>
              <w:rPr>
                <w:rFonts w:ascii="Arial" w:cs="Arial" w:eastAsia="Arial" w:hAnsi="Arial"/>
                <w:sz w:val="18"/>
                <w:szCs w:val="18"/>
                <w:color w:val="auto"/>
              </w:rPr>
              <w:t>649,626</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(837,109)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spacing w:after="0"/>
              <w:rPr>
                <w:sz w:val="20"/>
                <w:szCs w:val="20"/>
                <w:color w:val="auto"/>
              </w:rPr>
            </w:pPr>
            <w:r>
              <w:rPr>
                <w:rFonts w:ascii="Arial" w:cs="Arial" w:eastAsia="Arial" w:hAnsi="Arial"/>
                <w:sz w:val="18"/>
                <w:szCs w:val="18"/>
                <w:color w:val="auto"/>
              </w:rPr>
              <w:t>(92,999)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34.74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(27,366)</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balances at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December 31,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32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1,439,718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242,642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58.33</w:t>
            </w:r>
          </w:p>
        </w:tc>
        <w:tc>
          <w:tcPr>
            <w:tcW w:w="1320" w:type="dxa"/>
            <w:vAlign w:val="bottom"/>
            <w:gridSpan w:val="3"/>
          </w:tcPr>
          <w:p>
            <w:pPr>
              <w:jc w:val="right"/>
              <w:ind w:right="37"/>
              <w:spacing w:after="0"/>
              <w:rPr>
                <w:sz w:val="20"/>
                <w:szCs w:val="20"/>
                <w:color w:val="auto"/>
              </w:rPr>
            </w:pPr>
            <w:r>
              <w:rPr>
                <w:rFonts w:ascii="Arial" w:cs="Arial" w:eastAsia="Arial" w:hAnsi="Arial"/>
                <w:sz w:val="18"/>
                <w:szCs w:val="18"/>
                <w:color w:val="auto"/>
              </w:rPr>
              <w:t>761,501</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(879,926)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spacing w:after="0"/>
              <w:rPr>
                <w:sz w:val="20"/>
                <w:szCs w:val="20"/>
                <w:color w:val="auto"/>
              </w:rPr>
            </w:pPr>
            <w:r>
              <w:rPr>
                <w:rFonts w:ascii="Arial" w:cs="Arial" w:eastAsia="Arial" w:hAnsi="Arial"/>
                <w:sz w:val="18"/>
                <w:szCs w:val="18"/>
                <w:color w:val="auto"/>
              </w:rPr>
              <w:t>(45,050)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47.72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balances at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December 31,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32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1,314,668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197,075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65.51</w:t>
            </w:r>
          </w:p>
        </w:tc>
        <w:tc>
          <w:tcPr>
            <w:tcW w:w="1320" w:type="dxa"/>
            <w:vAlign w:val="bottom"/>
            <w:gridSpan w:val="3"/>
          </w:tcPr>
          <w:p>
            <w:pPr>
              <w:jc w:val="right"/>
              <w:ind w:right="37"/>
              <w:spacing w:after="0"/>
              <w:rPr>
                <w:sz w:val="20"/>
                <w:szCs w:val="20"/>
                <w:color w:val="auto"/>
              </w:rPr>
            </w:pPr>
            <w:r>
              <w:rPr>
                <w:rFonts w:ascii="Arial" w:cs="Arial" w:eastAsia="Arial" w:hAnsi="Arial"/>
                <w:sz w:val="18"/>
                <w:szCs w:val="18"/>
                <w:color w:val="auto"/>
              </w:rPr>
              <w:t>803,712</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(1,079,925)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spacing w:after="0"/>
              <w:rPr>
                <w:sz w:val="20"/>
                <w:szCs w:val="20"/>
                <w:color w:val="auto"/>
              </w:rPr>
            </w:pPr>
            <w:r>
              <w:rPr>
                <w:rFonts w:ascii="Arial" w:cs="Arial" w:eastAsia="Arial" w:hAnsi="Arial"/>
                <w:sz w:val="18"/>
                <w:szCs w:val="18"/>
                <w:color w:val="auto"/>
              </w:rPr>
              <w:t>(40,764)</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(28,497)</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87.86</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balances at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December 31,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333,004</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320" w:type="dxa"/>
            <w:vAlign w:val="bottom"/>
            <w:gridSpan w:val="3"/>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1,009,958</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2017</w:t>
            </w: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32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2017, $9 million of total unrecognized compensation cost related to the one-year PSU program is expected to be recognized over a weighted-average period of 1.4 years. For the three-year PSU program, $21 million of total unrecognized compensation cost is expected to be recognized over a weighted-average period of 1.4 years.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 of stock options is estimated using the Black-Scholes option-pricing model. Each grant has a 10-year life. In January 2017, our CEO received 268,817 performance-based non-qualified stock options which will vest annually over a three-year period, with each vesting contingent upon the achievement of annual performance parameters. On January 30, 2018, Nasdaq's management compensation committee and board of directors determined that the performance goal for 2017 was met, resulting in the settlement of the first one-third of the grant. There were no stock option awards granted during the years ended December 31, 2016 and 2015.</w:t>
      </w:r>
    </w:p>
    <w:p>
      <w:pPr>
        <w:spacing w:after="0" w:line="194"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0"/>
          </w:cols>
          <w:pgMar w:left="240" w:top="445" w:right="23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Stock Option Activity</w:t>
      </w:r>
    </w:p>
    <w:p>
      <w:pPr>
        <w:spacing w:after="0" w:line="121" w:lineRule="exact"/>
        <w:rPr>
          <w:sz w:val="20"/>
          <w:szCs w:val="20"/>
          <w:color w:val="auto"/>
        </w:rPr>
      </w:pPr>
    </w:p>
    <w:p>
      <w:pPr>
        <w:jc w:val="both"/>
        <w:ind w:right="4619"/>
        <w:spacing w:after="0" w:line="277" w:lineRule="auto"/>
        <w:rPr>
          <w:sz w:val="20"/>
          <w:szCs w:val="20"/>
          <w:color w:val="auto"/>
        </w:rPr>
      </w:pPr>
      <w:r>
        <w:rPr>
          <w:rFonts w:ascii="Arial" w:cs="Arial" w:eastAsia="Arial" w:hAnsi="Arial"/>
          <w:sz w:val="18"/>
          <w:szCs w:val="18"/>
          <w:color w:val="auto"/>
        </w:rPr>
        <w:t>A summary of stock option activity for the year ended December 31, 2017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Number of Stock</w:t>
            </w:r>
          </w:p>
        </w:tc>
        <w:tc>
          <w:tcPr>
            <w:tcW w:w="122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w w:val="94"/>
              </w:rPr>
              <w:t>Weighted-Average</w:t>
            </w:r>
          </w:p>
        </w:tc>
      </w:tr>
      <w:tr>
        <w:trPr>
          <w:trHeight w:val="174"/>
        </w:trPr>
        <w:tc>
          <w:tcPr>
            <w:tcW w:w="286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Options</w:t>
            </w:r>
          </w:p>
        </w:tc>
        <w:tc>
          <w:tcPr>
            <w:tcW w:w="180" w:type="dxa"/>
            <w:vAlign w:val="bottom"/>
          </w:tcPr>
          <w:p>
            <w:pPr>
              <w:spacing w:after="0"/>
              <w:rPr>
                <w:sz w:val="15"/>
                <w:szCs w:val="15"/>
                <w:color w:val="auto"/>
              </w:rPr>
            </w:pPr>
          </w:p>
        </w:tc>
        <w:tc>
          <w:tcPr>
            <w:tcW w:w="1040" w:type="dxa"/>
            <w:vAlign w:val="bottom"/>
          </w:tcPr>
          <w:p>
            <w:pPr>
              <w:jc w:val="right"/>
              <w:ind w:right="132"/>
              <w:spacing w:after="0"/>
              <w:rPr>
                <w:sz w:val="20"/>
                <w:szCs w:val="20"/>
                <w:color w:val="auto"/>
              </w:rPr>
            </w:pPr>
            <w:r>
              <w:rPr>
                <w:rFonts w:ascii="Arial" w:cs="Arial" w:eastAsia="Arial" w:hAnsi="Arial"/>
                <w:sz w:val="13"/>
                <w:szCs w:val="13"/>
                <w:b w:val="1"/>
                <w:bCs w:val="1"/>
                <w:color w:val="auto"/>
                <w:w w:val="89"/>
              </w:rPr>
              <w:t>Exercise Price</w:t>
            </w:r>
          </w:p>
        </w:tc>
      </w:tr>
      <w:tr>
        <w:trPr>
          <w:trHeight w:val="122"/>
        </w:trPr>
        <w:tc>
          <w:tcPr>
            <w:tcW w:w="286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Outstanding at December 31, 2014</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3,316,782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(682,054)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7"/>
        </w:trPr>
        <w:tc>
          <w:tcPr>
            <w:tcW w:w="2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color w:val="auto"/>
                <w:w w:val="99"/>
              </w:rPr>
              <w:t>Outstanding at December 31, 2015</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2,626,487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27.74</w:t>
            </w:r>
          </w:p>
        </w:tc>
      </w:tr>
      <w:tr>
        <w:trPr>
          <w:trHeight w:val="27"/>
        </w:trPr>
        <w:tc>
          <w:tcPr>
            <w:tcW w:w="2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7"/>
        </w:trPr>
        <w:tc>
          <w:tcPr>
            <w:tcW w:w="2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Outstanding at December 31, 2016</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1,406,371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268,817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66.68</w:t>
            </w:r>
          </w:p>
        </w:tc>
      </w:tr>
      <w:tr>
        <w:trPr>
          <w:trHeight w:val="27"/>
        </w:trPr>
        <w:tc>
          <w:tcPr>
            <w:tcW w:w="2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7"/>
        </w:trPr>
        <w:tc>
          <w:tcPr>
            <w:tcW w:w="2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Outstanding at December 31, 2017</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571,380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r>
      <w:tr>
        <w:trPr>
          <w:trHeight w:val="20"/>
        </w:trPr>
        <w:tc>
          <w:tcPr>
            <w:tcW w:w="2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2860" w:type="dxa"/>
            <w:vAlign w:val="bottom"/>
          </w:tcPr>
          <w:p>
            <w:pPr>
              <w:ind w:left="40"/>
              <w:spacing w:after="0"/>
              <w:rPr>
                <w:sz w:val="20"/>
                <w:szCs w:val="20"/>
                <w:color w:val="auto"/>
              </w:rPr>
            </w:pPr>
            <w:r>
              <w:rPr>
                <w:rFonts w:ascii="Arial" w:cs="Arial" w:eastAsia="Arial" w:hAnsi="Arial"/>
                <w:sz w:val="18"/>
                <w:szCs w:val="18"/>
                <w:color w:val="auto"/>
              </w:rPr>
              <w:t>Exercisable at December 31, 2017</w:t>
            </w: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302,563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r>
      <w:tr>
        <w:trPr>
          <w:trHeight w:val="20"/>
        </w:trPr>
        <w:tc>
          <w:tcPr>
            <w:tcW w:w="2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619"/>
        <w:spacing w:after="0" w:line="255" w:lineRule="auto"/>
        <w:rPr>
          <w:sz w:val="20"/>
          <w:szCs w:val="20"/>
          <w:color w:val="auto"/>
        </w:rPr>
      </w:pPr>
      <w:r>
        <w:rPr>
          <w:rFonts w:ascii="Arial" w:cs="Arial" w:eastAsia="Arial" w:hAnsi="Arial"/>
          <w:sz w:val="18"/>
          <w:szCs w:val="18"/>
          <w:color w:val="auto"/>
        </w:rPr>
        <w:t>We received net cash proceeds of $24 million from the exercise of 1,102,830 stock options for the year ended December 31, 2017, received net cash proceeds of $41 million from the exercise of 1,219,820 stock options for the year ended December 31, 2016 and received net cash proceeds of $18 million from the exercise of 682,054 stock options for the year ended December 31, 2015.</w:t>
      </w:r>
    </w:p>
    <w:p>
      <w:pPr>
        <w:spacing w:after="0" w:line="220"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0219"/>
          </w:cols>
          <w:pgMar w:left="240" w:top="445" w:right="1440"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w w:val="88"/>
              </w:rPr>
              <w:t>Outstanding</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Exercisable</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4"/>
        </w:trPr>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Weighted-Average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3"/>
              </w:rPr>
              <w:t>Aggregate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Weighted-Average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Weighted-</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Intrinsic</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Weighted-</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Contractual Term (in</w:t>
            </w:r>
          </w:p>
        </w:tc>
        <w:tc>
          <w:tcPr>
            <w:tcW w:w="1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Value (in</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Contractual Term (in</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1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9"/>
              </w:rPr>
              <w:t>Aggregate Intrinsic</w:t>
            </w:r>
          </w:p>
        </w:tc>
      </w:tr>
      <w:tr>
        <w:trPr>
          <w:trHeight w:val="174"/>
        </w:trPr>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w w:val="93"/>
              </w:rPr>
              <w:t>Range of Exercise Prices</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Stock Options</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years)</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Exercise Price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5"/>
              </w:rPr>
              <w:t>millions)</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Number Exercisable</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years)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5"/>
              </w:rPr>
              <w:t>Exercise Price</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Value (in millions)</w:t>
            </w: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$17.36</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 $19.99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94,265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94,265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w w:val="98"/>
              </w:rPr>
              <w:t>$20.00</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 $25.75</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206,980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206,980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2"/>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$25.76</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 $66.68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270,135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0" w:type="dxa"/>
            <w:vAlign w:val="bottom"/>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571,380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43.84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302,563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42"/>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0"/>
        </w:trPr>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intrinsic value in the above table represents the total pre-tax intrinsic value (i.e., the difference between our closing stock price on December 29, 2017 of $76.83 and the exercise price, times the number of shares) based on stock options with an exercise price less than Nasdaq’s closing price of $76.83 as of December 29, 2017, which would have been received by the option holders had the option holders exercised their stock options on that date. This amount can change based on the fair market value of our common stock. The total number of in-the-money stock options exercisable as of December 31, 2017 was 0.3 million and the weighted-average exercise price was $23.55. As of December 31, 2016, 1.4 million outstanding stock options were exercisable and the weighted-average exercise price was $22.32.</w:t>
      </w:r>
    </w:p>
    <w:p>
      <w:pPr>
        <w:spacing w:after="0" w:line="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pre-tax intrinsic value of stock options exercised was $54 million during 2017, $40 million during 2016 and $17 million during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an ESPP under which approximately 2.1 million shares of our common stock have been reserved for future issuance as of December 31, 2017. Under our ESPP, employees may purchase shares having a value not exceeding 10.0% of their annual compensation, subject to applicable annual Internal Revenue Service limitations. We record compensation expense related to the 15.0% discount that is given to our employees. The following table summarizes employee activity and expense associated with the ESPP for the years ended December 31, 2017, 2016 and 2015.</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30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70"/>
        </w:trPr>
        <w:tc>
          <w:tcPr>
            <w:tcW w:w="24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Number of shares purchased by</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247,444</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Weighted-average price of</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shares purchased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50.39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(in</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Nasdaq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300,000,000 shares of our common stock were authorized, 172,373,432 shares were issued and 167,441,030 shares were outstanding. The holders of common stock are entitled to one vote per share, except that our certificate of incorporation limits the ability of any person to vote in excess of 5.0% of the then-outstanding shares of Nasdaq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in Treasury, at Cost</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account for the purchase of treasury stock under the cost method with the shares of stock repurchased reflected as a reduction to Nasdaq stockholders’ equity and included in common stock in treasury, at cost in the Consolidated Balance Sheets. Shares repurchased under our share repurchase program are currently retired and canceled. When treasury shares are reissued, they are recorded at the average cost of the treasury shares acquired. We held 4,932,402 shares of common stock in treasury as of December 31, 2017 and 3,921,718 shares as of December 31, 2016, most of which are related to shares of our common stock repurchased for the settlement of employee tax withholding obligations arising from the vesting of restricted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2014, our board of directors authorized the repurchase of up to $500 million of our outstanding common stock and in the first quarter of 2016, our board of directors authorized the repurchase of an additional $370 million of our outstanding common stock under our share repurchase program.</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purchases may be made from time to time at prevailing market prices in open market purchases, privately-negotiated transactions, block purchase techniques or otherwise, as determined by our management. The purchases are primarily funded from existing cash balances. The share repurchase program may be suspended, modified or discontinued at any time.</w:t>
      </w:r>
    </w:p>
    <w:p>
      <w:pPr>
        <w:spacing w:after="0" w:line="37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445" w:right="239" w:bottom="1440" w:gutter="0" w:footer="0" w:header="0"/>
          <w:type w:val="continuous"/>
        </w:sectPr>
      </w:pPr>
    </w:p>
    <w:bookmarkStart w:id="113" w:name="page114"/>
    <w:bookmarkEnd w:id="1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share repurchase activity: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w w:val="98"/>
              </w:rPr>
              <w:t>Year Ended December 31,</w:t>
            </w:r>
          </w:p>
        </w:tc>
      </w:tr>
      <w:tr>
        <w:trPr>
          <w:trHeight w:val="264"/>
        </w:trPr>
        <w:tc>
          <w:tcPr>
            <w:tcW w:w="22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2016</w:t>
            </w:r>
          </w:p>
        </w:tc>
      </w:tr>
      <w:tr>
        <w:trPr>
          <w:trHeight w:val="215"/>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shares of</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repurchased</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2,843,519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1,547,778</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w w:val="96"/>
              </w:rPr>
              <w:t>Average price paid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64.42</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purchase price (in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discussed above in “Common Stock in Treasury, at Cost,” shares repurchased under our share repurchase program are currently retired and cancelled. As of December 31, 2017, the remaining amount authorized for share repurchases under the program was $226 million. In January 2018, the board of directors authorized an additional $500 million for the share repurchase program bringing the total capacity to $726 million.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“Definitive Agreement to Sell our Public Relations Solutions and Digital Media Services Businesses,” of Note 21, “Subsequent Events,” for further discussion.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Repurchases of Common Stock</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2017, we repurchased 1,008,882 shares of our common stock in settlement of employee tax withholding obligations arising from the vesting of restricted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certificate of incorporation authorizes the issuance of 30,000,000 shares of preferred stock, par value $0.01 per share, issuable from time to time in one or more series. As of December 31, 2017 and December 31, 2016, no shares of preferred stock were issued or outstanding.</w:t>
      </w:r>
    </w:p>
    <w:p>
      <w:pPr>
        <w:spacing w:after="0" w:line="969"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 * * *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on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During 2017, our board of directors declared the following cash dividends: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Dividend Per</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74"/>
        </w:trPr>
        <w:tc>
          <w:tcPr>
            <w:tcW w:w="4240" w:type="dxa"/>
            <w:vAlign w:val="bottom"/>
            <w:gridSpan w:val="2"/>
          </w:tcPr>
          <w:p>
            <w:pPr>
              <w:ind w:left="1620"/>
              <w:spacing w:after="0"/>
              <w:rPr>
                <w:sz w:val="20"/>
                <w:szCs w:val="20"/>
                <w:color w:val="auto"/>
              </w:rPr>
            </w:pPr>
            <w:r>
              <w:rPr>
                <w:rFonts w:ascii="Arial" w:cs="Arial" w:eastAsia="Arial" w:hAnsi="Arial"/>
                <w:sz w:val="13"/>
                <w:szCs w:val="13"/>
                <w:b w:val="1"/>
                <w:bCs w:val="1"/>
                <w:color w:val="auto"/>
              </w:rPr>
              <w:t>Declaration Date</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w:t>
            </w:r>
          </w:p>
        </w:tc>
        <w:tc>
          <w:tcPr>
            <w:tcW w:w="2400" w:type="dxa"/>
            <w:vAlign w:val="bottom"/>
            <w:gridSpan w:val="2"/>
          </w:tcPr>
          <w:p>
            <w:pPr>
              <w:ind w:left="800"/>
              <w:spacing w:after="0"/>
              <w:rPr>
                <w:sz w:val="20"/>
                <w:szCs w:val="20"/>
                <w:color w:val="auto"/>
              </w:rPr>
            </w:pPr>
            <w:r>
              <w:rPr>
                <w:rFonts w:ascii="Arial" w:cs="Arial" w:eastAsia="Arial" w:hAnsi="Arial"/>
                <w:sz w:val="13"/>
                <w:szCs w:val="13"/>
                <w:b w:val="1"/>
                <w:bCs w:val="1"/>
                <w:color w:val="auto"/>
              </w:rPr>
              <w:t>Record Date</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Total Amount Paid</w:t>
            </w:r>
          </w:p>
        </w:tc>
        <w:tc>
          <w:tcPr>
            <w:tcW w:w="120" w:type="dxa"/>
            <w:vAlign w:val="bottom"/>
          </w:tcPr>
          <w:p>
            <w:pPr>
              <w:spacing w:after="0"/>
              <w:rPr>
                <w:sz w:val="15"/>
                <w:szCs w:val="15"/>
                <w:color w:val="auto"/>
              </w:rPr>
            </w:pPr>
          </w:p>
        </w:tc>
        <w:tc>
          <w:tcPr>
            <w:tcW w:w="2280" w:type="dxa"/>
            <w:vAlign w:val="bottom"/>
          </w:tcPr>
          <w:p>
            <w:pPr>
              <w:ind w:left="760"/>
              <w:spacing w:after="0"/>
              <w:rPr>
                <w:sz w:val="20"/>
                <w:szCs w:val="20"/>
                <w:color w:val="auto"/>
              </w:rPr>
            </w:pPr>
            <w:r>
              <w:rPr>
                <w:rFonts w:ascii="Arial" w:cs="Arial" w:eastAsia="Arial" w:hAnsi="Arial"/>
                <w:sz w:val="13"/>
                <w:szCs w:val="13"/>
                <w:b w:val="1"/>
                <w:bCs w:val="1"/>
                <w:color w:val="auto"/>
              </w:rPr>
              <w:t>Payment Date</w:t>
            </w:r>
          </w:p>
        </w:tc>
      </w:tr>
      <w:tr>
        <w:trPr>
          <w:trHeight w:val="289"/>
        </w:trPr>
        <w:tc>
          <w:tcPr>
            <w:tcW w:w="4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93"/>
              </w:rPr>
              <w:t>(in millions)</w:t>
            </w:r>
          </w:p>
        </w:tc>
        <w:tc>
          <w:tcPr>
            <w:tcW w:w="1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r>
      <w:tr>
        <w:trPr>
          <w:trHeight w:val="258"/>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17,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2017</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April 25, 2017</w:t>
            </w:r>
          </w:p>
        </w:tc>
        <w:tc>
          <w:tcPr>
            <w:tcW w:w="1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June 16, 2017</w:t>
            </w: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June 30, 2017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25, 2017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15, 2017</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29, 2017</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October 24, 2017</w:t>
            </w:r>
          </w:p>
        </w:tc>
        <w:tc>
          <w:tcPr>
            <w:tcW w:w="1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December 15, 2017</w:t>
            </w: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December 29, 2017</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paid of $243 million was recorded in retained earnings in the Consolidated Balance Sheets as of December 31, 2017.</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2017, the board of directors declared a regular quarterly cash dividend of $0.38 per share on our outstanding common stock which reflected a 19.0% increase from our prior quarterly cash dividend of $0.32. In addition, in April 2017, our board of directors adopted a dividend policy with the intention to provide shareholders with regular and growing dividends over the long term as earnings and cash flow grow.</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2018, the board of directors declared a regular quarterly cash dividend of $0.38 per share on our outstanding common stock. The dividend is payable on March 30, 2018 to shareholders of record at the close of business on March 16, 2018. The estimated amount of this dividend is $64 million. Future declarations of quarterly dividends and the establishment of future record and payment dates are subject to approval by the board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45" w:right="239" w:bottom="1440" w:gutter="0" w:footer="0" w:header="0"/>
          <w:type w:val="continuous"/>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components of accumulated other comprehensive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Foreign Currency</w:t>
            </w:r>
          </w:p>
        </w:tc>
        <w:tc>
          <w:tcPr>
            <w:tcW w:w="180" w:type="dxa"/>
            <w:vAlign w:val="bottom"/>
          </w:tcPr>
          <w:p>
            <w:pPr>
              <w:spacing w:after="0"/>
              <w:rPr>
                <w:sz w:val="13"/>
                <w:szCs w:val="13"/>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Employee Benefit Plan</w:t>
            </w:r>
          </w:p>
        </w:tc>
        <w:tc>
          <w:tcPr>
            <w:tcW w:w="200" w:type="dxa"/>
            <w:vAlign w:val="bottom"/>
          </w:tcPr>
          <w:p>
            <w:pPr>
              <w:spacing w:after="0"/>
              <w:rPr>
                <w:sz w:val="13"/>
                <w:szCs w:val="13"/>
                <w:color w:val="auto"/>
              </w:rPr>
            </w:pPr>
          </w:p>
        </w:tc>
        <w:tc>
          <w:tcPr>
            <w:tcW w:w="1500" w:type="dxa"/>
            <w:vAlign w:val="bottom"/>
          </w:tcPr>
          <w:p>
            <w:pPr>
              <w:jc w:val="right"/>
              <w:ind w:right="237"/>
              <w:spacing w:after="0"/>
              <w:rPr>
                <w:sz w:val="20"/>
                <w:szCs w:val="20"/>
                <w:color w:val="auto"/>
              </w:rPr>
            </w:pPr>
            <w:r>
              <w:rPr>
                <w:rFonts w:ascii="Arial" w:cs="Arial" w:eastAsia="Arial" w:hAnsi="Arial"/>
                <w:sz w:val="13"/>
                <w:szCs w:val="13"/>
                <w:b w:val="1"/>
                <w:bCs w:val="1"/>
                <w:color w:val="auto"/>
                <w:w w:val="96"/>
              </w:rPr>
              <w:t>Accumulated Other</w:t>
            </w:r>
          </w:p>
        </w:tc>
      </w:tr>
      <w:tr>
        <w:trPr>
          <w:trHeight w:val="174"/>
        </w:trPr>
        <w:tc>
          <w:tcPr>
            <w:tcW w:w="6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Translation Adjustments</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6"/>
              </w:rPr>
              <w:t>Adjustments</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9"/>
              </w:rPr>
              <w:t>Comprehensive Loss</w:t>
            </w:r>
          </w:p>
        </w:tc>
      </w:tr>
      <w:tr>
        <w:trPr>
          <w:trHeight w:val="276"/>
        </w:trPr>
        <w:tc>
          <w:tcPr>
            <w:tcW w:w="6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 millions)</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8"/>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balance,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537</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84"/>
        </w:trPr>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balance,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443</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translation adjustments include cumulative gains (losses) on foreign currency translation adjustments from non-U.S. subsidiaries for which the functional currency is other than the U.S. dollar.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 adjustments represent unrecognized net actuarial gains (losses) related to the Nasdaq Benefit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77"/>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2016</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2015</w:t>
            </w:r>
          </w:p>
        </w:tc>
      </w:tr>
      <w:tr>
        <w:trPr>
          <w:trHeight w:val="268"/>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0" w:type="dxa"/>
            <w:vAlign w:val="bottom"/>
            <w:gridSpan w:val="7"/>
          </w:tcPr>
          <w:p>
            <w:pPr>
              <w:jc w:val="right"/>
              <w:ind w:right="793"/>
              <w:spacing w:after="0"/>
              <w:rPr>
                <w:sz w:val="20"/>
                <w:szCs w:val="20"/>
                <w:color w:val="auto"/>
              </w:rPr>
            </w:pPr>
            <w:r>
              <w:rPr>
                <w:rFonts w:ascii="Arial" w:cs="Arial" w:eastAsia="Arial" w:hAnsi="Arial"/>
                <w:sz w:val="13"/>
                <w:szCs w:val="13"/>
                <w:b w:val="1"/>
                <w:bCs w:val="1"/>
                <w:color w:val="auto"/>
              </w:rPr>
              <w:t>(in millions, except share and per share amounts)</w:t>
            </w:r>
          </w:p>
        </w:tc>
      </w:tr>
      <w:tr>
        <w:trPr>
          <w:trHeight w:val="259"/>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for basic earnings per share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166,364,299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165,182,290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167,285,450</w:t>
            </w: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color w:val="auto"/>
              </w:rPr>
              <w:t>Weighted-average effect of dilutive securities:</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equity awards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2,861,892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3,258,136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3,638,981</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Contingent issuance of common stock</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358,840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360,571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358,840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for diluted earnings per share</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169,585,031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168,800,997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171,283,271</w:t>
            </w: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Basic and diluted earnings per share:</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0.65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0.64</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 options to purchase 571,380 shares of common stock and 3,331,462 shares of restricted stock and PSUs were outstanding as of December 31, 2017. For the year ended December 31, 2017, we included 302,563 of the outstanding stock options and 2,978,856 shares of restricted stock and PSUs in the computation of diluted earnings per share, on a weighted-average basis, as their inclusion was dilutive. The remaining stock options, shares of restricted stock and PSUs are antidilutive, and as such, they were properly excluded.</w:t>
      </w:r>
    </w:p>
    <w:p>
      <w:pPr>
        <w:spacing w:after="0" w:line="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Stock options to purchase 1,406,371 shares of common stock and 4,254,012 shares of restricted stock and PSUs were outstanding as of December 31, 2016. For the year ended December 31, 2016, we included all of the outstanding stock options and 3,663,919 shares of restricted stock and PSUs in the computation of diluted earnings per share, on a weighted-</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average basis, as their inclusion was dilutive. The remaining shares of restricted stock and PSUs are antidilutive, and as such, they were properly excluded.</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Stock options to purchase 2,626,487 shares of common stock and 5,207,423 shares of restricted stock and PSUs were outstanding as of December 31, 2015. For the year ended December 31, 2015, we included all of the outstanding stock options and 4,842,383 shares of restricted stock and PSUs in the computation of diluted earnings per share, on a weighted-average basis, as their inclusion was dilutive. The remaining shares of restricted stock and PSUs are antidilutive, and as such, they were properly excluded.</w:t>
      </w:r>
    </w:p>
    <w:p>
      <w:pPr>
        <w:spacing w:after="0" w:line="734"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445" w:right="239" w:bottom="1440" w:gutter="0" w:footer="0" w:header="0"/>
          <w:type w:val="continuous"/>
        </w:sectPr>
      </w:pPr>
    </w:p>
    <w:bookmarkStart w:id="115" w:name="page116"/>
    <w:bookmarkEnd w:id="1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our financial assets that are measured at fair value on a recurring basis as of December 31, 2017 and December 31, 2016. We did not have any financial liabilities measured at fair value on a recurring basis as of December 31, 2017 and December 31,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ind w:left="300"/>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27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Level 2</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r>
      <w:tr>
        <w:trPr>
          <w:trHeight w:val="276"/>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87"/>
              </w:rPr>
              <w:t>(in millions)</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Financial investments,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fair value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Default fund and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180"/>
              <w:spacing w:after="0"/>
              <w:rPr>
                <w:sz w:val="20"/>
                <w:szCs w:val="20"/>
                <w:color w:val="auto"/>
              </w:rPr>
            </w:pPr>
            <w:r>
              <w:rPr>
                <w:rFonts w:ascii="Arial" w:cs="Arial" w:eastAsia="Arial" w:hAnsi="Arial"/>
                <w:sz w:val="18"/>
                <w:szCs w:val="18"/>
                <w:color w:val="auto"/>
              </w:rPr>
              <w:t>margin deposit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220"/>
              <w:spacing w:after="0"/>
              <w:rPr>
                <w:sz w:val="20"/>
                <w:szCs w:val="20"/>
                <w:color w:val="auto"/>
              </w:rPr>
            </w:pPr>
            <w:r>
              <w:rPr>
                <w:rFonts w:ascii="Arial" w:cs="Arial" w:eastAsia="Arial" w:hAnsi="Arial"/>
                <w:sz w:val="13"/>
                <w:szCs w:val="13"/>
                <w:b w:val="1"/>
                <w:bCs w:val="1"/>
                <w:color w:val="auto"/>
              </w:rPr>
              <w:t>December 31, 2016</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6"/>
              </w:rPr>
              <w:t>Level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3</w:t>
            </w:r>
          </w:p>
        </w:tc>
      </w:tr>
      <w:tr>
        <w:trPr>
          <w:trHeight w:val="276"/>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700" w:type="dxa"/>
            <w:vAlign w:val="bottom"/>
            <w:tcBorders>
              <w:top w:val="single" w:sz="8" w:color="auto"/>
            </w:tcBorders>
            <w:gridSpan w:val="6"/>
          </w:tcPr>
          <w:p>
            <w:pPr>
              <w:ind w:left="40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Financial investments,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fair value</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Default fund and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180"/>
              <w:spacing w:after="0"/>
              <w:rPr>
                <w:sz w:val="20"/>
                <w:szCs w:val="20"/>
                <w:color w:val="auto"/>
              </w:rPr>
            </w:pPr>
            <w:r>
              <w:rPr>
                <w:rFonts w:ascii="Arial" w:cs="Arial" w:eastAsia="Arial" w:hAnsi="Arial"/>
                <w:sz w:val="18"/>
                <w:szCs w:val="18"/>
                <w:color w:val="auto"/>
              </w:rPr>
              <w:t>margin deposit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99"/>
              </w:rPr>
              <w:t>614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765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Level 1 financial investments, at fair value were comprised of trading securities, mainly highly rated European government debt securities. Level 2 financial investments, at fair value were primarily comprised of trading securities, mainly European mortgage and corporate bonds, as of December 31, 2017 and were primarily comprised of available-for-sale investment securities in short-term commercial paper and trading securities, mainly European mortgage and corporate bonds, as of December 31, 2016. Of the Level 1 and Level 2 financial investments, at fair value, $160 million as of December 31, 2017 and $172 million as of December 31, 2016 are assets utilized to meet regulatory capital requirements, primarily for our clearing operations at Nasdaq Clearing.</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default fund and margin deposit investments include cash contributions invested by Nasdaq Clearing, in accordance with its investment policy. Of the total balance of $3,988 million recorded in the Consolidated Balance Sheets as of December 31, 2017, $1,909 million of cash contributions have been invested in highly rated European and U.S. government debt securities or central bank certificates and $220 million in reverse repurchase agreements. The remainder of this balance is held in cash. Of the total balance of $3,301 million recorded in the Consolidated Balance Sheets as of December 31, 2016, $1,763 million of cash contributions have been invested in highly rated European and U.S. government debt securities and central bank certificates and $137 million of cash contributions have been invested in reverse repurchase agreements. The remainder of this balance is held in cash. See Note 17, “Clearing</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for further discussion of default fund contributions and margin deposits.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as of December 31, 2017 and December 31, 2016.</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Measured at Fair Value on a Recurring Basis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accounts payable and accrued expenses, Section 31 fees payable to SEC, accrued personnel costs, commercial paper and certain other current liabilities.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investments in OCC and EuroCCP N.V. are accounted for under the equity method of accounting and our investments in Borsa Istanbul and LCH.Clearnet Group Limited are carried at cost. See “Equity Method Investments,” and “Cost Method Investments,” of Note 7, “Investments,” for further discussion.</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also consider our debt obligations to be financial instruments. The fair value of our debt obligations, utilizing discounted cash flow analyses for our floating rate debt and prevailing market rates for our fixed rate debt, was $4.4 billion as of December 31, 2017 and $3.8 billion as of December 31, 2016. The discounted cash flow analyses are based on borrowing rates currently available to us for debt with similar terms and maturities. The fair value of our commercial paper approximates the carrying value since the rates of interest on this short-term debt approximate market rates as of December 31, 2017. Our commercial paper and our fixed rate and floating rate debt are categorized as Level 2 in the fair value hierarchy.</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discussion of our debt obligations, see Note 10, “Debt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Non-Financial Assets Measured at Fair Value on a Non-Recurring Basis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non-financial assets, which include goodwill, intangible assets, and other long-lived assets, are not required to be carried at fair value on a recurring basis. Fair value measures of non-financial assets are primarily used in the impairment analysis of these assets. Any resulting asset impairment would require that the non-financial asset be recorded at its fair value. Nasdaq uses Level 3 inputs to measure the fair value of the above assets on a non-recurring basis. As of December 31, 2017 and December 31, 2016, there were no non-financial assets measured at fair value on a non-recurring basis.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Clearing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Clearing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Clearing is authorized and supervised under EMIR as a multi-asset clearinghouse by the SFSA and is authorized to</w:t>
      </w:r>
    </w:p>
    <w:p>
      <w:pPr>
        <w:spacing w:after="0" w:line="1573"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445" w:right="23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conduct clearing operations in Norway by the Norwegian Ministry of Finance. The clearinghouse acts as the CCP for exchange and OTC trades in equity derivatives, fixed income derivatives, resale and repurchase contracts, power derivatives, emission allowance derivatives, freight and fuel oil derivatives, iron ore derivatives and seafood derivatives.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 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clearing members’ open positions are aggregated to create a single portfolio for which default fund and margin collateral requirements are calculated. See “Default Fund Contributions and Margin Deposits” below for further discussion of Nasdaq Clearing’s default fund and margin requirements.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Nasdaq Clearing maintains four member sponsored default funds: one related to financial markets, one related to commodities markets, one related to the seafood market, and a mutualized fund.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Simultaneously, a mutualized default fund provides capital efficiencies to Nasdaq Clearing’s members with regard to total regulatory capital required. See “Default Fund Contributions” below for further discussion of Nasdaq Clearing’s default fund. Power of assessment and a liability waterfall also have been implemented. See “Power of Assessment” and “Liability Waterfall” below for further discussion. These requirements ensure the alignment of risk between Nasdaq Clearing and its clearing members.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Fund Contributions and Margin Deposits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clearing member default fund contributions and margin deposits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December 31, 2017</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4"/>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Non-Cash</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4"/>
        </w:trPr>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Cash Contributions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Contributions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Total Contributions</w:t>
            </w:r>
          </w:p>
        </w:tc>
      </w:tr>
      <w:tr>
        <w:trPr>
          <w:trHeight w:val="276"/>
        </w:trPr>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3"/>
              </w:rPr>
              <w:t>(in millions)</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7"/>
        </w:trPr>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Default fund</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7"/>
        </w:trPr>
        <w:tc>
          <w:tcPr>
            <w:tcW w:w="1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contributions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Margin deposits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7,675</w:t>
            </w:r>
          </w:p>
        </w:tc>
      </w:tr>
      <w:tr>
        <w:trPr>
          <w:trHeight w:val="27"/>
        </w:trPr>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r>
      <w:tr>
        <w:trPr>
          <w:trHeight w:val="20"/>
        </w:trPr>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its investment policy, of the total cash contributions of $3,988 million, Nasdaq Clearing has invested $1,909 million in highly rated European and U.S. government debt securities or central bank certificates and $220 million in reverse repurchase agreements. The remainder of this balance is held in cash. Of the total default fund contributions of $490 million, Nasdaq Clearing can utilize $454 million as capital resources in the event of a counterparty default. The remaining balance of $36 million pertains to member posted surplus balances.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 Fund Contributions</w:t>
      </w:r>
    </w:p>
    <w:p>
      <w:pPr>
        <w:spacing w:after="0" w:line="1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Contributions made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held in cash or invested by Nasdaq Clearing, in accordance with its investment policy, either in highly rated government debt securities, time deposits, central bank certificates or reverse repurchase agreements with highly rated government debt securities as collateral. Nasdaq Clearing maintains and manages all cash deposits related to margin collateral. All risks and rewards of collateral ownership, including interest, belong to Nasdaq Clearing.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In addition to clearing members’ required contributions to the liability waterfall, Nasdaq Clearing is also required to contribute capital to the liability waterfall and overall regulatory capital as specified under its clearinghouse rules. As of December 31, 2017, Nasdaq Clearing committed capital totaling $114 million to the liability waterfall and overall regulatory capital, in the form of government debt securities, which are recorded as financial investments, at fair value in the Consolidated Balance Sheets. The combined regulatory capital of the clearing members and Nasdaq Clearing will serve to secure the obligations of a clearing member and may be used to cover losses sustained by a clearing member in the event of a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Margin Deposits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Nasdaq Clearing requires all clearing members to provide collateral, which may consist of cash and non-cash contributions, to guarantee performance on the clearing</w:t>
      </w:r>
    </w:p>
    <w:p>
      <w:pPr>
        <w:spacing w:after="0" w:line="652"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445" w:right="239" w:bottom="1440" w:gutter="0" w:footer="0" w:header="0"/>
          <w:type w:val="continuous"/>
        </w:sectPr>
      </w:pPr>
    </w:p>
    <w:bookmarkStart w:id="117" w:name="page118"/>
    <w:bookmarkEnd w:id="1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members’ open positions, or initial margin. In addition, clearing members must also provide collateral to cover the daily margin call if needed. See “Default Fund Contributions” above for further discussion of cash and non-cash contributions.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Similar to default fund contributions, Nasdaq Clearing maintains and manages all cash deposits related to margin collateral. All risks and rewards of collateral ownership, including interest, belong to Nasdaq Clearing. These cash deposits are recorded in default funds and margin deposits in the Consolidated Balance Sheets as both a current asset and current liability. Pledged margin collateral is not recorded in our Consolidated Balance Sheets as all risks and rewards of collateral ownership, including interest, belong to the counterparty. Assets pledged are held at a nominee account in Nasdaq Clearing’s name for the benefit of the clearing members and are immediately accessible by Nasdaq Clearing in the event of a default.</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deposits to cover the defaulting member’s losses.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and Risk Management Calculations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Nasdaq Clearing manages risk through a comprehensive counterparty risk management framework, which is comprised of policies, procedures, standards and financial resources. The level of regulatory capital is determined in accordance with Nasdaq Clearing’s regulatory capital policy, as approved by the SFSA. Regulatory capital calculations are continuously updated through a proprietary capital-at-risk calculation model that establishes the appropriate level of capital.</w:t>
      </w:r>
    </w:p>
    <w:p>
      <w:pPr>
        <w:spacing w:after="0" w:line="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mentioned above, Nasdaq Clearing is the legal counterparty for each contract traded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the estimated liability was nominal and no liability was recorded as of December 31, 2017.</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market value of derivative contracts outstanding prior to netting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w w:val="93"/>
              </w:rPr>
              <w:t>December 31, 2017</w:t>
            </w:r>
          </w:p>
        </w:tc>
        <w:tc>
          <w:tcPr>
            <w:tcW w:w="0" w:type="dxa"/>
            <w:vAlign w:val="bottom"/>
          </w:tcPr>
          <w:p>
            <w:pPr>
              <w:spacing w:after="0"/>
              <w:rPr>
                <w:sz w:val="1"/>
                <w:szCs w:val="1"/>
                <w:color w:val="auto"/>
              </w:rPr>
            </w:pPr>
          </w:p>
        </w:tc>
      </w:tr>
      <w:tr>
        <w:trPr>
          <w:trHeight w:val="276"/>
        </w:trPr>
        <w:tc>
          <w:tcPr>
            <w:tcW w:w="3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438"/>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and seafood options, futures and</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0"/>
              <w:spacing w:after="0" w:line="258" w:lineRule="exact"/>
              <w:rPr>
                <w:sz w:val="20"/>
                <w:szCs w:val="20"/>
                <w:color w:val="auto"/>
              </w:rPr>
            </w:pPr>
            <w:r>
              <w:rPr>
                <w:rFonts w:ascii="Arial" w:cs="Arial" w:eastAsia="Arial" w:hAnsi="Arial"/>
                <w:sz w:val="29"/>
                <w:szCs w:val="29"/>
                <w:color w:val="auto"/>
                <w:vertAlign w:val="subscript"/>
              </w:rPr>
              <w:t>forwards</w:t>
            </w:r>
            <w:r>
              <w:rPr>
                <w:rFonts w:ascii="Arial" w:cs="Arial" w:eastAsia="Arial" w:hAnsi="Arial"/>
                <w:sz w:val="11"/>
                <w:szCs w:val="11"/>
                <w:color w:val="auto"/>
              </w:rPr>
              <w:t>(1)(2)(3)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line="270" w:lineRule="exact"/>
              <w:rPr>
                <w:sz w:val="20"/>
                <w:szCs w:val="20"/>
                <w:color w:val="auto"/>
              </w:rPr>
            </w:pPr>
            <w:r>
              <w:rPr>
                <w:rFonts w:ascii="Arial" w:cs="Arial" w:eastAsia="Arial" w:hAnsi="Arial"/>
                <w:sz w:val="18"/>
                <w:szCs w:val="18"/>
                <w:color w:val="auto"/>
              </w:rPr>
              <w:t>Fixed-income options and futures</w:t>
            </w:r>
            <w:r>
              <w:rPr>
                <w:rFonts w:ascii="Arial" w:cs="Arial" w:eastAsia="Arial" w:hAnsi="Arial"/>
                <w:sz w:val="25"/>
                <w:szCs w:val="25"/>
                <w:color w:val="auto"/>
                <w:vertAlign w:val="superscript"/>
              </w:rPr>
              <w:t>(1)(2)</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Stock options and futures</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Index options and futures</w:t>
            </w:r>
            <w:r>
              <w:rPr>
                <w:rFonts w:ascii="Arial" w:cs="Arial" w:eastAsia="Arial" w:hAnsi="Arial"/>
                <w:sz w:val="25"/>
                <w:szCs w:val="25"/>
                <w:color w:val="auto"/>
                <w:vertAlign w:val="superscript"/>
              </w:rPr>
              <w:t>(1)(2)</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29" w:lineRule="auto"/>
        <w:tabs>
          <w:tab w:leader="none" w:pos="34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We determined the fair value of our option contracts using standard valuation models that were based on market-based observable inputs including implied volatility, interest rates and the spot price of the underlying instrument.</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We determined the fair value of our futures contracts based upon quoted market prices and average quoted market yields.</w:t>
      </w:r>
    </w:p>
    <w:p>
      <w:pPr>
        <w:spacing w:after="0" w:line="1" w:lineRule="exact"/>
        <w:rPr>
          <w:rFonts w:ascii="Arial" w:cs="Arial" w:eastAsia="Arial" w:hAnsi="Arial"/>
          <w:sz w:val="25"/>
          <w:szCs w:val="25"/>
          <w:color w:val="auto"/>
          <w:vertAlign w:val="superscript"/>
        </w:rPr>
      </w:pPr>
    </w:p>
    <w:p>
      <w:pPr>
        <w:jc w:val="both"/>
        <w:ind w:left="340" w:hanging="332"/>
        <w:spacing w:after="0" w:line="233"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color w:val="auto"/>
        </w:rPr>
        <w:t>We determined the fair value of our forward contracts using standard valuation models that were based on market-based observable inputs including LIBOR rates and the spot price of the underlying instrument.</w:t>
      </w:r>
    </w:p>
    <w:p>
      <w:pPr>
        <w:spacing w:after="0" w:line="1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total number of derivative contracts cleared through Nasdaq Clearing for the years ended December 31, 2017 and 2016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15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2017</w:t>
            </w:r>
          </w:p>
        </w:tc>
        <w:tc>
          <w:tcPr>
            <w:tcW w:w="1440" w:type="dxa"/>
            <w:vAlign w:val="bottom"/>
          </w:tcPr>
          <w:p>
            <w:pPr>
              <w:jc w:val="right"/>
              <w:ind w:right="134"/>
              <w:spacing w:after="0"/>
              <w:rPr>
                <w:sz w:val="20"/>
                <w:szCs w:val="20"/>
                <w:color w:val="auto"/>
              </w:rPr>
            </w:pPr>
            <w:r>
              <w:rPr>
                <w:rFonts w:ascii="Arial" w:cs="Arial" w:eastAsia="Arial" w:hAnsi="Arial"/>
                <w:sz w:val="13"/>
                <w:szCs w:val="13"/>
                <w:b w:val="1"/>
                <w:bCs w:val="1"/>
                <w:color w:val="auto"/>
              </w:rPr>
              <w:t>December 31, 2016</w:t>
            </w:r>
          </w:p>
        </w:tc>
        <w:tc>
          <w:tcPr>
            <w:tcW w:w="0" w:type="dxa"/>
            <w:vAlign w:val="bottom"/>
          </w:tcPr>
          <w:p>
            <w:pPr>
              <w:spacing w:after="0"/>
              <w:rPr>
                <w:sz w:val="1"/>
                <w:szCs w:val="1"/>
                <w:color w:val="auto"/>
              </w:rPr>
            </w:pPr>
          </w:p>
        </w:tc>
      </w:tr>
      <w:tr>
        <w:trPr>
          <w:trHeight w:val="215"/>
        </w:trPr>
        <w:tc>
          <w:tcPr>
            <w:tcW w:w="2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Commodity and seafood options,</w:t>
            </w: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futures and forwards</w:t>
            </w:r>
            <w:r>
              <w:rPr>
                <w:rFonts w:ascii="Arial" w:cs="Arial" w:eastAsia="Arial" w:hAnsi="Arial"/>
                <w:sz w:val="25"/>
                <w:szCs w:val="25"/>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2,824,188</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3,530,746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w w:val="94"/>
              </w:rPr>
              <w:t>Fixed-income options and futures</w:t>
            </w:r>
          </w:p>
        </w:tc>
        <w:tc>
          <w:tcPr>
            <w:tcW w:w="1460" w:type="dxa"/>
            <w:vAlign w:val="bottom"/>
          </w:tcPr>
          <w:p>
            <w:pPr>
              <w:jc w:val="right"/>
              <w:spacing w:after="0"/>
              <w:rPr>
                <w:sz w:val="20"/>
                <w:szCs w:val="20"/>
                <w:color w:val="auto"/>
              </w:rPr>
            </w:pPr>
            <w:r>
              <w:rPr>
                <w:rFonts w:ascii="Arial" w:cs="Arial" w:eastAsia="Arial" w:hAnsi="Arial"/>
                <w:sz w:val="18"/>
                <w:szCs w:val="18"/>
                <w:color w:val="auto"/>
              </w:rPr>
              <w:t>20,376,383</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14,639,065</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futures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26,023,816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28,496,143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Index options and futures</w:t>
            </w:r>
          </w:p>
        </w:tc>
        <w:tc>
          <w:tcPr>
            <w:tcW w:w="1460" w:type="dxa"/>
            <w:vAlign w:val="bottom"/>
          </w:tcPr>
          <w:p>
            <w:pPr>
              <w:jc w:val="right"/>
              <w:spacing w:after="0"/>
              <w:rPr>
                <w:sz w:val="20"/>
                <w:szCs w:val="20"/>
                <w:color w:val="auto"/>
              </w:rPr>
            </w:pPr>
            <w:r>
              <w:rPr>
                <w:rFonts w:ascii="Arial" w:cs="Arial" w:eastAsia="Arial" w:hAnsi="Arial"/>
                <w:sz w:val="18"/>
                <w:szCs w:val="18"/>
                <w:color w:val="auto"/>
              </w:rPr>
              <w:t>44,928,284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50,636,527</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94,152,671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97,302,481</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58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both"/>
        <w:ind w:left="340" w:hanging="332"/>
        <w:spacing w:after="0" w:line="264"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8"/>
          <w:szCs w:val="18"/>
          <w:color w:val="auto"/>
        </w:rPr>
        <w:t>The total volume in cleared power related to commodity contracts was 1,199 Terawatt hours (TWh) for the year ended December 31, 2017 and 1,658 TWh for the year ended December 31, 2016.</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outstanding contract value of resale and repurchase agreements was $2.3 billion as of December 31, 2017 and $1.9 billion as of December 31, 2016. The total number of contracts cleared was 8,534,986 for the year ended December 31, 2017 and was 7,941,666 for the year ended December 31, 2016.</w:t>
      </w:r>
    </w:p>
    <w:p>
      <w:pPr>
        <w:spacing w:after="0" w:line="24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445" w:right="23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Assessment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100.0% of the clearing member’s aggregate contribution to the financial, commodities and seafood markets’ default funds.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Waterfall</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85" w:lineRule="exact"/>
        <w:rPr>
          <w:sz w:val="20"/>
          <w:szCs w:val="20"/>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junior capital contributed by Nasdaq Clearing, which totaled $18 million as of December 31, 2017;</w:t>
      </w:r>
    </w:p>
    <w:p>
      <w:pPr>
        <w:spacing w:after="0" w:line="62"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loss sharing pool related only to the financial market that is contributed to by clearing members and only applies if the defaulting member’s portfolio includes interest rate swap products;</w:t>
      </w:r>
    </w:p>
    <w:p>
      <w:pPr>
        <w:spacing w:after="0" w:line="57"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specific market default fund where the loss occurred (i.e., the financial, commodities, or seafood market), which includes capital contributions of the clearing members on a pro-rata basis;</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senior capital contributed to each specific market by Nasdaq Clearing, calculated in accordance with clearinghouse rules, which totaled $24 million as of December 31, 2017;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mutualized default fund, which includes capital contributions of the clearing members on a pro-rata basis.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additional funds are needed after utilization of the mutualized default fund, then Nasdaq Clearing will utilize its power of assessment and additional capital contributions will be required by non-defaulting members up to the limits established under the terms of the clearinghouse rules.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some of our office space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2017, future minimum lease payments under non-cancelable operating leases (net of sublease income)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Gross Lease</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0"/>
              </w:rPr>
              <w:t>Sublease</w:t>
            </w:r>
          </w:p>
        </w:tc>
        <w:tc>
          <w:tcPr>
            <w:tcW w:w="160" w:type="dxa"/>
            <w:vAlign w:val="bottom"/>
          </w:tcPr>
          <w:p>
            <w:pPr>
              <w:spacing w:after="0"/>
              <w:rPr>
                <w:sz w:val="13"/>
                <w:szCs w:val="13"/>
                <w:color w:val="auto"/>
              </w:rPr>
            </w:pPr>
          </w:p>
        </w:tc>
        <w:tc>
          <w:tcPr>
            <w:tcW w:w="1040" w:type="dxa"/>
            <w:vAlign w:val="bottom"/>
          </w:tcPr>
          <w:p>
            <w:pPr>
              <w:jc w:val="right"/>
              <w:ind w:right="256"/>
              <w:spacing w:after="0"/>
              <w:rPr>
                <w:sz w:val="20"/>
                <w:szCs w:val="20"/>
                <w:color w:val="auto"/>
              </w:rPr>
            </w:pPr>
            <w:r>
              <w:rPr>
                <w:rFonts w:ascii="Arial" w:cs="Arial" w:eastAsia="Arial" w:hAnsi="Arial"/>
                <w:sz w:val="13"/>
                <w:szCs w:val="13"/>
                <w:b w:val="1"/>
                <w:bCs w:val="1"/>
                <w:color w:val="auto"/>
              </w:rPr>
              <w:t>Net Lease</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Commitments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2"/>
              </w:rPr>
              <w:t>Commitments</w:t>
            </w:r>
          </w:p>
        </w:tc>
        <w:tc>
          <w:tcPr>
            <w:tcW w:w="0" w:type="dxa"/>
            <w:vAlign w:val="bottom"/>
          </w:tcPr>
          <w:p>
            <w:pPr>
              <w:spacing w:after="0"/>
              <w:rPr>
                <w:sz w:val="1"/>
                <w:szCs w:val="1"/>
                <w:color w:val="auto"/>
              </w:rPr>
            </w:pPr>
          </w:p>
        </w:tc>
      </w:tr>
      <w:tr>
        <w:trPr>
          <w:trHeight w:val="268"/>
        </w:trPr>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20" w:type="dxa"/>
            <w:vAlign w:val="bottom"/>
            <w:gridSpan w:val="2"/>
          </w:tcPr>
          <w:p>
            <w:pPr>
              <w:ind w:left="40"/>
              <w:spacing w:after="0"/>
              <w:rPr>
                <w:sz w:val="20"/>
                <w:szCs w:val="20"/>
                <w:color w:val="auto"/>
              </w:rPr>
            </w:pPr>
            <w:r>
              <w:rPr>
                <w:rFonts w:ascii="Arial" w:cs="Arial" w:eastAsia="Arial" w:hAnsi="Arial"/>
                <w:sz w:val="18"/>
                <w:szCs w:val="18"/>
                <w:color w:val="auto"/>
                <w:w w:val="91"/>
              </w:rPr>
              <w:t>Year ending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minimum</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payments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for operating leases (net of sublease income of $3 million in 2017, $4 million in 2016, and $5 million in 2015) was $83 million in 2017, $78 million in 2016, and $88 million in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Contingencies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Issued and Credit Facilities Available</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default fund contributions and margin collateral pledged by clearing members discussed in Note 17, “Clearing Operations,” we have obtained financial guarantees and credit facilities which are guaranteed by us through counter indemnities, to provide further liquidity related to our clearing businesses. Financial guarantees issued to us totaled $14 million as of December 31, 2017 and $13 million as of December 31, 2016. As discussed in “Other Credit Facilities,” of Note 10, “Debt Obligations,” clearing-related credit facilities, which are available in multiple currencies, totaled $187 million as of December 31, 2017 and $170 million as of December 31, 2016, in available liquidity, none of which was utilized.</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Execution Access is an introducing broker which operates the trading platform for our Fixed Income business to trade in U.S. Treasury securities. Execution Access has a clearing arrangement with Cantor Fitzgerald. As of December 31, 2017, we have contributed $19 million of clearing deposits to Cantor Fitzgerald in connection with this clearing arrangement. These deposits are recorded in other current assets in our Consolidated Balance Sheets. This clearing agreement will end on July 31, 2018, and will be replaced by a clearing agreement with ICBC. Some of the trading activity in Execution Access is cleared by Cantor Fitzgerald (and similarly will be by ICBC after July 31, 2018) through the Fixed Income Clearing Corporation. Execution Access assumes the counterparty risk of clients that do not clear through the Fixed Income Clearing Corporation. Counterparty risk of clients exists for Execution Access between the trade date and the settlement date of the individual transactions, which is at least one business day (or more, if specified by the U.S. Treasury issuance calendar). All of Execution Access’ obligations under the clearing arrangement with Cantor Fitzgerald are guaranteed by Nasdaq. Counterparties that do not clear through the Fixed Income Clearing Corporation are subject to a credit due diligence</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445" w:right="239" w:bottom="1440" w:gutter="0" w:footer="0" w:header="0"/>
          <w:type w:val="continuous"/>
        </w:sectPr>
      </w:pPr>
    </w:p>
    <w:bookmarkStart w:id="119" w:name="page120"/>
    <w:bookmarkEnd w:id="1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 and may be required to post collateral, provide principal letters, or provide other forms of credit enhancement to Execution Access for the purpose of mitigating counterparty risk. Daily position trading limits are also enforced for such counterparties.</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 However, no guarantee can be provided that these arrangements will at all times be sufficient.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some of our office space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we entered into a lease agreement as part of a plan to relocate our world headquarters. See “New World Headquarters,” of Note 21, “Subsequent Events,” for further discussion.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Guarantees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provided other guarantees of $3 million as of December 31, 2017 and December 31, 2016. These guarantees are primarily related to obligations for our rental and leasing contracts as well as performance guarantees on certain market technology contracts related to the delivery of software technology and support services. We have received financial guarantees from various financial institutions to support the above guarantees.</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our clearing operations in the financial markets, Nasdaq Clearing is the legal counterparty for, and guarantees the performance of, its clearing members. See Note 17, “Clearing Operations,” for further discussion of Nasdaq Clearing performance guarantees.</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the potential for us to be required to make payments under these arrangements is unlikely. Accordingly, no contingent liability is recorded in the Consolidated Balance Sheets for the above guarantees.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Contingent Consideration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purchase price consideration of a prior acquisition, we have agreed to future annual issuances of 992,247 shares of Nasdaq common stock which approximated certain tax benefits associated with the transaction.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Agreements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prior acquisitions, we entered into escrow agreements to secure the payment of post-closing adjustments and to ensure other closing conditions. As of December 31, 2017, these escrow agreements provide for future payment of $18 million, of which $14 million is included in other current liabilities and $4 million is included in other non-current liabilities in the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Routing Brokerage Activities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Matters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were named as a defendant in a putative class action, Rabin v. NASDAQ OMX PHLX LLC, et al., No. 15-551 (E.D. Pa.), filed in 2015 in the United States District Court for the Eastern District of Pennsylvania. On April 21, 2016, the court entered an order granting our motion to dismiss the complaint. The plaintiff appealed the dismissal to the Court of Appeals for the Third Circuit on May 18, 2016. On October 25, 2017, the Third Circuit issued a decision affirming the dismissal of the case, and on November 22, 2017, denied a petition for rehearing and rehearing en banc.</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w:t>
      </w:r>
    </w:p>
    <w:p>
      <w:pPr>
        <w:spacing w:after="0" w:line="200"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445" w:right="239" w:bottom="1440" w:gutter="0" w:footer="0" w:header="0"/>
          <w:type w:val="continuous"/>
        </w:sectPr>
      </w:pPr>
    </w:p>
    <w:bookmarkStart w:id="120" w:name="page121"/>
    <w:bookmarkEnd w:id="1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The plaintiffs seek injunctive and monetary relief of an unspecified amount.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On August 26, 2015, the district court entered an order dismissing the second amended complaint in its entirety with prejudice, concluding that most of the plaintiffs’ theories were foreclosed by absolute immunity and in any event that the plaintiffs failed to state any claim. The plaintiffs appealed the judgment of dismissal to the United States Court of Appeals for the Second Circuit. The Second Circuit heard oral argument on August 24, 2016. On August 25, 2016, the Second Circuit issued an order requesting the SEC’s views on whether the district court had subject-matter jurisdiction over the case, and whether the defendants are immune from suit regarding the challenged conduct. The SEC filed its brief on November 28, 2016. The exchanges and plaintiffs filed supplemental briefs responding to the SEC’s brief on December 12, 2016. On December 19, 2017, the Second Circuit issued an opinion vacating the district court’s judgment of dismissal and remanding to the district court for further proceedings. The exchanges filed a petition before the Second Circuit seeking panel or en banc rehearing on January 31, 2018, addressing Section 10(b) and Rule 10b-5 issues and absolute immunity. Given the preliminary nature of the proceedings, we are unable to estimate what, if any, liability may result from this litigation. However, we believe (as the district court concluded) that the claims are without merit and will continue to litigate vigorously.</w:t>
      </w: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disclosed above and in prior reports filed under the Exchange Act, we are not currently a party to any litigation or proceeding that we believe could have a material adverse effect on our business, consolidated financial condition, or operating</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results. However, from time to time, we have been threatened with, or named as a defendant in, lawsuits or involved in regulatory proceedings.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normal course of business, Nasdaq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we are unable to predict the outcome or the timing of the ultimate resolution of these matters, or the potential fines, penalties or injunctive or other equitable relief, if any, that may result from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Business Segments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manage, operate and provide our products and services in four business segments: Market Services, Corporate Services, Information Services and Market Technology. See Note 1, “Organization and Nature of Operations,” for further discussion of our reportable segments.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management allocates resources, assesses performance and manages these businesses as four separate segments. We evaluate the performance of our segments based on several factors, of which the primary financial measure is operating income. Results of individual businesses are presented based on our management accounting practices and structure.</w:t>
      </w:r>
    </w:p>
    <w:p>
      <w:pPr>
        <w:spacing w:after="0" w:line="468"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420"/>
          </w:cols>
          <w:pgMar w:left="240" w:top="445" w:right="239" w:bottom="1440" w:gutter="0" w:footer="0" w:header="0"/>
          <w:type w:val="continuous"/>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regarding our operating segments for the years ended December 31, 2017, 2016 and 2015 :</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Information</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4"/>
        </w:trPr>
        <w:tc>
          <w:tcPr>
            <w:tcW w:w="4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Market Services</w:t>
            </w: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8"/>
              </w:rPr>
              <w:t>Corporate Services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Services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2"/>
              </w:rPr>
              <w:t>Technology</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Corporate Items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87"/>
              </w:rPr>
              <w:t>Consolidated</w:t>
            </w:r>
          </w:p>
        </w:tc>
      </w:tr>
      <w:tr>
        <w:trPr>
          <w:trHeight w:val="268"/>
        </w:trPr>
        <w:tc>
          <w:tcPr>
            <w:tcW w:w="4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gridSpan w:val="5"/>
          </w:tcPr>
          <w:p>
            <w:pPr>
              <w:ind w:left="60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1"/>
        </w:trPr>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9,471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15,786</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1"/>
        </w:trPr>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14,150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6,906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11,861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amounts are allocated to corporate items in our management reports based on the decision that those activities should not be used to evaluate the segment’s ongoing operating performance. The following items are allocated to corporate items for segment reporting purposes: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spacing w:after="0" w:line="330" w:lineRule="auto"/>
        <w:rPr>
          <w:sz w:val="20"/>
          <w:szCs w:val="20"/>
          <w:color w:val="auto"/>
        </w:rPr>
      </w:pPr>
      <w:r>
        <w:rPr>
          <w:rFonts w:ascii="Arial" w:cs="Arial" w:eastAsia="Arial" w:hAnsi="Arial"/>
          <w:sz w:val="16"/>
          <w:szCs w:val="16"/>
          <w:i w:val="1"/>
          <w:iCs w:val="1"/>
          <w:color w:val="auto"/>
        </w:rPr>
        <w:t xml:space="preserve">Merger and strategic initiatives expense: </w:t>
      </w:r>
      <w:r>
        <w:rPr>
          <w:rFonts w:ascii="Arial" w:cs="Arial" w:eastAsia="Arial" w:hAnsi="Arial"/>
          <w:sz w:val="16"/>
          <w:szCs w:val="16"/>
          <w:color w:val="auto"/>
        </w:rPr>
        <w:t>We have pursued various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and completed a number of acquisitions in recent years which have resulted in expenses which would not have otherwise been incurred. These expenses generally include integration costs, as well as legal, due</w:t>
      </w:r>
    </w:p>
    <w:p>
      <w:pPr>
        <w:spacing w:after="0" w:line="1"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both"/>
        <w:spacing w:after="0" w:line="286" w:lineRule="auto"/>
        <w:rPr>
          <w:sz w:val="20"/>
          <w:szCs w:val="20"/>
          <w:color w:val="auto"/>
        </w:rPr>
      </w:pPr>
      <w:r>
        <w:rPr>
          <w:rFonts w:ascii="Arial" w:cs="Arial" w:eastAsia="Arial" w:hAnsi="Arial"/>
          <w:sz w:val="16"/>
          <w:szCs w:val="16"/>
          <w:i w:val="1"/>
          <w:iCs w:val="1"/>
          <w:color w:val="auto"/>
        </w:rPr>
        <w:t xml:space="preserve">Amortization expense of acquired intangible assets: </w:t>
      </w:r>
      <w:r>
        <w:rPr>
          <w:rFonts w:ascii="Arial" w:cs="Arial" w:eastAsia="Arial" w:hAnsi="Arial"/>
          <w:sz w:val="16"/>
          <w:szCs w:val="16"/>
          <w:color w:val="auto"/>
        </w:rPr>
        <w:t>We amortize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segments, and the relative operating performance of the segments between periods. Management does not consider intangible asset amortization expense for the purpose of evaluating the performance of our segments or their managers or when making decisions to allocate resources. Therefore, we believe performance measures excluding intangible asset amortization expense provide management with a more useful representation of our segments' ongoing activity in each period.</w:t>
      </w:r>
    </w:p>
    <w:p>
      <w:pPr>
        <w:spacing w:after="0" w:line="20" w:lineRule="exact"/>
        <w:rPr>
          <w:sz w:val="20"/>
          <w:szCs w:val="20"/>
          <w:color w:val="auto"/>
        </w:rPr>
      </w:pPr>
      <w:r>
        <w:rPr>
          <w:sz w:val="20"/>
          <w:szCs w:val="20"/>
          <w:color w:val="auto"/>
        </w:rPr>
        <w:br w:type="column"/>
      </w:r>
    </w:p>
    <w:p>
      <w:pPr>
        <w:jc w:val="both"/>
        <w:spacing w:after="0" w:line="302" w:lineRule="auto"/>
        <w:rPr>
          <w:sz w:val="20"/>
          <w:szCs w:val="20"/>
          <w:color w:val="auto"/>
        </w:rPr>
      </w:pPr>
      <w:r>
        <w:rPr>
          <w:rFonts w:ascii="Arial" w:cs="Arial" w:eastAsia="Arial" w:hAnsi="Arial"/>
          <w:sz w:val="18"/>
          <w:szCs w:val="18"/>
          <w:color w:val="auto"/>
        </w:rPr>
        <w:t>diligence and other third party transaction costs. The frequency and the amount of such expenses vary significantly based on the size, timing and complexity of the transaction. Accordingly, we do not allocate these costs for purposes of disclosing segment results because they do not contribute to a meaningful evaluation of a particular segment’s ongoing operating performance.</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Restructuring charges are associated with our 2015</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plan to improve performance, cut costs and reduce spending and are primarily related to (i) severance and other termination benefits, (ii) asset impairment charges, and (iii) other charges. We do not allocate these restructuring costs because they do not contribute to a meaningful evaluation of a particular segment’s ongoing operating performance.</w:t>
      </w:r>
    </w:p>
    <w:p>
      <w:pPr>
        <w:spacing w:after="0" w:line="192"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420"/>
          </w:cols>
          <w:pgMar w:left="240" w:top="445" w:right="239" w:bottom="1440" w:gutter="0" w:footer="0" w:header="0"/>
          <w:type w:val="continuous"/>
        </w:sectPr>
      </w:pPr>
    </w:p>
    <w:bookmarkStart w:id="122" w:name="page123"/>
    <w:bookmarkEnd w:id="1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445" w:right="239" w:bottom="1440" w:gutter="0" w:footer="0" w:header="0"/>
        </w:sectPr>
      </w:pPr>
    </w:p>
    <w:p>
      <w:pPr>
        <w:spacing w:after="0" w:line="3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Other significant items: </w:t>
      </w:r>
      <w:r>
        <w:rPr>
          <w:rFonts w:ascii="Arial" w:cs="Arial" w:eastAsia="Arial" w:hAnsi="Arial"/>
          <w:sz w:val="18"/>
          <w:szCs w:val="18"/>
          <w:color w:val="auto"/>
        </w:rPr>
        <w:t>We have excluded certain other charges or gains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result of other non-comparable events to measure operating performance. For the year ended December 31, 2017, other significant items included loss on extinguishment of debt and a sublease loss reserve charge recorded on space we currently occupy due to excess capacity. For 2016, other significant items primarily included a regulatory fine received by our exchange in Stockholm and Nasdaq Clearing, the release of a sublease loss reserve due to</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early exit of a facility and costs associated with the acceleration of previously granted equity awards due to the retirement of our former CEO. For 2015, other significant items included the reversal of a VAT refund. We believe the exclusion of such amounts allows management and investors to better understand the financial results of Nasdaq.</w:t>
      </w:r>
    </w:p>
    <w:p>
      <w:pPr>
        <w:spacing w:after="0" w:line="766"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 * * * * *</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 summary of our corporate items is as follows:</w:t>
            </w: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399"/>
        </w:trPr>
        <w:tc>
          <w:tcPr>
            <w:tcW w:w="4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r>
      <w:tr>
        <w:trPr>
          <w:trHeight w:val="264"/>
        </w:trPr>
        <w:tc>
          <w:tcPr>
            <w:tcW w:w="45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2015</w:t>
            </w:r>
          </w:p>
        </w:tc>
      </w:tr>
      <w:tr>
        <w:trPr>
          <w:trHeight w:val="249"/>
        </w:trPr>
        <w:tc>
          <w:tcPr>
            <w:tcW w:w="45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8"/>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of acquired intangible assets</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Merger and strategic initiatives expense</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matter</w:t>
            </w: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Sublease loss reserve</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 of VAT refund receivables</w:t>
            </w: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Executive compensation</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4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type w:val="continuous"/>
        </w:sectPr>
      </w:pP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Total assets increased $1,636 million as of December 31, 2017 compared with December 31, 2016 primarily due to an increase in default funds and margin deposits, reflecting an increase in cash margin deposits pledged by members of our Nasdaq Clearing business resulting from an increase in clearing volume. Also contributing to the increase is an increase in goodwill and intangible assets associated with our 2017 acquisitions, partially offset by a decrease in deferred tax assets primarily due to the impact of the Tax Cuts and Jobs Act. See Note 11, “Income Taxes,” for further discussion. Total assets increased $2,289 million as of December 31, 2016 compared with December 31, 2015 primarily due to new regulatory rules in 2016 that require all collateral pledged by members of our Nasdaq Clearing business to be recorded on the balance sheet and an increase in goodwill associated with our 2016 acquisitions, partially offset by a pre-tax, non-cash intangible asset impairment charge of $578 million to write off the full value of the eSpeed trade name. For further discussion of the impairment charge, see “Intangible Asset Impairment Charges,” of Note 6, “Goodwill and Acquired Intangible Assets.”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our segments’ results, see “Item 7. Management’s Discussion and Analysis of Financial Condition and Results of Operations— Segment Operating Results.”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total revenues and property and equipment, net by geographic area for 2017, 2016 and 2015. Revenues are classified based upon the location of the customer. Property and equipment information is based on the physical location of the assets.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17"/>
              <w:spacing w:after="0"/>
              <w:rPr>
                <w:sz w:val="20"/>
                <w:szCs w:val="20"/>
                <w:color w:val="auto"/>
              </w:rPr>
            </w:pPr>
            <w:r>
              <w:rPr>
                <w:rFonts w:ascii="Arial" w:cs="Arial" w:eastAsia="Arial" w:hAnsi="Arial"/>
                <w:sz w:val="13"/>
                <w:szCs w:val="13"/>
                <w:b w:val="1"/>
                <w:bCs w:val="1"/>
                <w:color w:val="auto"/>
                <w:w w:val="89"/>
              </w:rPr>
              <w:t>Property and</w:t>
            </w:r>
          </w:p>
        </w:tc>
      </w:tr>
      <w:tr>
        <w:trPr>
          <w:trHeight w:val="135"/>
        </w:trPr>
        <w:tc>
          <w:tcPr>
            <w:tcW w:w="2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3"/>
              </w:rPr>
              <w:t>Total</w:t>
            </w:r>
          </w:p>
        </w:tc>
        <w:tc>
          <w:tcPr>
            <w:tcW w:w="320" w:type="dxa"/>
            <w:vAlign w:val="bottom"/>
          </w:tcPr>
          <w:p>
            <w:pPr>
              <w:spacing w:after="0"/>
              <w:rPr>
                <w:sz w:val="11"/>
                <w:szCs w:val="11"/>
                <w:color w:val="auto"/>
              </w:rPr>
            </w:pPr>
          </w:p>
        </w:tc>
        <w:tc>
          <w:tcPr>
            <w:tcW w:w="106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0"/>
              </w:rPr>
              <w:t>Equipment,</w:t>
            </w:r>
          </w:p>
        </w:tc>
      </w:tr>
      <w:tr>
        <w:trPr>
          <w:trHeight w:val="174"/>
        </w:trPr>
        <w:tc>
          <w:tcPr>
            <w:tcW w:w="2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81"/>
              </w:rPr>
              <w:t>Revenues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b w:val="1"/>
                <w:bCs w:val="1"/>
                <w:color w:val="auto"/>
                <w:w w:val="95"/>
              </w:rPr>
              <w:t>Net</w:t>
            </w:r>
          </w:p>
        </w:tc>
      </w:tr>
      <w:tr>
        <w:trPr>
          <w:trHeight w:val="268"/>
        </w:trPr>
        <w:tc>
          <w:tcPr>
            <w:tcW w:w="2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Pr>
          <w:p>
            <w:pPr>
              <w:spacing w:after="0"/>
              <w:rPr>
                <w:sz w:val="23"/>
                <w:szCs w:val="23"/>
                <w:color w:val="auto"/>
              </w:rPr>
            </w:pPr>
          </w:p>
        </w:tc>
      </w:tr>
      <w:tr>
        <w:trPr>
          <w:trHeight w:val="286"/>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2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2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97"/>
        </w:trPr>
        <w:tc>
          <w:tcPr>
            <w:tcW w:w="2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2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2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2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5600" w:space="220"/>
            <w:col w:w="5600"/>
          </w:cols>
          <w:pgMar w:left="240" w:top="445" w:right="239" w:bottom="1440" w:gutter="0" w:footer="0" w:header="0"/>
          <w:type w:val="continuous"/>
        </w:sectPr>
      </w:pPr>
    </w:p>
    <w:p>
      <w:pPr>
        <w:ind w:left="5820"/>
        <w:spacing w:after="0"/>
        <w:rPr>
          <w:sz w:val="20"/>
          <w:szCs w:val="20"/>
          <w:color w:val="auto"/>
        </w:rPr>
      </w:pPr>
      <w:r>
        <w:rPr>
          <w:rFonts w:ascii="Arial" w:cs="Arial" w:eastAsia="Arial" w:hAnsi="Arial"/>
          <w:sz w:val="17"/>
          <w:szCs w:val="17"/>
          <w:color w:val="auto"/>
        </w:rPr>
        <w:t>Our property and equipment, net for all other countries primarily includes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assets held in Sweden.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445" w:right="239" w:bottom="1440" w:gutter="0" w:footer="0" w:header="0"/>
          <w:type w:val="continuous"/>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ind w:right="4859"/>
        <w:spacing w:after="0" w:line="277" w:lineRule="auto"/>
        <w:rPr>
          <w:sz w:val="20"/>
          <w:szCs w:val="20"/>
          <w:color w:val="auto"/>
        </w:rPr>
      </w:pPr>
      <w:r>
        <w:rPr>
          <w:rFonts w:ascii="Arial" w:cs="Arial" w:eastAsia="Arial" w:hAnsi="Arial"/>
          <w:sz w:val="18"/>
          <w:szCs w:val="18"/>
          <w:color w:val="auto"/>
        </w:rPr>
        <w:t>No single customer accounted for 10.0% or more of our revenues in 2017, 2016 and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71" w:lineRule="exact"/>
        <w:rPr>
          <w:sz w:val="20"/>
          <w:szCs w:val="20"/>
          <w:color w:val="auto"/>
        </w:rPr>
      </w:pPr>
    </w:p>
    <w:p>
      <w:pPr>
        <w:ind w:right="4779"/>
        <w:spacing w:after="0" w:line="282" w:lineRule="auto"/>
        <w:rPr>
          <w:sz w:val="20"/>
          <w:szCs w:val="20"/>
          <w:color w:val="auto"/>
        </w:rPr>
      </w:pPr>
      <w:r>
        <w:rPr>
          <w:rFonts w:ascii="Arial" w:cs="Arial" w:eastAsia="Arial" w:hAnsi="Arial"/>
          <w:sz w:val="18"/>
          <w:szCs w:val="18"/>
          <w:b w:val="1"/>
          <w:bCs w:val="1"/>
          <w:color w:val="auto"/>
        </w:rPr>
        <w:t>Definitive Agreement to Sell our Public Relations Solutions and Digital Media Services Businesses</w:t>
      </w:r>
    </w:p>
    <w:p>
      <w:pPr>
        <w:spacing w:after="0" w:line="58" w:lineRule="exact"/>
        <w:rPr>
          <w:sz w:val="20"/>
          <w:szCs w:val="20"/>
          <w:color w:val="auto"/>
        </w:rPr>
      </w:pPr>
    </w:p>
    <w:p>
      <w:pPr>
        <w:jc w:val="both"/>
        <w:ind w:right="4619"/>
        <w:spacing w:after="0" w:line="289" w:lineRule="auto"/>
        <w:rPr>
          <w:sz w:val="20"/>
          <w:szCs w:val="20"/>
          <w:color w:val="auto"/>
        </w:rPr>
      </w:pPr>
      <w:r>
        <w:rPr>
          <w:rFonts w:ascii="Arial" w:cs="Arial" w:eastAsia="Arial" w:hAnsi="Arial"/>
          <w:sz w:val="16"/>
          <w:szCs w:val="16"/>
          <w:color w:val="auto"/>
        </w:rPr>
        <w:t>In January 2018, we announced that we entered into a definitive agreement to sell our Public Relations Solutions and Digital Media Services businesses within our Corporate Solutions business for $335 million, subject to post-closing adjustments. The closing of this transaction, which is subject to regulatory approvals and customary closing conditions, is projected to occur in the second quarter of 2018. Nasdaq expects to use the proceeds from the sale for share repurchases. In conjunction with this, Nasdaq's board of directors has authorized an additional $500 million for the share repurchase program bringing the total capacity to $726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World Headquarters</w:t>
      </w:r>
    </w:p>
    <w:p>
      <w:pPr>
        <w:spacing w:after="0" w:line="121" w:lineRule="exact"/>
        <w:rPr>
          <w:sz w:val="20"/>
          <w:szCs w:val="20"/>
          <w:color w:val="auto"/>
        </w:rPr>
      </w:pPr>
    </w:p>
    <w:p>
      <w:pPr>
        <w:jc w:val="both"/>
        <w:ind w:right="4619"/>
        <w:spacing w:after="0" w:line="257" w:lineRule="auto"/>
        <w:rPr>
          <w:sz w:val="20"/>
          <w:szCs w:val="20"/>
          <w:color w:val="auto"/>
        </w:rPr>
      </w:pPr>
      <w:r>
        <w:rPr>
          <w:rFonts w:ascii="Arial" w:cs="Arial" w:eastAsia="Arial" w:hAnsi="Arial"/>
          <w:sz w:val="18"/>
          <w:szCs w:val="18"/>
          <w:color w:val="auto"/>
        </w:rPr>
        <w:t>In February 2018, we announced that we will consolidate our offices in New York City and move to a single location at MarketSite, 4 Times Square, New York, NY which will be our new world headquarters. As part of this plan, we entered into a new lease agreement for additional space at the MarketSite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0219"/>
          </w:cols>
          <w:pgMar w:left="240" w:top="445"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 (Dollars in Millions)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63"/>
        </w:trPr>
        <w:tc>
          <w:tcPr>
            <w:tcW w:w="5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22"/>
                <w:szCs w:val="22"/>
                <w:color w:val="auto"/>
              </w:rPr>
            </w:pPr>
          </w:p>
        </w:tc>
      </w:tr>
      <w:tr>
        <w:trPr>
          <w:trHeight w:val="365"/>
        </w:trPr>
        <w:tc>
          <w:tcPr>
            <w:tcW w:w="5780" w:type="dxa"/>
            <w:vAlign w:val="bottom"/>
          </w:tcPr>
          <w:p>
            <w:pPr>
              <w:spacing w:after="0"/>
              <w:rPr>
                <w:sz w:val="20"/>
                <w:szCs w:val="20"/>
                <w:color w:val="auto"/>
              </w:rPr>
            </w:pPr>
            <w:r>
              <w:rPr>
                <w:rFonts w:ascii="Arial" w:cs="Arial" w:eastAsia="Arial" w:hAnsi="Arial"/>
                <w:sz w:val="18"/>
                <w:szCs w:val="18"/>
                <w:color w:val="auto"/>
              </w:rPr>
              <w:t>Determination of earnings: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4"/>
        </w:trPr>
        <w:tc>
          <w:tcPr>
            <w:tcW w:w="5780" w:type="dxa"/>
            <w:vAlign w:val="bottom"/>
          </w:tcPr>
          <w:p>
            <w:pPr>
              <w:spacing w:after="0"/>
              <w:rPr>
                <w:sz w:val="20"/>
                <w:szCs w:val="20"/>
                <w:color w:val="auto"/>
              </w:rPr>
            </w:pPr>
            <w:r>
              <w:rPr>
                <w:rFonts w:ascii="Arial" w:cs="Arial" w:eastAsia="Arial" w:hAnsi="Arial"/>
                <w:sz w:val="18"/>
                <w:szCs w:val="18"/>
                <w:color w:val="auto"/>
              </w:rPr>
              <w:t>Pre-tax 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630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594</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600</w:t>
            </w:r>
          </w:p>
        </w:tc>
        <w:tc>
          <w:tcPr>
            <w:tcW w:w="1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392"/>
        </w:trPr>
        <w:tc>
          <w:tcPr>
            <w:tcW w:w="5780" w:type="dxa"/>
            <w:vAlign w:val="bottom"/>
          </w:tcPr>
          <w:p>
            <w:pPr>
              <w:spacing w:after="0"/>
              <w:rPr>
                <w:sz w:val="20"/>
                <w:szCs w:val="20"/>
                <w:color w:val="auto"/>
              </w:rPr>
            </w:pPr>
            <w:r>
              <w:rPr>
                <w:rFonts w:ascii="Arial" w:cs="Arial" w:eastAsia="Arial" w:hAnsi="Arial"/>
                <w:sz w:val="18"/>
                <w:szCs w:val="18"/>
                <w:color w:val="auto"/>
              </w:rPr>
              <w:t>Add: distributed income from equity investees</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392"/>
        </w:trPr>
        <w:tc>
          <w:tcPr>
            <w:tcW w:w="5780" w:type="dxa"/>
            <w:vAlign w:val="bottom"/>
          </w:tcPr>
          <w:p>
            <w:pPr>
              <w:spacing w:after="0"/>
              <w:rPr>
                <w:sz w:val="20"/>
                <w:szCs w:val="20"/>
                <w:color w:val="auto"/>
              </w:rPr>
            </w:pPr>
            <w:r>
              <w:rPr>
                <w:rFonts w:ascii="Arial" w:cs="Arial" w:eastAsia="Arial" w:hAnsi="Arial"/>
                <w:sz w:val="18"/>
                <w:szCs w:val="18"/>
                <w:color w:val="auto"/>
              </w:rPr>
              <w:t>Add: fixed charges</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4"/>
                <w:szCs w:val="24"/>
                <w:color w:val="auto"/>
              </w:rPr>
            </w:pPr>
          </w:p>
        </w:tc>
      </w:tr>
      <w:tr>
        <w:trPr>
          <w:trHeight w:val="392"/>
        </w:trPr>
        <w:tc>
          <w:tcPr>
            <w:tcW w:w="5780" w:type="dxa"/>
            <w:vAlign w:val="bottom"/>
          </w:tcPr>
          <w:p>
            <w:pPr>
              <w:spacing w:after="0"/>
              <w:rPr>
                <w:sz w:val="20"/>
                <w:szCs w:val="20"/>
                <w:color w:val="auto"/>
              </w:rPr>
            </w:pPr>
            <w:r>
              <w:rPr>
                <w:rFonts w:ascii="Arial" w:cs="Arial" w:eastAsia="Arial" w:hAnsi="Arial"/>
                <w:sz w:val="18"/>
                <w:szCs w:val="18"/>
                <w:color w:val="auto"/>
              </w:rPr>
              <w:t>Less: income from unconsolidated investees</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27"/>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379"/>
        </w:trPr>
        <w:tc>
          <w:tcPr>
            <w:tcW w:w="5780" w:type="dxa"/>
            <w:vAlign w:val="bottom"/>
          </w:tcPr>
          <w:p>
            <w:pPr>
              <w:spacing w:after="0"/>
              <w:rPr>
                <w:sz w:val="20"/>
                <w:szCs w:val="20"/>
                <w:color w:val="auto"/>
              </w:rPr>
            </w:pPr>
            <w:r>
              <w:rPr>
                <w:rFonts w:ascii="Arial" w:cs="Arial" w:eastAsia="Arial" w:hAnsi="Arial"/>
                <w:sz w:val="18"/>
                <w:szCs w:val="18"/>
                <w:color w:val="auto"/>
              </w:rPr>
              <w:t>Pre-tax earnings before fixed charges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739</w:t>
            </w: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726</w:t>
            </w:r>
          </w:p>
        </w:tc>
        <w:tc>
          <w:tcPr>
            <w:tcW w:w="3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24"/>
                <w:szCs w:val="24"/>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0"/>
        </w:trPr>
        <w:tc>
          <w:tcPr>
            <w:tcW w:w="5780" w:type="dxa"/>
            <w:vAlign w:val="bottom"/>
          </w:tcPr>
          <w:p>
            <w:pPr>
              <w:spacing w:after="0"/>
              <w:rPr>
                <w:sz w:val="20"/>
                <w:szCs w:val="20"/>
                <w:color w:val="auto"/>
              </w:rPr>
            </w:pPr>
            <w:r>
              <w:rPr>
                <w:rFonts w:ascii="Arial" w:cs="Arial" w:eastAsia="Arial" w:hAnsi="Arial"/>
                <w:sz w:val="18"/>
                <w:szCs w:val="18"/>
                <w:color w:val="auto"/>
              </w:rPr>
              <w:t>Total fixed charges - interest expense</w:t>
            </w:r>
            <w:r>
              <w:rPr>
                <w:rFonts w:ascii="Arial" w:cs="Arial" w:eastAsia="Arial" w:hAnsi="Arial"/>
                <w:sz w:val="25"/>
                <w:szCs w:val="25"/>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4"/>
                <w:szCs w:val="24"/>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94"/>
        </w:trPr>
        <w:tc>
          <w:tcPr>
            <w:tcW w:w="57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5.82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300" w:right="40" w:hanging="251"/>
        <w:spacing w:after="0" w:line="216" w:lineRule="auto"/>
        <w:tabs>
          <w:tab w:leader="none" w:pos="30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Consists of interest expense on all debt obligations (including accretion of debt issuance costs and debt discount) and the portion of operating lease rental expense that is representative of the interest factor.</w:t>
      </w:r>
    </w:p>
    <w:p>
      <w:pPr>
        <w:spacing w:after="0" w:line="1" w:lineRule="exact"/>
        <w:rPr>
          <w:rFonts w:ascii="Arial" w:cs="Arial" w:eastAsia="Arial" w:hAnsi="Arial"/>
          <w:sz w:val="25"/>
          <w:szCs w:val="25"/>
          <w:color w:val="auto"/>
          <w:vertAlign w:val="superscript"/>
        </w:rPr>
      </w:pPr>
    </w:p>
    <w:p>
      <w:pPr>
        <w:ind w:left="300" w:right="220" w:hanging="251"/>
        <w:spacing w:after="0" w:line="209" w:lineRule="auto"/>
        <w:tabs>
          <w:tab w:leader="none" w:pos="30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Includes an asset impairment charge of $578 million in 2016 and costs of $41 million in 2016 and $172 million in 2015 associated with Nasdaq’s 2015 restructuring program that was announced in 2015.</w:t>
      </w:r>
    </w:p>
    <w:p>
      <w:pPr>
        <w:spacing w:after="0" w:line="1" w:lineRule="exact"/>
        <w:rPr>
          <w:rFonts w:ascii="Arial" w:cs="Arial" w:eastAsia="Arial" w:hAnsi="Arial"/>
          <w:sz w:val="25"/>
          <w:szCs w:val="25"/>
          <w:color w:val="auto"/>
          <w:vertAlign w:val="superscript"/>
        </w:rPr>
      </w:pPr>
    </w:p>
    <w:p>
      <w:pPr>
        <w:ind w:left="300" w:hanging="251"/>
        <w:spacing w:after="0" w:line="180" w:lineRule="auto"/>
        <w:tabs>
          <w:tab w:leader="none" w:pos="30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Includes costs of $9 million in 2013 associated with Nasdaq’s 2012 restructuring program that was announced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-693420</wp:posOffset>
            </wp:positionV>
            <wp:extent cx="28301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ectPr>
          <w:pgSz w:w="11900" w:h="16838" w:orient="portrait"/>
          <w:cols w:equalWidth="0" w:num="1">
            <w:col w:w="11380"/>
          </w:cols>
          <w:pgMar w:left="280" w:top="742"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21.1</w:t>
      </w:r>
    </w:p>
    <w:p>
      <w:pPr>
        <w:spacing w:after="0" w:line="5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66"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U.S. Subsidiaries</w:t>
      </w:r>
    </w:p>
    <w:p>
      <w:pPr>
        <w:spacing w:after="0" w:line="270" w:lineRule="exact"/>
        <w:rPr>
          <w:sz w:val="20"/>
          <w:szCs w:val="20"/>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A.S.A.P. Advisor Services, Inc. (incorporated in New York)</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BoardVantage,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Boston Stock Exchange Clearing Corporation (incorporated in Massachusetts)</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BWise Internal Control, Inc. (incorporated in New York)</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Channel Capital Group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Consolidated Securities Source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Curzon Street Acquisition,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Dianum,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Directors Desk,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Dorsey, Wright &amp; Associates, LLC (organized in Virginia)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ETC Acquisition Corp.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eVestment Alliance Holdings,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eVestment Alliance Holdings, LLC (organized in Georgia)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eVestment Alliance, LLC (organized in Georgia)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eVestment,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ExactEquity,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Execution Access,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FinQloud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FINRA/NASDAQ Trade Reporting Facility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FTEN,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Fundspire,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Global Network Content Services, LLC (organized in Florida)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GlobeNewswire, Inc. (incorporated in California)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GraniteBlock,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Granite Redux,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International Securities Exchange Holdings,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ISE ETF Ventures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Kleos Managed Services Holdings,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Kleos Managed Services, L.P.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Longitude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Marketwire, Inc. (organized in California)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MW Holdco (2006) Inc.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BX,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Capital Markets Advisory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Commodities Clearing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Corporate Services,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Corporate Solutions,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Energy Futures,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Futures, Inc. (incorporated in Pennsylvania)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GEMX,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Global,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Information,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Nasdaq International Market Initiatives, Inc. (incorporated in Delaware)</w:t>
      </w:r>
    </w:p>
    <w:p>
      <w:pPr>
        <w:sectPr>
          <w:pgSz w:w="11900" w:h="16838" w:orient="portrait"/>
          <w:cols w:equalWidth="0" w:num="1">
            <w:col w:w="11088"/>
          </w:cols>
          <w:pgMar w:left="572" w:top="607" w:right="239" w:bottom="1440" w:gutter="0" w:footer="0" w:header="0"/>
        </w:sectPr>
      </w:pPr>
    </w:p>
    <w:bookmarkStart w:id="126" w:name="page127"/>
    <w:bookmarkEnd w:id="126"/>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Nasdaq ISE,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Nasdaq MRX,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NASDAQ OMX BX Equities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NASDAQ OMX (San Francisco) Insurance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Nasdaq PHLX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NPM Securities,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Operations &amp; Compliance Network, LLC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Public Plan IQ Limited Liability Company (organized in New Jersey)</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SecondMarket Labs,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SecondMarket Solutions, Inc.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SMTX,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Strategic Financial Solutions, LLC (organized in Nevada)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Sybenetix Inc. (incorporated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Nasdaq Options Market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NASDAQ Private Market, LLC (organized in California)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Stock Clearing Corporation of Philadelphia (incorporated in Pennsylvania)</w:t>
      </w:r>
    </w:p>
    <w:p>
      <w:pPr>
        <w:spacing w:after="0" w:line="4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 Exchange Holdings, Inc. (incorporated in Delaware)</w:t>
      </w:r>
    </w:p>
    <w:p>
      <w:pPr>
        <w:spacing w:after="0" w:line="302" w:lineRule="exact"/>
        <w:rPr>
          <w:sz w:val="20"/>
          <w:szCs w:val="20"/>
          <w:color w:val="auto"/>
        </w:rPr>
      </w:pPr>
    </w:p>
    <w:p>
      <w:pPr>
        <w:ind w:left="4548"/>
        <w:spacing w:after="0"/>
        <w:rPr>
          <w:sz w:val="20"/>
          <w:szCs w:val="20"/>
          <w:color w:val="auto"/>
        </w:rPr>
      </w:pPr>
      <w:r>
        <w:rPr>
          <w:rFonts w:ascii="Arial" w:cs="Arial" w:eastAsia="Arial" w:hAnsi="Arial"/>
          <w:sz w:val="18"/>
          <w:szCs w:val="18"/>
          <w:b w:val="1"/>
          <w:bCs w:val="1"/>
          <w:color w:val="auto"/>
        </w:rPr>
        <w:t>Non-U.S. Subsidiaries</w:t>
      </w:r>
    </w:p>
    <w:p>
      <w:pPr>
        <w:spacing w:after="0" w:line="310" w:lineRule="exact"/>
        <w:rPr>
          <w:sz w:val="20"/>
          <w:szCs w:val="20"/>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2157971 Ontario Ltd (organized in Canada)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AB Nasdaq Vilnius (organized in Lithuania) (96.35% owned, directly or indirectly, by Nasdaq, Inc.)</w:t>
      </w:r>
    </w:p>
    <w:p>
      <w:pPr>
        <w:spacing w:after="0" w:line="72" w:lineRule="exact"/>
        <w:rPr>
          <w:rFonts w:ascii="Arial" w:cs="Arial" w:eastAsia="Arial" w:hAnsi="Arial"/>
          <w:sz w:val="16"/>
          <w:szCs w:val="16"/>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eCSD Expert (organized in Estonia)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Pensionikeskus (organized in Estonia)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BoardVantage (HK) Limited (organized in Hong Kong)</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BoardVantage (UK) Limited (organized in the United Kingdom)</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BoardVantage Singapore Pte. Limited (organized in Singapore)</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BWise Beheer B.V. (organized in the Netherlands)</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BWise B.V. (organized in the Netherlands)</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BWise Germany GmbH (organized in Germany)</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BWISE Holding B.V. (organized in the Netherlands)</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Clearing Control CC AB (organized in Sweden)</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Curzon Street Holdings Limited (organized in the United Kingdom)</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Eignarhaldsfelagid Verdbrefathing hf. (organized in Iceland)</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Ensoleillement Inc. (organized in Canada)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eVestment Alliance Australia Pty Ltd (organized in Australia)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eVestment Alliance Hong Kong Limited (organized in Hong Kong)</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eVestment Alliance (UK) Limited (organized in the United Kingdom)</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Farm Church Holdings ULC (organized in Canada)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Indxis Ltd (organized in the United Kingdom)</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LLC "SYBENETIX UKRAINE" (organized in Ukraine)</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Longitude S.A. (organized in Luxembourg)</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Marketwire China Holding (HK) Ltd. (organized in Hong Kong)</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Marketwired UK Ltd (organized in the United Kingdom)</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Nasdaq AB (organized in Sweden)</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Nasdaq (Asia Pacific) Pte. Ltd. (organized in Singapore)</w:t>
      </w:r>
    </w:p>
    <w:p>
      <w:pPr>
        <w:sectPr>
          <w:pgSz w:w="11900" w:h="16838" w:orient="portrait"/>
          <w:cols w:equalWidth="0" w:num="1">
            <w:col w:w="9887"/>
          </w:cols>
          <w:pgMar w:left="572" w:top="611" w:right="1440" w:bottom="1440" w:gutter="0" w:footer="0" w:header="0"/>
        </w:sectPr>
      </w:pPr>
    </w:p>
    <w:bookmarkStart w:id="127" w:name="page128"/>
    <w:bookmarkEnd w:id="127"/>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Australia Holding Pty Ltd (organized in Australia)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Broker Services AB (organized in Sweden)</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Clearing AB (organized in Sweden)</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Copenhagen A/S (organized in Denmark)</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Corporate Solutions Canada ULC (organized in Canada)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Corporate Solutions (India) Private Limited (organized in India)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Corporate Solutions International Limited (organized in the United Kingdom)</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CSD Iceland hf. (organized in Iceland)</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CSD SE (organized in Latvia)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CXC Limited (organized in Canada)</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Exchange and Clearing Services AB (organized in Sweden)</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France SAS (organized in France)</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Germany GmbH (organized in Germany)</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Helsinki Ltd (organized in Finland)</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Holding AB (organized in Sweden)</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Holding Denmark A/S (organized in Denmark)</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Holding Luxembourg Sárl (organized in Luxembourg)</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Iceland hf. (organized in Iceland)</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International Ltd (organized in the United Kingdom)</w:t>
      </w:r>
    </w:p>
    <w:p>
      <w:pPr>
        <w:spacing w:after="0" w:line="49" w:lineRule="exact"/>
        <w:rPr>
          <w:rFonts w:ascii="Arial" w:cs="Arial" w:eastAsia="Arial" w:hAnsi="Arial"/>
          <w:sz w:val="18"/>
          <w:szCs w:val="18"/>
          <w:color w:val="auto"/>
        </w:rPr>
      </w:pPr>
    </w:p>
    <w:p>
      <w:pPr>
        <w:ind w:left="488" w:hanging="488"/>
        <w:spacing w:after="0"/>
        <w:tabs>
          <w:tab w:leader="none" w:pos="4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Korea Ltd. (organized in South Korea)</w:t>
      </w:r>
    </w:p>
    <w:p>
      <w:pPr>
        <w:spacing w:after="0" w:line="49" w:lineRule="exact"/>
        <w:rPr>
          <w:rFonts w:ascii="Arial" w:cs="Arial" w:eastAsia="Arial" w:hAnsi="Arial"/>
          <w:sz w:val="18"/>
          <w:szCs w:val="18"/>
          <w:color w:val="auto"/>
        </w:rPr>
      </w:pPr>
    </w:p>
    <w:p>
      <w:pPr>
        <w:ind w:left="408" w:hanging="408"/>
        <w:spacing w:after="0"/>
        <w:tabs>
          <w:tab w:leader="none" w:pos="4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Ltd (organized in Hong Kong)</w:t>
      </w:r>
    </w:p>
    <w:p>
      <w:pPr>
        <w:spacing w:after="0" w:line="76"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NLX Ltd (organized in the United Kingdom)</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Nordic Ltd (organized in Finland)</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OMX Europe Ltd (organized in the United Kingdom)</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Oslo ASA (organized in Norway)</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Pty Ltd (organized in Australia)</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Nasdaq Riga, AS (organized in Latvia) (92.98% owned, directly or indirectly, by Nasdaq, Inc.)</w:t>
      </w:r>
    </w:p>
    <w:p>
      <w:pPr>
        <w:spacing w:after="0" w:line="115" w:lineRule="exact"/>
        <w:rPr>
          <w:rFonts w:ascii="Arial" w:cs="Arial" w:eastAsia="Arial" w:hAnsi="Arial"/>
          <w:sz w:val="17"/>
          <w:szCs w:val="17"/>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Stockholm AB (organized in Sweden)</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Tallinn AS (organized in Estonia)</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Technology AB (organized in Sweden)</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Technology Canada Inc. (organized in Canada)</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Technology Energy Systems AS (organized in Norway)</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Technology Italy Srl (organized in Italy)</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Technology (Japan) Ltd (organized in Japan)</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Teknoloji Servisi Limited Sirketi (organized in Turkey)</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Treasury AB (organized in Sweden)</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Vilnius Services UAB (organized in Lithuania)</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OMX Netherlands B.V. (organized in the Netherlands)</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OMX Netherlands Holding B.V. (organized in the Netherlands)</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6"/>
          <w:szCs w:val="16"/>
          <w:color w:val="auto"/>
        </w:rPr>
      </w:pPr>
      <w:r>
        <w:rPr>
          <w:rFonts w:ascii="Arial" w:cs="Arial" w:eastAsia="Arial" w:hAnsi="Arial"/>
          <w:sz w:val="16"/>
          <w:szCs w:val="16"/>
          <w:color w:val="auto"/>
        </w:rPr>
        <w:t>OMX Treasury Euro AB (organized in Sweden) (99.9% owned, directly or indirectly, by Nasdaq, Inc.)</w:t>
      </w:r>
    </w:p>
    <w:p>
      <w:pPr>
        <w:spacing w:after="0" w:line="126" w:lineRule="exact"/>
        <w:rPr>
          <w:rFonts w:ascii="Arial" w:cs="Arial" w:eastAsia="Arial" w:hAnsi="Arial"/>
          <w:sz w:val="16"/>
          <w:szCs w:val="16"/>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OMX Treasury Euro Holding AB (organized in Sweden)</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PerTrac Financial Solutions Hong Kong Limited (organized in Hong Kong)</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SMARTS (Asia) Ltd (organized in China)</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SMARTS Broker Compliance Pty Ltd (organized in Australia)</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SMARTS Market Surveillance Pty Ltd (organized in Australia)</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Sybenetix Limited (organized in the United Kingdom)</w:t>
      </w:r>
    </w:p>
    <w:p>
      <w:pPr>
        <w:spacing w:after="0" w:line="103" w:lineRule="exact"/>
        <w:rPr>
          <w:rFonts w:ascii="Arial" w:cs="Arial" w:eastAsia="Arial" w:hAnsi="Arial"/>
          <w:sz w:val="18"/>
          <w:szCs w:val="18"/>
          <w:color w:val="auto"/>
        </w:rPr>
      </w:pPr>
    </w:p>
    <w:p>
      <w:pPr>
        <w:ind w:left="708" w:hanging="708"/>
        <w:spacing w:after="0"/>
        <w:tabs>
          <w:tab w:leader="none" w:pos="7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TopQ Software Limited (organized in the United Kingdom)</w:t>
      </w:r>
    </w:p>
    <w:p>
      <w:pPr>
        <w:sectPr>
          <w:pgSz w:w="11900" w:h="16838" w:orient="portrait"/>
          <w:cols w:equalWidth="0" w:num="1">
            <w:col w:w="9887"/>
          </w:cols>
          <w:pgMar w:left="572" w:top="611" w:right="1440" w:bottom="1440" w:gutter="0" w:footer="0" w:header="0"/>
        </w:sectPr>
      </w:pPr>
    </w:p>
    <w:bookmarkStart w:id="128" w:name="page129"/>
    <w:bookmarkEnd w:id="128"/>
    <w:p>
      <w:pPr>
        <w:ind w:left="1040" w:hanging="708"/>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Whittaker &amp; Garnier Limited (organized in the United Kingdom)</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list of subsidiaries does not include not-for-profit entities or foreign branches of particular subsidiaries.</w:t>
      </w:r>
    </w:p>
    <w:p>
      <w:pPr>
        <w:sectPr>
          <w:pgSz w:w="11900" w:h="16838" w:orient="portrait"/>
          <w:cols w:equalWidth="0" w:num="1">
            <w:col w:w="10219"/>
          </w:cols>
          <w:pgMar w:left="240" w:top="638"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940" w:firstLine="2947"/>
        <w:spacing w:after="0" w:line="515"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660" w:hanging="652"/>
        <w:spacing w:after="0"/>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Registration Statement (Form S-3 No. 333-209080) of Nasdaq, Inc.,</w:t>
      </w:r>
    </w:p>
    <w:p>
      <w:pPr>
        <w:spacing w:after="0" w:line="260"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Registration Statement (Form S-8 No. 333-196838) pertaining to Nasdaq, Inc. (f/k/a The NASDAQ OMX Group, Inc.) Equity Incentive Plan,</w:t>
      </w:r>
    </w:p>
    <w:p>
      <w:pPr>
        <w:spacing w:after="0" w:line="21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Registration Statement (Form S-8 No. 333-167724) pertaining to Nasdaq, Inc. (f/k/a The NASDAQ OMX Group, Inc.) Employee Stock Purchase Plan,</w:t>
      </w:r>
    </w:p>
    <w:p>
      <w:pPr>
        <w:spacing w:after="0" w:line="21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Registration Statement (Form S-8 No. 333-167723) pertaining to Nasdaq, Inc. (f/k/a The NASDAQ OMX Group, Inc.) Equity Incentive Plan,</w:t>
      </w:r>
    </w:p>
    <w:p>
      <w:pPr>
        <w:spacing w:after="0" w:line="215" w:lineRule="exact"/>
        <w:rPr>
          <w:rFonts w:ascii="Arial" w:cs="Arial" w:eastAsia="Arial" w:hAnsi="Arial"/>
          <w:sz w:val="22"/>
          <w:szCs w:val="22"/>
          <w:color w:val="auto"/>
        </w:rPr>
      </w:pPr>
    </w:p>
    <w:p>
      <w:pPr>
        <w:ind w:left="660" w:hanging="652"/>
        <w:spacing w:after="0"/>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Registration Statement (Form S-8 No. 333-110602) pertaining to The Nasdaq Stock Market, Inc. Equity Incentive Plan,</w:t>
      </w:r>
    </w:p>
    <w:p>
      <w:pPr>
        <w:spacing w:after="0" w:line="294"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Registration Statement (Form S-8 No. 333-106945) pertaining to the Employment Agreement with Robert Greifeld of The Nasdaq Stock Market, Inc.,</w:t>
      </w:r>
    </w:p>
    <w:p>
      <w:pPr>
        <w:spacing w:after="0" w:line="215"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Registration Statement (Form S-8 No. 333-76064) pertaining to The Nasdaq Stock Market, Inc. 2000 Employee Stock Purchase Plan,</w:t>
      </w:r>
    </w:p>
    <w:p>
      <w:pPr>
        <w:spacing w:after="0" w:line="215"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Registration Statement (Form S-8 No. 333-72852) pertaining to The Nasdaq Stock Market, Inc. 2000 Employee Stock Purchase Plan, and</w:t>
      </w:r>
    </w:p>
    <w:p>
      <w:pPr>
        <w:spacing w:after="0" w:line="215" w:lineRule="exact"/>
        <w:rPr>
          <w:rFonts w:ascii="Arial" w:cs="Arial" w:eastAsia="Arial" w:hAnsi="Arial"/>
          <w:sz w:val="22"/>
          <w:szCs w:val="22"/>
          <w:color w:val="auto"/>
        </w:rPr>
      </w:pPr>
    </w:p>
    <w:p>
      <w:pPr>
        <w:ind w:left="660" w:hanging="652"/>
        <w:spacing w:after="0"/>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Registration Statement (Form S-8 No. 333-70992) pertaining to The Nasdaq Stock Market, Inc. Equity Incentive Plan;</w:t>
      </w:r>
    </w:p>
    <w:p>
      <w:pPr>
        <w:spacing w:after="0" w:line="308"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of our reports dated February 28, 2018, with respect to the consolidated financial statements of Nasdaq, Inc. and the effectiveness of internal control over financial reporting of Nasdaq, Inc. included in this Annual Report (Form 10-K) of Nasdaq, Inc.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2018</w:t>
      </w:r>
    </w:p>
    <w:p>
      <w:pPr>
        <w:sectPr>
          <w:pgSz w:w="11900" w:h="16838" w:orient="portrait"/>
          <w:cols w:equalWidth="0" w:num="1">
            <w:col w:w="11420"/>
          </w:cols>
          <w:pgMar w:left="240" w:top="382"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24.1</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INC.</w:t>
      </w:r>
    </w:p>
    <w:p>
      <w:pPr>
        <w:spacing w:after="0" w:line="212" w:lineRule="exact"/>
        <w:rPr>
          <w:sz w:val="20"/>
          <w:szCs w:val="20"/>
          <w:color w:val="auto"/>
        </w:rPr>
      </w:pPr>
    </w:p>
    <w:p>
      <w:pPr>
        <w:jc w:val="both"/>
        <w:ind w:right="280" w:firstLine="432"/>
        <w:spacing w:after="0" w:line="311"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ind w:right="500" w:firstLine="440"/>
        <w:spacing w:after="0" w:line="311" w:lineRule="auto"/>
        <w:tabs>
          <w:tab w:leader="none" w:pos="6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2017, including any and all amendments and additions thereto (collectively, the “Annual Report”) in accordance with the Securities Exchange Act of 1934, as amended, and the rules thereunder;</w:t>
      </w:r>
    </w:p>
    <w:p>
      <w:pPr>
        <w:spacing w:after="0" w:line="127" w:lineRule="exact"/>
        <w:rPr>
          <w:rFonts w:ascii="Arial" w:cs="Arial" w:eastAsia="Arial" w:hAnsi="Arial"/>
          <w:sz w:val="18"/>
          <w:szCs w:val="18"/>
          <w:color w:val="auto"/>
        </w:rPr>
      </w:pPr>
    </w:p>
    <w:p>
      <w:pPr>
        <w:ind w:right="280" w:firstLine="440"/>
        <w:spacing w:after="0" w:line="311" w:lineRule="auto"/>
        <w:tabs>
          <w:tab w:leader="none" w:pos="6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7" w:lineRule="exact"/>
        <w:rPr>
          <w:rFonts w:ascii="Arial" w:cs="Arial" w:eastAsia="Arial" w:hAnsi="Arial"/>
          <w:sz w:val="18"/>
          <w:szCs w:val="18"/>
          <w:color w:val="auto"/>
        </w:rPr>
      </w:pPr>
    </w:p>
    <w:p>
      <w:pPr>
        <w:ind w:right="140" w:firstLine="440"/>
        <w:spacing w:after="0" w:line="306" w:lineRule="auto"/>
        <w:tabs>
          <w:tab w:leader="none" w:pos="6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3" w:lineRule="exact"/>
        <w:rPr>
          <w:sz w:val="20"/>
          <w:szCs w:val="20"/>
          <w:color w:val="auto"/>
        </w:rPr>
      </w:pPr>
    </w:p>
    <w:p>
      <w:pPr>
        <w:ind w:right="160" w:firstLine="432"/>
        <w:spacing w:after="0" w:line="30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28, 2018.</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Melissa M. Arnoldi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648" w:right="239" w:bottom="1440" w:gutter="0" w:footer="0" w:header="0"/>
        </w:sectPr>
      </w:pPr>
    </w:p>
    <w:bookmarkStart w:id="131" w:name="page132"/>
    <w:bookmarkEnd w:id="131"/>
    <w:p>
      <w:pPr>
        <w:jc w:val="center"/>
        <w:ind w:right="-159"/>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REPORT ON FORM 10-K</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NASDAQ, INC.</w:t>
      </w:r>
    </w:p>
    <w:p>
      <w:pPr>
        <w:spacing w:after="0" w:line="212"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ind w:right="360" w:firstLine="440"/>
        <w:spacing w:after="0" w:line="311" w:lineRule="auto"/>
        <w:tabs>
          <w:tab w:leader="none" w:pos="6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2017, including any and all amendments and additions thereto (collectively, the “Annual Report”) in accordance with the Securities Exchange Act of 1934, as amended, and the rules thereunder;</w:t>
      </w:r>
    </w:p>
    <w:p>
      <w:pPr>
        <w:spacing w:after="0" w:line="127" w:lineRule="exact"/>
        <w:rPr>
          <w:rFonts w:ascii="Arial" w:cs="Arial" w:eastAsia="Arial" w:hAnsi="Arial"/>
          <w:sz w:val="18"/>
          <w:szCs w:val="18"/>
          <w:color w:val="auto"/>
        </w:rPr>
      </w:pPr>
    </w:p>
    <w:p>
      <w:pPr>
        <w:ind w:right="140" w:firstLine="440"/>
        <w:spacing w:after="0" w:line="311" w:lineRule="auto"/>
        <w:tabs>
          <w:tab w:leader="none" w:pos="6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7" w:lineRule="exact"/>
        <w:rPr>
          <w:rFonts w:ascii="Arial" w:cs="Arial" w:eastAsia="Arial" w:hAnsi="Arial"/>
          <w:sz w:val="18"/>
          <w:szCs w:val="18"/>
          <w:color w:val="auto"/>
        </w:rPr>
      </w:pPr>
    </w:p>
    <w:p>
      <w:pPr>
        <w:ind w:firstLine="440"/>
        <w:spacing w:after="0" w:line="306" w:lineRule="auto"/>
        <w:tabs>
          <w:tab w:leader="none" w:pos="6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3" w:lineRule="exact"/>
        <w:rPr>
          <w:sz w:val="20"/>
          <w:szCs w:val="20"/>
          <w:color w:val="auto"/>
        </w:rPr>
      </w:pPr>
    </w:p>
    <w:p>
      <w:pPr>
        <w:ind w:right="20" w:firstLine="432"/>
        <w:spacing w:after="0" w:line="30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28, 2018.</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Charlene T. Begley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80"/>
          </w:cols>
          <w:pgMar w:left="240" w:top="1030" w:right="379" w:bottom="1440" w:gutter="0" w:footer="0" w:header="0"/>
        </w:sectPr>
      </w:pPr>
    </w:p>
    <w:bookmarkStart w:id="132" w:name="page133"/>
    <w:bookmarkEnd w:id="132"/>
    <w:p>
      <w:pPr>
        <w:jc w:val="center"/>
        <w:ind w:right="-159"/>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REPORT ON FORM 10-K</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NASDAQ, INC.</w:t>
      </w:r>
    </w:p>
    <w:p>
      <w:pPr>
        <w:spacing w:after="0" w:line="212"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ind w:right="360" w:firstLine="440"/>
        <w:spacing w:after="0" w:line="311" w:lineRule="auto"/>
        <w:tabs>
          <w:tab w:leader="none" w:pos="687"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2017, including any and all amendments and additions thereto (collectively, the “Annual Report”) in accordance with the Securities Exchange Act of 1934, as amended, and the rules thereunder;</w:t>
      </w:r>
    </w:p>
    <w:p>
      <w:pPr>
        <w:spacing w:after="0" w:line="127" w:lineRule="exact"/>
        <w:rPr>
          <w:rFonts w:ascii="Arial" w:cs="Arial" w:eastAsia="Arial" w:hAnsi="Arial"/>
          <w:sz w:val="18"/>
          <w:szCs w:val="18"/>
          <w:color w:val="auto"/>
        </w:rPr>
      </w:pPr>
    </w:p>
    <w:p>
      <w:pPr>
        <w:ind w:right="140" w:firstLine="440"/>
        <w:spacing w:after="0" w:line="311" w:lineRule="auto"/>
        <w:tabs>
          <w:tab w:leader="none" w:pos="687"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7" w:lineRule="exact"/>
        <w:rPr>
          <w:rFonts w:ascii="Arial" w:cs="Arial" w:eastAsia="Arial" w:hAnsi="Arial"/>
          <w:sz w:val="18"/>
          <w:szCs w:val="18"/>
          <w:color w:val="auto"/>
        </w:rPr>
      </w:pPr>
    </w:p>
    <w:p>
      <w:pPr>
        <w:ind w:firstLine="440"/>
        <w:spacing w:after="0" w:line="306" w:lineRule="auto"/>
        <w:tabs>
          <w:tab w:leader="none" w:pos="68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3" w:lineRule="exact"/>
        <w:rPr>
          <w:sz w:val="20"/>
          <w:szCs w:val="20"/>
          <w:color w:val="auto"/>
        </w:rPr>
      </w:pPr>
    </w:p>
    <w:p>
      <w:pPr>
        <w:ind w:right="20" w:firstLine="432"/>
        <w:spacing w:after="0" w:line="30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28, 2018.</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Steven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80"/>
          </w:cols>
          <w:pgMar w:left="240" w:top="814" w:right="379" w:bottom="1440" w:gutter="0" w:footer="0" w:header="0"/>
        </w:sectPr>
      </w:pPr>
    </w:p>
    <w:bookmarkStart w:id="133" w:name="page134"/>
    <w:bookmarkEnd w:id="133"/>
    <w:p>
      <w:pPr>
        <w:jc w:val="center"/>
        <w:ind w:right="-159"/>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REPORT ON FORM 10-K</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NASDAQ, INC.</w:t>
      </w:r>
    </w:p>
    <w:p>
      <w:pPr>
        <w:spacing w:after="0" w:line="212"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ind w:right="360" w:firstLine="440"/>
        <w:spacing w:after="0" w:line="311"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2017, including any and all amendments and additions thereto (collectively, the “Annual Report”) in accordance with the Securities Exchange Act of 1934, as amended, and the rules thereunder;</w:t>
      </w:r>
    </w:p>
    <w:p>
      <w:pPr>
        <w:spacing w:after="0" w:line="127" w:lineRule="exact"/>
        <w:rPr>
          <w:rFonts w:ascii="Arial" w:cs="Arial" w:eastAsia="Arial" w:hAnsi="Arial"/>
          <w:sz w:val="18"/>
          <w:szCs w:val="18"/>
          <w:color w:val="auto"/>
        </w:rPr>
      </w:pPr>
    </w:p>
    <w:p>
      <w:pPr>
        <w:ind w:right="140" w:firstLine="440"/>
        <w:spacing w:after="0" w:line="311"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7" w:lineRule="exact"/>
        <w:rPr>
          <w:rFonts w:ascii="Arial" w:cs="Arial" w:eastAsia="Arial" w:hAnsi="Arial"/>
          <w:sz w:val="18"/>
          <w:szCs w:val="18"/>
          <w:color w:val="auto"/>
        </w:rPr>
      </w:pPr>
    </w:p>
    <w:p>
      <w:pPr>
        <w:ind w:firstLine="440"/>
        <w:spacing w:after="0" w:line="306"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3" w:lineRule="exact"/>
        <w:rPr>
          <w:sz w:val="20"/>
          <w:szCs w:val="20"/>
          <w:color w:val="auto"/>
        </w:rPr>
      </w:pPr>
    </w:p>
    <w:p>
      <w:pPr>
        <w:ind w:right="20" w:firstLine="432"/>
        <w:spacing w:after="0" w:line="30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28, 2018.</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80"/>
          </w:cols>
          <w:pgMar w:left="240" w:top="814" w:right="379" w:bottom="1440" w:gutter="0" w:footer="0" w:header="0"/>
        </w:sectPr>
      </w:pPr>
    </w:p>
    <w:bookmarkStart w:id="134" w:name="page135"/>
    <w:bookmarkEnd w:id="134"/>
    <w:p>
      <w:pPr>
        <w:jc w:val="center"/>
        <w:ind w:right="-159"/>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REPORT ON FORM 10-K</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NASDAQ, INC.</w:t>
      </w:r>
    </w:p>
    <w:p>
      <w:pPr>
        <w:spacing w:after="0" w:line="212"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ind w:right="360" w:firstLine="440"/>
        <w:spacing w:after="0" w:line="311"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2017, including any and all amendments and additions thereto (collectively, the “Annual Report”) in accordance with the Securities Exchange Act of 1934, as amended, and the rules thereunder;</w:t>
      </w:r>
    </w:p>
    <w:p>
      <w:pPr>
        <w:spacing w:after="0" w:line="127" w:lineRule="exact"/>
        <w:rPr>
          <w:rFonts w:ascii="Arial" w:cs="Arial" w:eastAsia="Arial" w:hAnsi="Arial"/>
          <w:sz w:val="18"/>
          <w:szCs w:val="18"/>
          <w:color w:val="auto"/>
        </w:rPr>
      </w:pPr>
    </w:p>
    <w:p>
      <w:pPr>
        <w:ind w:right="140" w:firstLine="440"/>
        <w:spacing w:after="0" w:line="311"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7" w:lineRule="exact"/>
        <w:rPr>
          <w:rFonts w:ascii="Arial" w:cs="Arial" w:eastAsia="Arial" w:hAnsi="Arial"/>
          <w:sz w:val="18"/>
          <w:szCs w:val="18"/>
          <w:color w:val="auto"/>
        </w:rPr>
      </w:pPr>
    </w:p>
    <w:p>
      <w:pPr>
        <w:ind w:firstLine="440"/>
        <w:spacing w:after="0" w:line="306"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3" w:lineRule="exact"/>
        <w:rPr>
          <w:sz w:val="20"/>
          <w:szCs w:val="20"/>
          <w:color w:val="auto"/>
        </w:rPr>
      </w:pPr>
    </w:p>
    <w:p>
      <w:pPr>
        <w:ind w:right="20" w:firstLine="432"/>
        <w:spacing w:after="0" w:line="30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28, 2018.</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Thomas A. Kloet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80"/>
          </w:cols>
          <w:pgMar w:left="240" w:top="814" w:right="379" w:bottom="1440" w:gutter="0" w:footer="0" w:header="0"/>
        </w:sectPr>
      </w:pPr>
    </w:p>
    <w:bookmarkStart w:id="135" w:name="page136"/>
    <w:bookmarkEnd w:id="135"/>
    <w:p>
      <w:pPr>
        <w:jc w:val="center"/>
        <w:ind w:right="-159"/>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REPORT ON FORM 10-K</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NASDAQ, INC.</w:t>
      </w:r>
    </w:p>
    <w:p>
      <w:pPr>
        <w:spacing w:after="0" w:line="212"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ind w:right="360" w:firstLine="440"/>
        <w:spacing w:after="0" w:line="311"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2017, including any and all amendments and additions thereto (collectively, the “Annual Report”) in accordance with the Securities Exchange Act of 1934, as amended, and the rules thereunder;</w:t>
      </w:r>
    </w:p>
    <w:p>
      <w:pPr>
        <w:spacing w:after="0" w:line="127" w:lineRule="exact"/>
        <w:rPr>
          <w:rFonts w:ascii="Arial" w:cs="Arial" w:eastAsia="Arial" w:hAnsi="Arial"/>
          <w:sz w:val="18"/>
          <w:szCs w:val="18"/>
          <w:color w:val="auto"/>
        </w:rPr>
      </w:pPr>
    </w:p>
    <w:p>
      <w:pPr>
        <w:ind w:right="140" w:firstLine="440"/>
        <w:spacing w:after="0" w:line="311"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7" w:lineRule="exact"/>
        <w:rPr>
          <w:rFonts w:ascii="Arial" w:cs="Arial" w:eastAsia="Arial" w:hAnsi="Arial"/>
          <w:sz w:val="18"/>
          <w:szCs w:val="18"/>
          <w:color w:val="auto"/>
        </w:rPr>
      </w:pPr>
    </w:p>
    <w:p>
      <w:pPr>
        <w:ind w:firstLine="440"/>
        <w:spacing w:after="0" w:line="306"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3" w:lineRule="exact"/>
        <w:rPr>
          <w:sz w:val="20"/>
          <w:szCs w:val="20"/>
          <w:color w:val="auto"/>
        </w:rPr>
      </w:pPr>
    </w:p>
    <w:p>
      <w:pPr>
        <w:ind w:right="20" w:firstLine="432"/>
        <w:spacing w:after="0" w:line="30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28, 2018.</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John D.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29159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80"/>
          </w:cols>
          <w:pgMar w:left="240" w:top="814" w:right="379" w:bottom="1440" w:gutter="0" w:footer="0" w:header="0"/>
        </w:sectPr>
      </w:pPr>
    </w:p>
    <w:bookmarkStart w:id="136" w:name="page137"/>
    <w:bookmarkEnd w:id="136"/>
    <w:p>
      <w:pPr>
        <w:jc w:val="center"/>
        <w:ind w:right="-159"/>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REPORT ON FORM 10-K</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NASDAQ, INC.</w:t>
      </w:r>
    </w:p>
    <w:p>
      <w:pPr>
        <w:spacing w:after="0" w:line="212"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ind w:right="360" w:firstLine="440"/>
        <w:spacing w:after="0" w:line="311" w:lineRule="auto"/>
        <w:tabs>
          <w:tab w:leader="none" w:pos="6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2017, including any and all amendments and additions thereto (collectively, the “Annual Report”) in accordance with the Securities Exchange Act of 1934, as amended, and the rules thereunder;</w:t>
      </w:r>
    </w:p>
    <w:p>
      <w:pPr>
        <w:spacing w:after="0" w:line="127" w:lineRule="exact"/>
        <w:rPr>
          <w:rFonts w:ascii="Arial" w:cs="Arial" w:eastAsia="Arial" w:hAnsi="Arial"/>
          <w:sz w:val="18"/>
          <w:szCs w:val="18"/>
          <w:color w:val="auto"/>
        </w:rPr>
      </w:pPr>
    </w:p>
    <w:p>
      <w:pPr>
        <w:ind w:right="140" w:firstLine="440"/>
        <w:spacing w:after="0" w:line="311" w:lineRule="auto"/>
        <w:tabs>
          <w:tab w:leader="none" w:pos="6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7" w:lineRule="exact"/>
        <w:rPr>
          <w:rFonts w:ascii="Arial" w:cs="Arial" w:eastAsia="Arial" w:hAnsi="Arial"/>
          <w:sz w:val="18"/>
          <w:szCs w:val="18"/>
          <w:color w:val="auto"/>
        </w:rPr>
      </w:pPr>
    </w:p>
    <w:p>
      <w:pPr>
        <w:ind w:firstLine="440"/>
        <w:spacing w:after="0" w:line="306" w:lineRule="auto"/>
        <w:tabs>
          <w:tab w:leader="none" w:pos="6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3" w:lineRule="exact"/>
        <w:rPr>
          <w:sz w:val="20"/>
          <w:szCs w:val="20"/>
          <w:color w:val="auto"/>
        </w:rPr>
      </w:pPr>
    </w:p>
    <w:p>
      <w:pPr>
        <w:ind w:right="20" w:firstLine="432"/>
        <w:spacing w:after="0" w:line="30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28, 2018.</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29159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80"/>
          </w:cols>
          <w:pgMar w:left="240" w:top="814" w:right="379" w:bottom="1440" w:gutter="0" w:footer="0" w:header="0"/>
        </w:sectPr>
      </w:pPr>
    </w:p>
    <w:bookmarkStart w:id="137" w:name="page138"/>
    <w:bookmarkEnd w:id="137"/>
    <w:p>
      <w:pPr>
        <w:jc w:val="center"/>
        <w:ind w:right="-159"/>
        <w:spacing w:after="0"/>
        <w:rPr>
          <w:sz w:val="20"/>
          <w:szCs w:val="20"/>
          <w:color w:val="auto"/>
        </w:rPr>
      </w:pPr>
      <w:r>
        <w:rPr>
          <w:rFonts w:ascii="Arial" w:cs="Arial" w:eastAsia="Arial" w:hAnsi="Arial"/>
          <w:sz w:val="18"/>
          <w:szCs w:val="18"/>
          <w:color w:val="auto"/>
        </w:rPr>
        <w:t>POWER OF ATTORNEY</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REPORT ON FORM 10-K</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NASDAQ, INC.</w:t>
      </w:r>
    </w:p>
    <w:p>
      <w:pPr>
        <w:spacing w:after="0" w:line="212"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ind w:right="360" w:firstLine="440"/>
        <w:spacing w:after="0" w:line="311" w:lineRule="auto"/>
        <w:tabs>
          <w:tab w:leader="none" w:pos="6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2017, including any and all amendments and additions thereto (collectively, the “Annual Report”) in accordance with the Securities Exchange Act of 1934, as amended, and the rules thereunder;</w:t>
      </w:r>
    </w:p>
    <w:p>
      <w:pPr>
        <w:spacing w:after="0" w:line="127" w:lineRule="exact"/>
        <w:rPr>
          <w:rFonts w:ascii="Arial" w:cs="Arial" w:eastAsia="Arial" w:hAnsi="Arial"/>
          <w:sz w:val="18"/>
          <w:szCs w:val="18"/>
          <w:color w:val="auto"/>
        </w:rPr>
      </w:pPr>
    </w:p>
    <w:p>
      <w:pPr>
        <w:ind w:right="140" w:firstLine="440"/>
        <w:spacing w:after="0" w:line="311" w:lineRule="auto"/>
        <w:tabs>
          <w:tab w:leader="none" w:pos="6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7" w:lineRule="exact"/>
        <w:rPr>
          <w:rFonts w:ascii="Arial" w:cs="Arial" w:eastAsia="Arial" w:hAnsi="Arial"/>
          <w:sz w:val="18"/>
          <w:szCs w:val="18"/>
          <w:color w:val="auto"/>
        </w:rPr>
      </w:pPr>
    </w:p>
    <w:p>
      <w:pPr>
        <w:ind w:firstLine="440"/>
        <w:spacing w:after="0" w:line="306" w:lineRule="auto"/>
        <w:tabs>
          <w:tab w:leader="none" w:pos="6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3" w:lineRule="exact"/>
        <w:rPr>
          <w:sz w:val="20"/>
          <w:szCs w:val="20"/>
          <w:color w:val="auto"/>
        </w:rPr>
      </w:pPr>
    </w:p>
    <w:p>
      <w:pPr>
        <w:ind w:right="20" w:firstLine="432"/>
        <w:spacing w:after="0" w:line="30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28, 2018.</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Lars R.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2915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80"/>
          </w:cols>
          <w:pgMar w:left="240" w:top="814" w:right="3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Adena T. Friedman, certify that:</w:t>
      </w:r>
    </w:p>
    <w:p>
      <w:pPr>
        <w:spacing w:after="0" w:line="90" w:lineRule="exact"/>
        <w:rPr>
          <w:sz w:val="20"/>
          <w:szCs w:val="20"/>
          <w:color w:val="auto"/>
        </w:rPr>
      </w:pPr>
    </w:p>
    <w:p>
      <w:pPr>
        <w:ind w:left="620" w:hanging="180"/>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Nasdaq,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40" w:right="600" w:firstLine="432"/>
        <w:spacing w:after="0" w:line="334" w:lineRule="auto"/>
        <w:tabs>
          <w:tab w:leader="none" w:pos="111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40" w:right="80" w:firstLine="432"/>
        <w:spacing w:after="0" w:line="264" w:lineRule="auto"/>
        <w:tabs>
          <w:tab w:leader="none" w:pos="112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40" w:firstLine="440"/>
        <w:spacing w:after="0" w:line="308" w:lineRule="auto"/>
        <w:tabs>
          <w:tab w:leader="none" w:pos="609"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40" w:firstLine="432"/>
        <w:spacing w:after="0" w:line="277" w:lineRule="auto"/>
        <w:tabs>
          <w:tab w:leader="none" w:pos="110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40" w:right="500" w:firstLine="432"/>
        <w:spacing w:after="0" w:line="277" w:lineRule="auto"/>
        <w:tabs>
          <w:tab w:leader="none" w:pos="111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/s/  Adena T. Friedman</w:t>
            </w:r>
          </w:p>
        </w:tc>
      </w:tr>
      <w:tr>
        <w:trPr>
          <w:trHeight w:val="27"/>
        </w:trPr>
        <w:tc>
          <w:tcPr>
            <w:tcW w:w="7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0"/>
              <w:spacing w:after="0"/>
              <w:rPr>
                <w:sz w:val="20"/>
                <w:szCs w:val="20"/>
                <w:color w:val="auto"/>
              </w:rPr>
            </w:pPr>
            <w:r>
              <w:rPr>
                <w:rFonts w:ascii="Arial" w:cs="Arial" w:eastAsia="Arial" w:hAnsi="Arial"/>
                <w:sz w:val="18"/>
                <w:szCs w:val="18"/>
                <w:color w:val="auto"/>
              </w:rPr>
              <w:t>Adena T. Friedman</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ectPr>
          <w:pgSz w:w="11900" w:h="16838" w:orient="portrait"/>
          <w:cols w:equalWidth="0" w:num="1">
            <w:col w:w="11420"/>
          </w:cols>
          <w:pgMar w:left="240" w:top="742"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Michael Ptasznik, certify that:</w:t>
      </w:r>
    </w:p>
    <w:p>
      <w:pPr>
        <w:spacing w:after="0" w:line="90" w:lineRule="exact"/>
        <w:rPr>
          <w:sz w:val="20"/>
          <w:szCs w:val="20"/>
          <w:color w:val="auto"/>
        </w:rPr>
      </w:pPr>
    </w:p>
    <w:p>
      <w:pPr>
        <w:ind w:left="620" w:hanging="180"/>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Nasdaq,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0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40" w:right="600" w:firstLine="432"/>
        <w:spacing w:after="0" w:line="334" w:lineRule="auto"/>
        <w:tabs>
          <w:tab w:leader="none" w:pos="1117"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40" w:right="80" w:firstLine="432"/>
        <w:spacing w:after="0" w:line="264" w:lineRule="auto"/>
        <w:tabs>
          <w:tab w:leader="none" w:pos="112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40" w:firstLine="440"/>
        <w:spacing w:after="0" w:line="308" w:lineRule="auto"/>
        <w:tabs>
          <w:tab w:leader="none" w:pos="609"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40" w:firstLine="432"/>
        <w:spacing w:after="0" w:line="277" w:lineRule="auto"/>
        <w:tabs>
          <w:tab w:leader="none" w:pos="110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40" w:right="500" w:firstLine="432"/>
        <w:spacing w:after="0" w:line="277" w:lineRule="auto"/>
        <w:tabs>
          <w:tab w:leader="none" w:pos="111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/s/ Michael Ptasznik</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Michael Ptasznik</w:t>
            </w: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Corporate Strategy and Chief</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ectPr>
          <w:pgSz w:w="11900" w:h="16838" w:orient="portrait"/>
          <w:cols w:equalWidth="0" w:num="1">
            <w:col w:w="11420"/>
          </w:cols>
          <w:pgMar w:left="240" w:top="742"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In connection with the Annual Report on Form 10-K of Nasdaq, Inc. (the “Company”) for the year ended December 31, 2017 as filed with the Securities and Exchange Commission on the date hereof (the “Report”), Adena T. Friedman, as President and Chief Executive Officer of the Company, and Michael Ptasznik, as Executive Vice President, Corporate Strategy and Chief Financial Officer of the Company, each hereby certifies, pursuant to 18 U.S.C. § 1350, as adopted pursuant to § 906 of the Sarbanes-Oxley Act of 2002, that, to the best of her or his knowledge:</w:t>
      </w:r>
    </w:p>
    <w:p>
      <w:pPr>
        <w:spacing w:after="0" w:line="36" w:lineRule="exact"/>
        <w:rPr>
          <w:sz w:val="20"/>
          <w:szCs w:val="20"/>
          <w:color w:val="auto"/>
        </w:rPr>
      </w:pPr>
    </w:p>
    <w:p>
      <w:pPr>
        <w:ind w:left="1120" w:hanging="248"/>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40" w:right="360" w:firstLine="432"/>
        <w:spacing w:after="0" w:line="277" w:lineRule="auto"/>
        <w:tabs>
          <w:tab w:leader="none" w:pos="11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33"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/s/</w:t>
            </w:r>
          </w:p>
        </w:tc>
        <w:tc>
          <w:tcPr>
            <w:tcW w:w="4300" w:type="dxa"/>
            <w:vAlign w:val="bottom"/>
          </w:tcPr>
          <w:p>
            <w:pPr>
              <w:jc w:val="center"/>
              <w:ind w:right="2710"/>
              <w:spacing w:after="0"/>
              <w:rPr>
                <w:sz w:val="20"/>
                <w:szCs w:val="20"/>
                <w:color w:val="auto"/>
              </w:rPr>
            </w:pPr>
            <w:r>
              <w:rPr>
                <w:rFonts w:ascii="Arial" w:cs="Arial" w:eastAsia="Arial" w:hAnsi="Arial"/>
                <w:sz w:val="18"/>
                <w:szCs w:val="18"/>
                <w:color w:val="auto"/>
                <w:w w:val="89"/>
              </w:rPr>
              <w:t>Adena T. Friedman</w:t>
            </w:r>
          </w:p>
        </w:tc>
      </w:tr>
      <w:tr>
        <w:trPr>
          <w:trHeight w:val="27"/>
        </w:trPr>
        <w:tc>
          <w:tcPr>
            <w:tcW w:w="780" w:type="dxa"/>
            <w:vAlign w:val="bottom"/>
          </w:tcPr>
          <w:p>
            <w:pPr>
              <w:spacing w:after="0"/>
              <w:rPr>
                <w:sz w:val="2"/>
                <w:szCs w:val="2"/>
                <w:color w:val="auto"/>
              </w:rPr>
            </w:pPr>
          </w:p>
        </w:tc>
        <w:tc>
          <w:tcPr>
            <w:tcW w:w="4560" w:type="dxa"/>
            <w:vAlign w:val="bottom"/>
            <w:tcBorders>
              <w:bottom w:val="single" w:sz="8" w:color="auto"/>
            </w:tcBorders>
            <w:gridSpan w:val="2"/>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Adena T. Friedman</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February 28, 2018</w:t>
            </w:r>
          </w:p>
        </w:tc>
      </w:tr>
      <w:tr>
        <w:trPr>
          <w:trHeight w:val="540"/>
        </w:trPr>
        <w:tc>
          <w:tcPr>
            <w:tcW w:w="7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/s/</w:t>
            </w:r>
          </w:p>
        </w:tc>
        <w:tc>
          <w:tcPr>
            <w:tcW w:w="4300" w:type="dxa"/>
            <w:vAlign w:val="bottom"/>
          </w:tcPr>
          <w:p>
            <w:pPr>
              <w:jc w:val="center"/>
              <w:ind w:right="2730"/>
              <w:spacing w:after="0"/>
              <w:rPr>
                <w:sz w:val="20"/>
                <w:szCs w:val="20"/>
                <w:color w:val="auto"/>
              </w:rPr>
            </w:pPr>
            <w:r>
              <w:rPr>
                <w:rFonts w:ascii="Arial" w:cs="Arial" w:eastAsia="Arial" w:hAnsi="Arial"/>
                <w:sz w:val="18"/>
                <w:szCs w:val="18"/>
                <w:color w:val="auto"/>
                <w:w w:val="91"/>
              </w:rPr>
              <w:t>Michael Ptasznik</w:t>
            </w:r>
          </w:p>
        </w:tc>
      </w:tr>
      <w:tr>
        <w:trPr>
          <w:trHeight w:val="27"/>
        </w:trPr>
        <w:tc>
          <w:tcPr>
            <w:tcW w:w="780" w:type="dxa"/>
            <w:vAlign w:val="bottom"/>
          </w:tcPr>
          <w:p>
            <w:pPr>
              <w:spacing w:after="0"/>
              <w:rPr>
                <w:sz w:val="2"/>
                <w:szCs w:val="2"/>
                <w:color w:val="auto"/>
              </w:rPr>
            </w:pPr>
          </w:p>
        </w:tc>
        <w:tc>
          <w:tcPr>
            <w:tcW w:w="4560" w:type="dxa"/>
            <w:vAlign w:val="bottom"/>
            <w:tcBorders>
              <w:bottom w:val="single" w:sz="8" w:color="auto"/>
            </w:tcBorders>
            <w:gridSpan w:val="2"/>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Michael Ptasznik</w:t>
            </w:r>
          </w:p>
        </w:tc>
      </w:tr>
      <w:tr>
        <w:trPr>
          <w:trHeight w:val="256"/>
        </w:trPr>
        <w:tc>
          <w:tcPr>
            <w:tcW w:w="780" w:type="dxa"/>
            <w:vAlign w:val="bottom"/>
          </w:tcPr>
          <w:p>
            <w:pPr>
              <w:spacing w:after="0"/>
              <w:rPr>
                <w:sz w:val="22"/>
                <w:szCs w:val="22"/>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Corporate Strategy and Chief</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February 28, 2018</w:t>
            </w:r>
          </w:p>
        </w:tc>
      </w:tr>
    </w:tbl>
    <w:p>
      <w:pPr>
        <w:spacing w:after="0" w:line="39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lvl w:ilvl="1">
      <w:lvlJc w:val="left"/>
      <w:lvlText w:val="•"/>
      <w:numFmt w:val="bullet"/>
      <w:start w:val="1"/>
    </w:lvl>
  </w:abstractNum>
  <w:abstractNum w:abstractNumId="4">
    <w:nsid w:val="4B588F54"/>
    <w:multiLevelType w:val="hybridMultilevel"/>
    <w:lvl w:ilvl="0">
      <w:lvlJc w:val="left"/>
      <w:lvlText w:val="•"/>
      <w:numFmt w:val="bullet"/>
      <w:start w:val="1"/>
    </w:lvl>
    <w:lvl w:ilvl="1">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lvl w:ilvl="1">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1)"/>
      <w:numFmt w:val="decimal"/>
      <w:start w:val="1"/>
    </w:lvl>
    <w:lvl w:ilvl="1">
      <w:lvlJc w:val="left"/>
      <w:lvlText w:val="*"/>
      <w:numFmt w:val="bullet"/>
      <w:start w:val="1"/>
    </w:lvl>
  </w:abstractNum>
  <w:abstractNum w:abstractNumId="39">
    <w:nsid w:val="579BE4F1"/>
    <w:multiLevelType w:val="hybridMultilevel"/>
    <w:lvl w:ilvl="0">
      <w:lvlJc w:val="left"/>
      <w:lvlText w:val="•"/>
      <w:numFmt w:val="bullet"/>
      <w:start w:val="1"/>
    </w:lvl>
    <w:lvl w:ilvl="1">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lvl w:ilvl="1">
      <w:lvlJc w:val="left"/>
      <w:lvlText w:val="(%2)"/>
      <w:numFmt w:val="lowerRoman"/>
      <w:start w:val="5"/>
    </w:lvl>
  </w:abstractNum>
  <w:abstractNum w:abstractNumId="51">
    <w:nsid w:val="15014ACB"/>
    <w:multiLevelType w:val="hybridMultilevel"/>
    <w:lvl w:ilvl="0">
      <w:lvlJc w:val="left"/>
      <w:lvlText w:val="(%1)"/>
      <w:numFmt w:val="lowerLetter"/>
      <w:start w:val="2"/>
    </w:lvl>
  </w:abstractNum>
  <w:abstractNum w:abstractNumId="52">
    <w:nsid w:val="5F5E7FD0"/>
    <w:multiLevelType w:val="hybridMultilevel"/>
    <w:lvl w:ilvl="0">
      <w:lvlJc w:val="left"/>
      <w:lvlText w:val="*"/>
      <w:numFmt w:val="bullet"/>
      <w:start w:val="1"/>
    </w:lvl>
    <w:lvl w:ilvl="1">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3"/>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46"/>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27"/>
    </w:lvl>
  </w:abstractNum>
  <w:abstractNum w:abstractNumId="74">
    <w:nsid w:val="60B6DF70"/>
    <w:multiLevelType w:val="hybridMultilevel"/>
    <w:lvl w:ilvl="0">
      <w:lvlJc w:val="left"/>
      <w:lvlText w:val="%1."/>
      <w:numFmt w:val="decimal"/>
      <w:start w:val="76"/>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74" Type="http://schemas.openxmlformats.org/officeDocument/2006/relationships/image" Target="media/image20.png"/><Relationship Id="rId75" Type="http://schemas.openxmlformats.org/officeDocument/2006/relationships/image" Target="media/image21.png"/><Relationship Id="rId76" Type="http://schemas.openxmlformats.org/officeDocument/2006/relationships/image" Target="media/image22.png"/><Relationship Id="rId77" Type="http://schemas.openxmlformats.org/officeDocument/2006/relationships/image" Target="media/image23.png"/><Relationship Id="rId78" Type="http://schemas.openxmlformats.org/officeDocument/2006/relationships/image" Target="media/image24.png"/><Relationship Id="rId79" Type="http://schemas.openxmlformats.org/officeDocument/2006/relationships/image" Target="media/image25.png"/><Relationship Id="rId80" Type="http://schemas.openxmlformats.org/officeDocument/2006/relationships/image" Target="media/image26.png"/><Relationship Id="rId81" Type="http://schemas.openxmlformats.org/officeDocument/2006/relationships/image" Target="media/image27.png"/><Relationship Id="rId82" Type="http://schemas.openxmlformats.org/officeDocument/2006/relationships/image" Target="media/image28.png"/><Relationship Id="rId83" Type="http://schemas.openxmlformats.org/officeDocument/2006/relationships/image" Target="media/image29.png"/><Relationship Id="rId84" Type="http://schemas.openxmlformats.org/officeDocument/2006/relationships/image" Target="media/image30.png"/><Relationship Id="rId85" Type="http://schemas.openxmlformats.org/officeDocument/2006/relationships/image" Target="media/image31.png"/><Relationship Id="rId86" Type="http://schemas.openxmlformats.org/officeDocument/2006/relationships/image" Target="media/image32.png"/><Relationship Id="rId87" Type="http://schemas.openxmlformats.org/officeDocument/2006/relationships/image" Target="media/image33.png"/><Relationship Id="rId88" Type="http://schemas.openxmlformats.org/officeDocument/2006/relationships/image" Target="media/image34.png"/><Relationship Id="rId89" Type="http://schemas.openxmlformats.org/officeDocument/2006/relationships/image" Target="media/image35.png"/><Relationship Id="rId90" Type="http://schemas.openxmlformats.org/officeDocument/2006/relationships/image" Target="media/image36.png"/><Relationship Id="rId91" Type="http://schemas.openxmlformats.org/officeDocument/2006/relationships/image" Target="media/image37.png"/><Relationship Id="rId92" Type="http://schemas.openxmlformats.org/officeDocument/2006/relationships/image" Target="media/image38.png"/><Relationship Id="rId93" Type="http://schemas.openxmlformats.org/officeDocument/2006/relationships/image" Target="media/image39.png"/><Relationship Id="rId94" Type="http://schemas.openxmlformats.org/officeDocument/2006/relationships/image" Target="media/image40.png"/><Relationship Id="rId95" Type="http://schemas.openxmlformats.org/officeDocument/2006/relationships/image" Target="media/image41.png"/><Relationship Id="rId96" Type="http://schemas.openxmlformats.org/officeDocument/2006/relationships/image" Target="media/image42.png"/><Relationship Id="rId97" Type="http://schemas.openxmlformats.org/officeDocument/2006/relationships/image" Target="media/image43.png"/><Relationship Id="rId27" Type="http://schemas.openxmlformats.org/officeDocument/2006/relationships/hyperlink" Target="http://www.sec.gov/Archives/edgar/data/1120193/000112019313000011/ndaq-20130630ex21812ba94.htm" TargetMode="External"/><Relationship Id="rId28" Type="http://schemas.openxmlformats.org/officeDocument/2006/relationships/hyperlink" Target="http://www.sec.gov/Archives/edgar/data/1120193/000119312516505375/d160286d8k.htm" TargetMode="External"/><Relationship Id="rId29" Type="http://schemas.openxmlformats.org/officeDocument/2006/relationships/hyperlink" Target="http://www.sec.gov/Archives/edgar/data/1120193/000119312517280755/d442224d8k.htm" TargetMode="External"/><Relationship Id="rId30" Type="http://schemas.openxmlformats.org/officeDocument/2006/relationships/hyperlink" Target="http://www.sec.gov/Archives/edgar/data/1120193/000119312514024495/d665170d8k.htm" TargetMode="External"/><Relationship Id="rId31" Type="http://schemas.openxmlformats.org/officeDocument/2006/relationships/hyperlink" Target="http://www.sec.gov/Archives/edgar/data/1120193/000119312514418471/d823798d8k.htm" TargetMode="External"/><Relationship Id="rId32" Type="http://schemas.openxmlformats.org/officeDocument/2006/relationships/hyperlink" Target="http://www.sec.gov/Archives/edgar/data/1120193/000119312515314459/d48431d8k.htm" TargetMode="External"/><Relationship Id="rId33" Type="http://schemas.openxmlformats.org/officeDocument/2006/relationships/hyperlink" Target="http://www.sec.gov/Archives/edgar/data/1120193/000119312516773816/d294194d8k.htm" TargetMode="External"/><Relationship Id="rId34" Type="http://schemas.openxmlformats.org/officeDocument/2006/relationships/hyperlink" Target="http://www.sec.gov/Archives/edgar/data/1120193/000112019315000018/ndaq-20150930xex4.htm" TargetMode="External"/><Relationship Id="rId35" Type="http://schemas.openxmlformats.org/officeDocument/2006/relationships/hyperlink" Target="http://www.sec.gov/Archives/edgar/data/1120193/000119312508045251/d8k.htm" TargetMode="External"/><Relationship Id="rId36" Type="http://schemas.openxmlformats.org/officeDocument/2006/relationships/hyperlink" Target="http://www.sec.gov/Archives/edgar/data/1120193/000119312509039333/dex4101.htm" TargetMode="External"/><Relationship Id="rId37" Type="http://schemas.openxmlformats.org/officeDocument/2006/relationships/hyperlink" Target="http://www.sec.gov/Archives/edgar/data/1120193/000119312509039333/dex4111.htm" TargetMode="External"/><Relationship Id="rId38" Type="http://schemas.openxmlformats.org/officeDocument/2006/relationships/hyperlink" Target="http://www.sec.gov/Archives/edgar/data/1120193/000119312510008213/dex41.htm" TargetMode="External"/><Relationship Id="rId39" Type="http://schemas.openxmlformats.org/officeDocument/2006/relationships/hyperlink" Target="http://www.sec.gov/Archives/edgar/data/1120193/000119312510008213/dex42.htm" TargetMode="External"/><Relationship Id="rId40" Type="http://schemas.openxmlformats.org/officeDocument/2006/relationships/hyperlink" Target="http://www.sec.gov/Archives/edgar/data/1120193/000119312510285688/dex41.htm" TargetMode="External"/><Relationship Id="rId41" Type="http://schemas.openxmlformats.org/officeDocument/2006/relationships/hyperlink" Target="http://www.sec.gov/Archives/edgar/data/1120193/000119312511045348/dex412.htm" TargetMode="External"/><Relationship Id="rId42" Type="http://schemas.openxmlformats.org/officeDocument/2006/relationships/hyperlink" Target="http://www.sec.gov/Archives/edgar/data/1120193/000119312513253519/d551100dex41.htm" TargetMode="External"/><Relationship Id="rId43" Type="http://schemas.openxmlformats.org/officeDocument/2006/relationships/hyperlink" Target="http://www.sec.gov/Archives/edgar/data/1120193/000119312513253519/d551100dex42.htm" TargetMode="External"/><Relationship Id="rId44" Type="http://schemas.openxmlformats.org/officeDocument/2006/relationships/hyperlink" Target="http://www.sec.gov/Archives/edgar/data/1120193/000119312514217628/d734049dex41.htm" TargetMode="External"/><Relationship Id="rId45" Type="http://schemas.openxmlformats.org/officeDocument/2006/relationships/hyperlink" Target="http://www.sec.gov/Archives/edgar/data/1120193/000119312516599270/d176138d8k.htm" TargetMode="External"/><Relationship Id="rId46" Type="http://schemas.openxmlformats.org/officeDocument/2006/relationships/hyperlink" Target="http://www.sec.gov/Archives/edgar/data/1120193/000119312516615297/d167131d8k.htm" TargetMode="External"/><Relationship Id="rId47" Type="http://schemas.openxmlformats.org/officeDocument/2006/relationships/hyperlink" Target="http://www.sec.gov/Archives/edgar/data/1120193/000119312517291412/d445171dex41.htm" TargetMode="External"/><Relationship Id="rId48" Type="http://schemas.openxmlformats.org/officeDocument/2006/relationships/hyperlink" Target="http://www.sec.gov/Archives/edgar/data/1120193/000119312513279639/d562243dex101.htm" TargetMode="External"/><Relationship Id="rId49" Type="http://schemas.openxmlformats.org/officeDocument/2006/relationships/hyperlink" Target="http://www.sec.gov/Archives/edgar/data/1120193/000112019317000011/ndaq6302017ex-104.htm" TargetMode="External"/><Relationship Id="rId50" Type="http://schemas.openxmlformats.org/officeDocument/2006/relationships/hyperlink" Target="http://www.sec.gov/Archives/edgar/data/1120193/000119312515181962/d922883dex101.htm" TargetMode="External"/><Relationship Id="rId51" Type="http://schemas.openxmlformats.org/officeDocument/2006/relationships/hyperlink" Target="http://www.sec.gov/Archives/edgar/data/1120193/000119312511045348/dex103.htm" TargetMode="External"/><Relationship Id="rId52" Type="http://schemas.openxmlformats.org/officeDocument/2006/relationships/hyperlink" Target="http://www.sec.gov/Archives/edgar/data/1120193/000112019317000011/ndaq6302017ex-105.htm" TargetMode="External"/><Relationship Id="rId53" Type="http://schemas.openxmlformats.org/officeDocument/2006/relationships/hyperlink" Target="http://www.sec.gov/Archives/edgar/data/1120193/000112019317000011/ndaq6302017ex-106.htm" TargetMode="External"/><Relationship Id="rId54" Type="http://schemas.openxmlformats.org/officeDocument/2006/relationships/hyperlink" Target="http://www.sec.gov/Archives/edgar/data/1120193/000112019317000011/ndaq6302017ex-107.htm" TargetMode="External"/><Relationship Id="rId55" Type="http://schemas.openxmlformats.org/officeDocument/2006/relationships/hyperlink" Target="http://www.sec.gov/Archives/edgar/data/1120193/000112019317000011/ndaq6302017ex-108.htm" TargetMode="External"/><Relationship Id="rId56" Type="http://schemas.openxmlformats.org/officeDocument/2006/relationships/hyperlink" Target="http://www.sec.gov/Archives/edgar/data/1120193/000112019317000006/ndaq3312017ex-101.htm" TargetMode="External"/><Relationship Id="rId57" Type="http://schemas.openxmlformats.org/officeDocument/2006/relationships/hyperlink" Target="http://www.sec.gov/Archives/edgar/data/1120193/000119312509039333/dex106.htm" TargetMode="External"/><Relationship Id="rId58" Type="http://schemas.openxmlformats.org/officeDocument/2006/relationships/hyperlink" Target="http://www.sec.gov/Archives/edgar/data/1120193/000119312509039333/dex1061.htm" TargetMode="External"/><Relationship Id="rId59" Type="http://schemas.openxmlformats.org/officeDocument/2006/relationships/hyperlink" Target="http://www.sec.gov/Archives/edgar/data/1120193/000119312509039333/dex107.htm" TargetMode="External"/><Relationship Id="rId60" Type="http://schemas.openxmlformats.org/officeDocument/2006/relationships/hyperlink" Target="http://www.sec.gov/Archives/edgar/data/1120193/000119312513069357/d445717dex10101.htm" TargetMode="External"/><Relationship Id="rId61" Type="http://schemas.openxmlformats.org/officeDocument/2006/relationships/hyperlink" Target="http://www.sec.gov/Archives/edgar/data/1120193/000112019317000014/ndaq9302017ex-101.htm" TargetMode="External"/><Relationship Id="rId62" Type="http://schemas.openxmlformats.org/officeDocument/2006/relationships/hyperlink" Target="http://www.sec.gov/Archives/edgar/data/1120193/000112019317000006/ndaq3312017ex-102.htm" TargetMode="External"/><Relationship Id="rId63" Type="http://schemas.openxmlformats.org/officeDocument/2006/relationships/hyperlink" Target="http://www.sec.gov/Archives/edgar/data/1120193/000104746903011291/a2106487zex-10_14.htm" TargetMode="External"/><Relationship Id="rId64" Type="http://schemas.openxmlformats.org/officeDocument/2006/relationships/hyperlink" Target="http://www.sec.gov/Archives/edgar/data/1120193/000104746903011291/a2106487zex-10_141.htm" TargetMode="External"/><Relationship Id="rId65" Type="http://schemas.openxmlformats.org/officeDocument/2006/relationships/hyperlink" Target="http://www.sec.gov/Archives/edgar/data/1120193/000119312509039333/dex10132.htm" TargetMode="External"/><Relationship Id="rId66" Type="http://schemas.openxmlformats.org/officeDocument/2006/relationships/hyperlink" Target="http://www.sec.gov/Archives/edgar/data/1120193/000119312512085658/d307731dex102.htm" TargetMode="External"/><Relationship Id="rId67" Type="http://schemas.openxmlformats.org/officeDocument/2006/relationships/hyperlink" Target="http://www.sec.gov/Archives/edgar/data/1120193/000112019317000003/ndaq12312016ex-10144.htm" TargetMode="External"/><Relationship Id="rId68" Type="http://schemas.openxmlformats.org/officeDocument/2006/relationships/hyperlink" Target="http://www.sec.gov/Archives/edgar/data/1120193/000112019316000027/ndaq-20160930xex10_1.htm" TargetMode="External"/><Relationship Id="rId69" Type="http://schemas.openxmlformats.org/officeDocument/2006/relationships/hyperlink" Target="http://www.sec.gov/Archives/edgar/data/1120193/000119312513457974/d635806dex101.htm" TargetMode="External"/><Relationship Id="rId70" Type="http://schemas.openxmlformats.org/officeDocument/2006/relationships/hyperlink" Target="http://www.sec.gov/Archives/edgar/data/1120193/000119312517137842/d382987dex101.htm" TargetMode="External"/><Relationship Id="rId71" Type="http://schemas.openxmlformats.org/officeDocument/2006/relationships/hyperlink" Target="http://www.sec.gov/Archives/edgar/data/1120193/000119312516513487/d161390d8k.htm" TargetMode="External"/><Relationship Id="rId72" Type="http://schemas.openxmlformats.org/officeDocument/2006/relationships/hyperlink" Target="http://www.sec.gov/Archives/edgar/data/1120193/000119312517137842/d382987dex102.htm" TargetMode="External"/><Relationship Id="rId73" Type="http://schemas.openxmlformats.org/officeDocument/2006/relationships/hyperlink" Target="http://www.sec.gov/Archives/edgar/data/1120193/000119312517137842/d38298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2019-12-28T23:49:53Z</dcterms:created>
  <dcterms:modified xsi:type="dcterms:W3CDTF">2019-12-28T23:49:53Z</dcterms:modified>
</cp:coreProperties>
</file>