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8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886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Noll Eric</w:t>
              </w:r>
            </w:hyperlink>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NASDAQ OMX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NDAQ</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0" w:type="dxa"/>
            <w:vAlign w:val="bottom"/>
            <w:tcBorders>
              <w:top w:val="single" w:sz="8" w:color="0000EE"/>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4"/>
                <w:szCs w:val="14"/>
                <w:color w:val="auto"/>
              </w:rPr>
              <w:t>(Last)</w:t>
            </w:r>
          </w:p>
        </w:tc>
        <w:tc>
          <w:tcPr>
            <w:tcW w:w="1060" w:type="dxa"/>
            <w:vAlign w:val="bottom"/>
            <w:tcBorders>
              <w:top w:val="single" w:sz="8" w:color="EEEEEE"/>
            </w:tcBorders>
            <w:vMerge w:val="restart"/>
          </w:tcPr>
          <w:p>
            <w:pPr>
              <w:ind w:left="24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0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02/23/2011</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ONE LIBERTY PLAZA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07"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7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gridSpan w:val="4"/>
          </w:tcPr>
          <w:p>
            <w:pPr>
              <w:ind w:left="240"/>
              <w:spacing w:after="0" w:line="189" w:lineRule="exact"/>
              <w:rPr>
                <w:sz w:val="20"/>
                <w:szCs w:val="20"/>
                <w:color w:val="auto"/>
              </w:rPr>
            </w:pPr>
            <w:r>
              <w:rPr>
                <w:rFonts w:ascii="Arial" w:cs="Arial" w:eastAsia="Arial" w:hAnsi="Arial"/>
                <w:sz w:val="18"/>
                <w:szCs w:val="18"/>
                <w:color w:val="0000FF"/>
              </w:rPr>
              <w:t>02/25/2011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10006</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80" w:type="dxa"/>
            <w:vAlign w:val="bottom"/>
            <w:gridSpan w:val="8"/>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26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560" w:type="dxa"/>
            <w:vAlign w:val="bottom"/>
            <w:vMerge w:val="restart"/>
          </w:tcPr>
          <w:p>
            <w:pPr>
              <w:jc w:val="right"/>
              <w:ind w:right="11"/>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2"/>
              </w:rPr>
              <w:t>Common Stock, par value $0.01 per share</w:t>
            </w:r>
          </w:p>
        </w:tc>
        <w:tc>
          <w:tcPr>
            <w:tcW w:w="126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02/23/2011</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36,456</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2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93,557</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40" w:type="dxa"/>
            <w:vAlign w:val="bottom"/>
            <w:gridSpan w:val="12"/>
          </w:tcPr>
          <w:p>
            <w:pPr>
              <w:jc w:val="right"/>
              <w:ind w:right="11"/>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Securities</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3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72,319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660" w:type="dxa"/>
            <w:vAlign w:val="bottom"/>
          </w:tcPr>
          <w:p>
            <w:pPr>
              <w:jc w:val="center"/>
              <w:ind w:right="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4"/>
                <w:szCs w:val="14"/>
                <w:color w:val="0000FF"/>
                <w:w w:val="96"/>
              </w:rPr>
              <w:t>07/22/2019</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4"/>
                <w:szCs w:val="14"/>
                <w:color w:val="0000FF"/>
                <w:w w:val="88"/>
              </w:rPr>
              <w:t>72,319</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28,362</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19.75</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4"/>
                <w:szCs w:val="14"/>
                <w:color w:val="0000FF"/>
                <w:w w:val="96"/>
              </w:rPr>
              <w:t>03/04/2020</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4"/>
                <w:szCs w:val="14"/>
                <w:color w:val="0000FF"/>
                <w:w w:val="88"/>
              </w:rPr>
              <w:t>28,362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settlement of performance share units (PSUs) that were granted under The NASDAQ OMX Group, Inc. Equity Incentive Plan on March 4, 2010. The ultimate amount of shares to be received under the grant depended upon the achievement of performance goals during a one-year performance period from January 1, 2010 through December 31, 2010. On February 23, 2011, the Management Compensation Committee of NASDAQ OMX's Board of Directors approved the settlement of the PSU grant. The shares underlying the PSUs will vest as to one-third on December 31, 2011, one-third on December 31, 2012 and one-third on December 31, 2013.</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(i) 25,000 shares of unvested restricted stock and (ii) 68,557 shares underlying PSUs, 6,802 of which are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exercisable on July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exercisable on March 4,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purpose of this amendment is to correct the information in Table 1, Column 5. In the previous filing, this amount was incorrectly reported as 99,405.</w:t>
      </w:r>
    </w:p>
    <w:p>
      <w:pPr>
        <w:ind w:left="6860"/>
        <w:spacing w:after="0" w:line="184" w:lineRule="auto"/>
        <w:rPr>
          <w:sz w:val="20"/>
          <w:szCs w:val="20"/>
          <w:color w:val="auto"/>
        </w:rPr>
      </w:pPr>
      <w:r>
        <w:rPr>
          <w:rFonts w:ascii="Arial" w:cs="Arial" w:eastAsia="Arial" w:hAnsi="Arial"/>
          <w:sz w:val="17"/>
          <w:szCs w:val="17"/>
          <w:color w:val="0000FF"/>
        </w:rPr>
        <w:t xml:space="preserve">/s/ Edward S. Knight, by power </w:t>
      </w:r>
      <w:r>
        <w:rPr>
          <w:rFonts w:ascii="Arial" w:cs="Arial" w:eastAsia="Arial" w:hAnsi="Arial"/>
          <w:sz w:val="34"/>
          <w:szCs w:val="34"/>
          <w:color w:val="0000FF"/>
          <w:vertAlign w:val="subscript"/>
        </w:rPr>
        <w:t>03/07/2011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485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5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8651" TargetMode="External"/><Relationship Id="rId13"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2019-12-17T15:13:45Z</dcterms:created>
  <dcterms:modified xsi:type="dcterms:W3CDTF">2019-12-17T15:13:45Z</dcterms:modified>
</cp:coreProperties>
</file>