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333-279011</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April 30, 2024)</w:t>
      </w:r>
    </w:p>
    <w:p>
      <w:pPr>
        <w:spacing w:after="0" w:line="1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41,604,207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165100</wp:posOffset>
            </wp:positionV>
            <wp:extent cx="281178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an offering of shares of our common stock, par value $0.01 per share, by Argus Seller, LP (f/k/a Adenza Parent, LP) (the “selling stockholder”), an affiliate of certain funds managed by Thoma Bravo, L.P. We will not receive any of the proceeds from the sale of shares of our common stock sold in this offering by the selling stockholder.</w:t>
      </w:r>
    </w:p>
    <w:p>
      <w:pPr>
        <w:spacing w:after="0" w:line="135" w:lineRule="exact"/>
        <w:rPr>
          <w:sz w:val="24"/>
          <w:szCs w:val="24"/>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conditions, including the completion of this offering, we have agreed to purchase 1,200,000 shares of common stock from the selling stockholder at a price per share equal to the price per share to be paid by the underwriter to the selling stockholder, as part of our existing stock repurchase program (the “Repurchase”). The underwriters will not receive any compensation for the shares of common stock being repurchased by us, and any shares bought in the Repurchase will thereafter cease to be outstanding and will be retained as treasury shares or cancelled. The completion of the Repurchase is conditioned upon the completion of this offering. The completion of this offering is not conditioned upon the completion of the Repurchase. We cannot assure you that either this offering or the Repurchase will be consummated. See the section of this prospectus supplement entitled “Prospectus Summary—Recent Developments—Concurrent Share Repurchase.”</w:t>
      </w:r>
    </w:p>
    <w:p>
      <w:pPr>
        <w:spacing w:after="0" w:line="148" w:lineRule="exact"/>
        <w:rPr>
          <w:sz w:val="24"/>
          <w:szCs w:val="24"/>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Global Select Market (“NASDAQ”) under the symbol “NDAQ.” The last reported sale price of our common stock on July 25, 2024 was $67.26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191135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120" w:right="16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 our Annual Report on Form 10-K for the year ended December 31, 2023, which is incorporated by reference into this prospectus supplement and the accompanying prospectus and the risks beginning on page S-15 of this prospectus supplement.</w:t>
      </w:r>
    </w:p>
    <w:p>
      <w:pPr>
        <w:spacing w:after="0" w:line="174"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2,716,754,717.10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w:t>
            </w:r>
            <w:r>
              <w:rPr>
                <w:rFonts w:ascii="Times New Roman" w:cs="Times New Roman" w:eastAsia="Times New Roman" w:hAnsi="Times New Roman"/>
                <w:sz w:val="25"/>
                <w:szCs w:val="25"/>
                <w:color w:val="auto"/>
                <w:vertAlign w:val="superscript"/>
              </w:rPr>
              <w:t>(1)</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29,955,029.04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w:t>
            </w:r>
          </w:p>
        </w:tc>
        <w:tc>
          <w:tcPr>
            <w:tcW w:w="11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64.58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2,686,799,688.06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the compensation payable to the underwriter.</w:t>
      </w:r>
    </w:p>
    <w:p>
      <w:pPr>
        <w:spacing w:after="0" w:line="194"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July 29, 2024.</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THE PROSPECTUS SUPPLEMENT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4"/>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7180" w:type="dxa"/>
            <w:vAlign w:val="bottom"/>
            <w:gridSpan w:val="7"/>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2"/>
          </w:tcPr>
          <w:p>
            <w:pPr>
              <w:spacing w:after="0"/>
              <w:rPr>
                <w:sz w:val="17"/>
                <w:szCs w:val="17"/>
                <w:color w:val="auto"/>
              </w:rPr>
            </w:pPr>
          </w:p>
        </w:tc>
        <w:tc>
          <w:tcPr>
            <w:tcW w:w="764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NON-U.S. HOLDERS OF COMMON STOCK</w:t>
            </w:r>
          </w:p>
        </w:tc>
        <w:tc>
          <w:tcPr>
            <w:tcW w:w="18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5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561"/>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0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4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PURCHASE CONTRACTS AND PURCHASE UNITS</w:t>
            </w:r>
          </w:p>
        </w:tc>
        <w:tc>
          <w:tcPr>
            <w:tcW w:w="502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806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40" w:type="dxa"/>
            <w:vAlign w:val="bottom"/>
            <w:tcBorders>
              <w:top w:val="single" w:sz="8" w:color="0000EE"/>
            </w:tcBorders>
            <w:gridSpan w:val="2"/>
          </w:tcPr>
          <w:p>
            <w:pPr>
              <w:spacing w:after="0"/>
              <w:rPr>
                <w:sz w:val="17"/>
                <w:szCs w:val="17"/>
                <w:color w:val="auto"/>
              </w:rPr>
            </w:pPr>
          </w:p>
        </w:tc>
        <w:tc>
          <w:tcPr>
            <w:tcW w:w="846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THE PROSPECTUS SUPPLEMENT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was filed with the Securities and Exchange Commission (the “SEC”) using a “shelf” registration process and consists of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This prospectus supplement may add, update or change information contained in the accompanying prospectus. Generally, when we refer to this prospectus, we are referring to both parts of this document combined. In addition, 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If the information contained in this prospectus supplement differs or varies from, or is inconsistent with, the information contained in the accompanying prospectus or the information contained in any document incorporated by reference that was filed with the SEC before the date of this prospectus supplement, you should rely on the information set forth in this prospectus supplement.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Neither we, the selling stockholder nor the underwriter have authorized any other person to provide you with any information other than that contained in or incorporated by reference into this prospectus supplement, the accompanying prospectus or in any free writing prospectus that we have authorized for use in connection with this offering. We, the selling stockholder and the underwriter take no responsibility for, and can provide no assurance as to the reliability of, any other information that others may provide you. Neither we, the selling stockholder nor the underwriter are making an offer to sell securities in any jurisdiction where the offer or sale is not permitted. You should assume the information contained or incorporated by reference in this prospectus supplement and the accompanying prospectus is accurate only as of their respective dates. Our business, financial condition, results of operations and prospects may have changed since those dates.</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the accompanying prospectus and the documents they incorporate by reference in making your investment decision. You should also read and consider the additional information under the caption “Where You Can Find More Information” in this prospectus supplement and the accompanying prospectus.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should not consider this prospectus supplement or the accompanying prospectus to be an offer or solicitation relating to the securities in any jurisdiction in which such an offer or solicitation relating to the securities is not authorized.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or the accompanying prospectus by any person in any jurisdiction if the person making the offer or solicitation is not qualified to do so, or if it is unlawful for you to receive such an offer or solicitation.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supplement, unless otherwise specified:</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the “Company,” “we,” “us” and “our” refer to Nasdaq, Inc.</w:t>
      </w:r>
    </w:p>
    <w:p>
      <w:pPr>
        <w:spacing w:after="0" w:line="130" w:lineRule="exact"/>
        <w:rPr>
          <w:rFonts w:ascii="Times New Roman" w:cs="Times New Roman" w:eastAsia="Times New Roman" w:hAnsi="Times New Roman"/>
          <w:sz w:val="18"/>
          <w:szCs w:val="18"/>
          <w:color w:val="auto"/>
        </w:rPr>
      </w:pPr>
    </w:p>
    <w:p>
      <w:pPr>
        <w:ind w:left="5500" w:right="2760" w:hanging="4844"/>
        <w:spacing w:after="0" w:line="454" w:lineRule="auto"/>
        <w:tabs>
          <w:tab w:leader="none" w:pos="10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Baltic” refers to collectively, Nasdaq Tallinn AS, Nasdaq Riga, AS and AB Nasdaq Vilnius. 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Clearing” refers to the clearing operations conducted by Nasdaq Clearing AB.</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Nordic” refers to collectively, Nasdaq Clearing AB, Nasdaq Stockholm AB, Nasdaq Copenhagen A/S, Nasdaq Helsinki Ltd and Nasdaq Iceland hf.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refers to the cash equity exchange operated by The Nasdaq Stock Market LLC.</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documents incorporated by reference herein and therein may include forward-looking statements within the meaning of Section 27A of the Securities Act of 1933, as amended (the “Securities Act”) and Section 21E of the Securities Exchange Act of 1934, as amended (the “Exchange Act”). We intend that the “safe harbor” provisions of the Private Securities Litigation Reform Act of 1995 apply to these forward-looking statements. Forward-looking statements are not statements of historical fact but rather reflect our current expectations, estimates and predictions about future results and events.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7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direction, including changes to our corporate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acquired businesses, including accounting decisions relating thereto;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or impact of acquisitions, divestitures, investments, joint ventures or other transactional activities;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dates for, and expected benefits of, ongoing initiatives, including transactional activities and other strategic, restructuring, technology, Environmental, Social and Governance (“ESG”) matters, de-leveraging and capital return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liquidity and capital;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any regulatory or government investigation or action, to which we are or could become a party or which may affect us and any potential settlements of litigation, regulatory or governmental investigations or actions.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risks and uncertainties. Factors that could cause actual results to differ materially from those contemplated by the forward-looking statements include, among others, the following:</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lower than expected;</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trading and clearing volumes or values, fees, market share, listed companies, market data customers or other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grow our non-trading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up with rapid technological advances, including our ability to effectively manage the development and use of artificial intelligence in certain of our products and offerings, and adequately address cybersecurity risks;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and fluctuations, including inflation, interest rate and foreign currency risk inherent in U.S. and international operations, and geopolitical instability;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our technology and technology of third parties on which we rely;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systems failures or errors in our operational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cash and manage our indebtedness;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that may occur in the litigation or regulatory areas, or in the securities markets generally, or increased regulatory oversight domestically or internationally.</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Most of these factors are difficult to predict accurately and are generally beyond our control. You should consider the uncertainty and any risk related to forward-looking statements that we make. The above list of risks and uncertainties is only a summary of some of the most important factors and is not intended to be exhaustive. You should carefully review the risks and information contained, or incorporated by reference, in this prospectus supplement or the accompanying prospectus, including, without limitation, those risk factors discussed under the caption “Part I. Item 1A. Risk Factors,” in our Annual Report on Form 10-K for the fiscal year ended December 31, 2023 that was filed with the SEC on February 21, 2024 and in any reports subsequently filed with the SEC. New factors that are not currently known to us or of which we are currently unaware may also emerge from time to time that could materially and adversely affect us. You are cautioned not to place undue reliance on these forward-looking statements, which speak only as of the date of this prospectus supplement or the accompanying prospectus.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82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the information contained elsewhere, or incorporated by reference, in this prospectus supplement. Because this is only a summary, it does not contain all of the information that may be important to you. For a more complete understanding of this offering, we encourage you to read this entire prospectus supplement, the accompanying prospectus and the documents to which we refer you. You should read the following summary together with the more detailed information and consolidated financial statements and the notes to those statements included elsewhere in this prospectus supplement and the accompanying prospectus and incorporated by reference herein.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three business segments: Capital Access Platforms, Financial Technology and Market Services.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Access Platforms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Capital Access Platforms segment comprises Data &amp; Listing Services, Index and Workflow &amp; Insights.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Data &amp; Listing Services</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Data business distributes historical and real-time market data to sell-side customers, the institutional investing community, retail online brokers, proprietary trading firms and other venues, as well as internet portals and data distributors. Our data products can enhance the transparency of market activity within our exchanges and provide critical information to professional and non-professional investors globally.</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Listing Services business operates listing platforms in the U.S. and Europe to provide multiple global capital raising solutions for public companies. Our main listing markets are The Nasdaq Stock Market and the Nasdaq Nordic and Nasdaq Baltic exchanges. Through Nasdaq First North, our Nordic and Baltic operations also offer alternative marketplaces for smaller companies and growth companies.</w:t>
      </w:r>
    </w:p>
    <w:p>
      <w:pPr>
        <w:spacing w:after="0" w:line="176"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As of March 31, 2024, a total of 5,223 companies listed securities on our U.S., Nasdaq Nordic, Nasdaq Baltic and Nasdaq First North exchanges. As of March 31, 2024, there were 4,020 total listings on The Nasdaq Stock Market, including 619 exchange traded products (“ETPs”). As of March 31, 2024, the combined market capitalization in the U.S. was approximately $29.4 trillion. As of March 31, 2024, in Europe, the Nasdaq Nordic and Nasdaq Baltic exchanges, together with Nasdaq First North, were home to 1,203 listed companies with a combined market capitalization of approximately $2.2 trillion.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Index</w:t>
      </w:r>
    </w:p>
    <w:p>
      <w:pPr>
        <w:spacing w:after="0" w:line="119"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Our Index business develops and licenses Nasdaq-branded indices and financial products. We also license cash-settled options, futures and options on futures on our indices. As of March 31, 2024, 361 ETPs listed on 27 exchanges in over 20 countries tracked a Nasdaq index and accounted for $519 billion in assets under management.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Workflow &amp; Insights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Workflow &amp; Insights includes our analytics and corporate solutions businesses.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analytics business provides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spacing w:after="0" w:line="183"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Through our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Nasdaq Data Link are additional platforms in our suite of investment data analytics offerings and data management tools.</w:t>
      </w:r>
    </w:p>
    <w:p>
      <w:pPr>
        <w:spacing w:after="0" w:line="180"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corporate solutions business serves both public and private companies and organizations through our Investor Relations Intelligence, ESG Solutions and Governance Solutions products.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ability to understand and expand their global shareholder base, improve corporate governance, and navigate the evolving ESG landscape through our suite of advanced technology, analytics, reporting and consulting services.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Technology</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Our Financial Technology segment comprises Financial Crime Management Technology, Regulatory Technology and Capital Markets Technology solutions.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Financial Crime Management Technology</w:t>
      </w:r>
    </w:p>
    <w:p>
      <w:pPr>
        <w:spacing w:after="0" w:line="119" w:lineRule="exact"/>
        <w:rPr>
          <w:sz w:val="20"/>
          <w:szCs w:val="20"/>
          <w:color w:val="auto"/>
        </w:rPr>
      </w:pPr>
    </w:p>
    <w:p>
      <w:pPr>
        <w:ind w:left="300" w:right="720" w:firstLine="426"/>
        <w:spacing w:after="0" w:line="282" w:lineRule="auto"/>
        <w:rPr>
          <w:sz w:val="20"/>
          <w:szCs w:val="20"/>
          <w:color w:val="auto"/>
        </w:rPr>
      </w:pPr>
      <w:r>
        <w:rPr>
          <w:rFonts w:ascii="Times New Roman" w:cs="Times New Roman" w:eastAsia="Times New Roman" w:hAnsi="Times New Roman"/>
          <w:sz w:val="18"/>
          <w:szCs w:val="18"/>
          <w:color w:val="auto"/>
        </w:rPr>
        <w:t>Financial Crime Management Technology includes our Verafin solution, a cloud-based platform to help financial institutions detect, investigate, and report money laundering and financial fraud.</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Regulatory Technology</w:t>
      </w:r>
    </w:p>
    <w:p>
      <w:pPr>
        <w:spacing w:after="0" w:line="11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Regulatory Technology comprises our surveillance and AxiomSL solutions. Our surveillance solutions are designed for banks, brokers and other market participants to assist them in complying with market abuse and integrity rules and regulations. In addition, we provide regulators and exchanges with a platform for surveillance. 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AxiomSL’s platform supports compliance across a wide range of global and local regulations.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Capital Markets Technology</w:t>
      </w:r>
    </w:p>
    <w:p>
      <w:pPr>
        <w:spacing w:after="0" w:line="11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Capital Markets Technology includes market technology, trade management services and Calypso. Our market technology business is a leading global technology solutions provider and partner to exchanges, clearing organizations, central securities depositories, regulators, banks, brokers, buy-side firms and corporate businesses. Our market technology solutions are utilized by leading markets in North America, Europe and Asia as well as emerging markets in the Middle East, Latin America, and Africa. Our trade management services provide market participants with a wide variety of alternatives for connecting to and accessing our markets for a fee. Our marketplaces may be accessed via a number of different protocols used for quoting, order entry, trade reporting and connectivity to various data feeds. We also provide colocation services to market participants, whereby we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offer firms cabinet space and power to house their own equipment and servers within our data centers. Additionally, we offer a number of wireless connectivity offerings between select data centers using millimeter wave and microwave technology. Calypso is a leading provider of front-to-back technology solutions for the financial markets. The Calypso platform provides customers with a single platform designed from the outset to enable consolidation, innovation and growth.</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Market Services segment includes revenues from equity derivatives trading, cash equity trading, Nordic fixed income trading &amp; clearing, Nordic commodities and U.S. Tape plans data. We operate 19 exchanges across several asset classes, including derivatives, commodities, cash equity, debt, structured products and ETPs. In addition, in certain countries where we operate exchanges, we also provide clearing, settlement and central depository services.</w:t>
      </w:r>
    </w:p>
    <w:p>
      <w:pPr>
        <w:spacing w:after="0" w:line="180"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incorporated in Delaware. Our executive offices are located at 151 W. 42nd Street, New York, New York, 10036 and our telephone number is (212) 401-8700. Our web site is http://www.nasdaq.com. Information contained on our web site is not incorporated by reference into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Concurrent Share Repurchase</w:t>
      </w:r>
    </w:p>
    <w:p>
      <w:pPr>
        <w:spacing w:after="0" w:line="11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July 25, 2024, we entered into a stock repurchase agreement with the selling stockholder pursuant to which we have agreed to purchase 1,200,000 shares of common stock from the selling stockholder at a price per share equal to the price per share to be paid by the underwriter to the selling stockholder, as part of our existing stock repurchase program (the “Repurchase”). Closing of the Repurchase is conditioned on, and is expected to occur immediately after, the completion of this offering and is subject to other customary closing conditions. Any shares bought in the Repurchase will thereafter cease to be outstanding and will be retained as treasury shares or cancelled. We currently intend to use cash on hand, together with borrowings under our commercial paper program, to fund the Repurchase. The terms of the Repurchase were approved by the audit and risk committee of our board of directors, comprised of independent and disinterested directors. The Repurchase will be made under our existing share repurchase program and will reduce the remaining amount available for purchase. Subject to the closing of the offering, we will have repurchased an aggregate of approximately 2,344,609 shares of common stock in 2024.</w:t>
      </w:r>
    </w:p>
    <w:p>
      <w:pPr>
        <w:spacing w:after="0" w:line="188"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description of, and the other information in this prospectus supplement regarding, the Repurchase are included in this prospectus supplement for informational purposes only. Nothing in this prospectus supplement should be construed as an offer to sell, or the solicitation of an offer to buy, any of our common stock subject to the Repurchase. The completion of this offering is not conditioned upon the completion of the Repurchase. We cannot assure you that this offering or the Repurchase will be consummated.</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4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Preliminary Unaudited Results for the Three-Month Period Ended June 30, 2024</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On July 25, 2024, Nasdaq announced the following preliminary results for the second quarter of 2024. References to “Nasdaq” in this section are referring to Nasdaq, Inc. on a consolidated basis with its subsidiaries.</w:t>
      </w:r>
    </w:p>
    <w:p>
      <w:pPr>
        <w:spacing w:after="0" w:line="182" w:lineRule="exact"/>
        <w:rPr>
          <w:sz w:val="20"/>
          <w:szCs w:val="20"/>
          <w:color w:val="auto"/>
        </w:rPr>
      </w:pPr>
    </w:p>
    <w:tbl>
      <w:tblPr>
        <w:tblLayout w:type="fixed"/>
        <w:tblInd w:w="2000" w:type="dxa"/>
        <w:tblCellMar>
          <w:top w:w="0" w:type="dxa"/>
          <w:left w:w="0" w:type="dxa"/>
          <w:bottom w:w="0" w:type="dxa"/>
          <w:right w:w="0" w:type="dxa"/>
        </w:tblCellMar>
      </w:tblPr>
      <w:tr>
        <w:trPr>
          <w:trHeight w:val="193"/>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millions, except per share)</w:t>
            </w:r>
          </w:p>
        </w:tc>
        <w:tc>
          <w:tcPr>
            <w:tcW w:w="2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2Q24</w:t>
            </w: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Solutions Revenues</w:t>
            </w: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Services Net Revenues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1,159</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Diluted EPS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0.69</w:t>
            </w:r>
          </w:p>
        </w:tc>
      </w:tr>
    </w:tbl>
    <w:p>
      <w:pPr>
        <w:spacing w:after="0" w:line="198"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foregoing is only a summary and is not intended to be a comprehensive statement of our financial results. Complete financial statements as of and for the period ended June 30, 2024 will be included in our Quarterly Report on Form 10-Q to be filed with the SEC.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Business and Financial Information Used by the Company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Nasdaq presents certain financial information, which includes non-GAAP measures, including, but not limited to non-GAAP operating income, non-GAAP operating margin, non-GAAP net income attributable to Nasdaq, non-GAAP diluted earnings per share, free cash flow and free cash flow conversion, that include certain adjustments or exclude certain charges and gains that are described in the reconciliation table of U.S. GAAP to non-GAAP information provided at the end of this section.</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Non-GAAP operating margin is defined as non-GAAP operating income divided by revenues less transaction-based expenses. Free cash flow is defined as cash flow from operations less capital expenditures excluding Section 31 fees, net, and for 2021 excludes certain Verafin structuring items. Free cash flow conversion is calculated by dividing free cash flow by non-GAAP net income attributable to Nasdaq.</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results as the items described below in the reconciliation table do not reflect ongoing operating performance.</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These measures are not in accordance with, or an alternative to, U.S. GAAP, and may be different from non-GAAP measures used by other companies. In addition, other companies, including companies in our industry, may calculate such measures differently, which reduces its usefulness as a comparative measure. Investors should not rely on any single financial measure when evaluating our business. This information should be considered as supplemental in nature and is not meant as a substitute for our operating results in accordance with U.S. GAAP. We recommend investors review the U.S. GAAP financial measures included in this prospectus supplement. When viewed in conjunction with our U.S. GAAP results and the accompanying reconciliations, we believe these non-GAAP measures provide greater transparency and a more complete understanding of factors affecting our business than U.S. GAAP measures alone.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470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1470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We understand that analysts and investors regularly rely on non-GAAP financial measures to assess operating performance. We use these measures because they highlight trends more clearly in our business that may not otherwise be apparent when relying solely on U.S. GAAP financial measures, since these measures eliminate from our results specific financial items that have less bearing on our ongoing operating performance.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Foreign exchange impact: In countries with currencies other than the U.S. dollar, revenues and expenses are translated using monthly average exchange rates. Certain discussions in this prospectus supplement isolate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8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Reconciliation of Certain U.S. GAAP to Non-GAAP Financial Measures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Income to Non-GAAP Net Income (as adjusted) (unaudited)</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5"/>
              </w:rPr>
              <w:t>Nasdaq</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w:t>
            </w:r>
          </w:p>
        </w:tc>
        <w:tc>
          <w:tcPr>
            <w:tcW w:w="4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w:t>
            </w:r>
          </w:p>
        </w:tc>
        <w:tc>
          <w:tcPr>
            <w:tcW w:w="7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Adenza</w:t>
            </w:r>
          </w:p>
        </w:tc>
        <w:tc>
          <w:tcPr>
            <w:tcW w:w="340" w:type="dxa"/>
            <w:vAlign w:val="bottom"/>
          </w:tcPr>
          <w:p>
            <w:pPr>
              <w:spacing w:after="0"/>
              <w:rPr>
                <w:sz w:val="11"/>
                <w:szCs w:val="11"/>
                <w:color w:val="auto"/>
              </w:rPr>
            </w:pPr>
          </w:p>
        </w:tc>
        <w:tc>
          <w:tcPr>
            <w:tcW w:w="9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Nasdaq</w:t>
            </w:r>
          </w:p>
        </w:tc>
        <w:tc>
          <w:tcPr>
            <w:tcW w:w="8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Non-GAAP</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Adenza</w:t>
            </w:r>
          </w:p>
        </w:tc>
        <w:tc>
          <w:tcPr>
            <w:tcW w:w="4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Adjusted</w:t>
            </w:r>
          </w:p>
        </w:tc>
        <w:tc>
          <w:tcPr>
            <w:tcW w:w="60" w:type="dxa"/>
            <w:vAlign w:val="bottom"/>
          </w:tcPr>
          <w:p>
            <w:pPr>
              <w:spacing w:after="0"/>
              <w:rPr>
                <w:sz w:val="11"/>
                <w:szCs w:val="11"/>
                <w:color w:val="auto"/>
              </w:rPr>
            </w:pPr>
          </w:p>
        </w:tc>
        <w:tc>
          <w:tcPr>
            <w:tcW w:w="50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Adjusted</w:t>
            </w:r>
          </w:p>
        </w:tc>
        <w:tc>
          <w:tcPr>
            <w:tcW w:w="0" w:type="dxa"/>
            <w:vAlign w:val="bottom"/>
          </w:tcPr>
          <w:p>
            <w:pPr>
              <w:spacing w:after="0"/>
              <w:rPr>
                <w:sz w:val="1"/>
                <w:szCs w:val="1"/>
                <w:color w:val="auto"/>
              </w:rPr>
            </w:pPr>
          </w:p>
        </w:tc>
      </w:tr>
      <w:tr>
        <w:trPr>
          <w:trHeight w:val="155"/>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(US $ millions, except per</w:t>
            </w:r>
          </w:p>
        </w:tc>
        <w:tc>
          <w:tcPr>
            <w:tcW w:w="4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2Q24</w:t>
            </w:r>
          </w:p>
        </w:tc>
        <w:tc>
          <w:tcPr>
            <w:tcW w:w="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2Q23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1"/>
              </w:rPr>
              <w:t>Historical</w:t>
            </w: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2Q23</w:t>
            </w:r>
          </w:p>
        </w:tc>
        <w:tc>
          <w:tcPr>
            <w:tcW w:w="4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2Q23</w:t>
            </w:r>
          </w:p>
        </w:tc>
        <w:tc>
          <w:tcPr>
            <w:tcW w:w="60" w:type="dxa"/>
            <w:vAlign w:val="bottom"/>
          </w:tcPr>
          <w:p>
            <w:pPr>
              <w:spacing w:after="0"/>
              <w:rPr>
                <w:sz w:val="13"/>
                <w:szCs w:val="13"/>
                <w:color w:val="auto"/>
              </w:rPr>
            </w:pPr>
          </w:p>
        </w:tc>
        <w:tc>
          <w:tcPr>
            <w:tcW w:w="92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 xml:space="preserve">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          </w:t>
            </w:r>
          </w:p>
        </w:tc>
        <w:tc>
          <w:tcPr>
            <w:tcW w:w="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80"/>
              </w:rPr>
              <w:t>FX</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 xml:space="preserve">$ </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Capital Access Platforms</w:t>
            </w:r>
          </w:p>
        </w:tc>
        <w:tc>
          <w:tcPr>
            <w:tcW w:w="5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481</w:t>
            </w:r>
          </w:p>
        </w:tc>
        <w:tc>
          <w:tcPr>
            <w:tcW w:w="1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   438</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  — </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24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Financial Crime Management</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0"/>
                <w:szCs w:val="10"/>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0"/>
                <w:szCs w:val="10"/>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Technology</w:t>
            </w: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Regulatory Technology</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2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Capital Markets Technology</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Technology</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Solutions Revenues</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901</w:t>
            </w: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 Services, net revenues</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revenues (divestitures)</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2"/>
                <w:szCs w:val="12"/>
                <w:color w:val="auto"/>
              </w:rPr>
            </w:pPr>
          </w:p>
        </w:tc>
        <w:tc>
          <w:tcPr>
            <w:tcW w:w="5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7"/>
              </w:rPr>
              <w:t>(20)%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Revenues, net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9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developed</w:t>
            </w:r>
          </w:p>
        </w:tc>
        <w:tc>
          <w:tcPr>
            <w:tcW w:w="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12"/>
                <w:szCs w:val="12"/>
                <w:color w:val="auto"/>
              </w:rPr>
            </w:pPr>
          </w:p>
        </w:tc>
        <w:tc>
          <w:tcPr>
            <w:tcW w:w="34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(a) (b) (c) (d)</w:t>
            </w:r>
          </w:p>
        </w:tc>
        <w:tc>
          <w:tcPr>
            <w:tcW w:w="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foreign currency transactions</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Operating margin</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reclassifications were made to conform to Adenza historical financials to Nasdaq income statement.</w:t>
      </w:r>
    </w:p>
    <w:p>
      <w:pPr>
        <w:ind w:left="720" w:hanging="422"/>
        <w:spacing w:after="0" w:line="226"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$28 million of Cost of sales to Operating expenses</w:t>
      </w:r>
    </w:p>
    <w:p>
      <w:pPr>
        <w:ind w:left="720" w:hanging="422"/>
        <w:spacing w:after="0" w:line="221"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$16 million of Amortization of developed technology to Operating expenses</w:t>
      </w:r>
    </w:p>
    <w:p>
      <w:pPr>
        <w:ind w:left="720" w:hanging="422"/>
        <w:spacing w:after="0" w:line="221"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$3 million of Gain on foreign currency transactions to Operating expenses</w:t>
      </w:r>
    </w:p>
    <w:p>
      <w:pPr>
        <w:ind w:left="720" w:hanging="422"/>
        <w:spacing w:after="0" w:line="221"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 million of Other income to Operating expenses</w:t>
      </w:r>
    </w:p>
    <w:p>
      <w:pPr>
        <w:ind w:left="720" w:right="320" w:hanging="422"/>
        <w:spacing w:after="0" w:line="239"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the Operating expenses line to exclude Adenza’s historical amortization of acquired intangible assets of $39 million and exclude Adenza’s transaction costs and re-organization costs of $6 million from GAAP operating expenses:</w:t>
      </w:r>
    </w:p>
    <w:p>
      <w:pPr>
        <w:spacing w:after="0" w:line="20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Acquired intangible asset amortization adjustment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Merger/restructuring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Net impact on Operating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 (unaudited)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9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6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i w:val="1"/>
                <w:iCs w:val="1"/>
                <w:color w:val="auto"/>
              </w:rPr>
              <w:t>(U.S. $ in millions)</w:t>
            </w:r>
          </w:p>
        </w:tc>
        <w:tc>
          <w:tcPr>
            <w:tcW w:w="96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2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18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 less capital expenditures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Verafin structuring items</w:t>
            </w:r>
            <w:r>
              <w:rPr>
                <w:rFonts w:ascii="Times New Roman" w:cs="Times New Roman" w:eastAsia="Times New Roman" w:hAnsi="Times New Roman"/>
                <w:sz w:val="25"/>
                <w:szCs w:val="25"/>
                <w:color w:val="auto"/>
                <w:vertAlign w:val="superscript"/>
              </w:rPr>
              <w:t>(1)</w:t>
            </w:r>
          </w:p>
        </w:tc>
        <w:tc>
          <w:tcPr>
            <w:tcW w:w="9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Section 31 fees, net</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926</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20"/>
                <w:szCs w:val="20"/>
                <w:color w:val="auto"/>
              </w:rPr>
            </w:pPr>
          </w:p>
        </w:tc>
      </w:tr>
      <w:tr>
        <w:trPr>
          <w:trHeight w:val="150"/>
        </w:trPr>
        <w:tc>
          <w:tcPr>
            <w:tcW w:w="18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1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S-10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04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Free cash flow</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(U.S. $ in millions)</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CEEFF"/>
            </w:tcBorders>
          </w:tcPr>
          <w:p>
            <w:pPr>
              <w:spacing w:after="0"/>
              <w:rPr>
                <w:sz w:val="12"/>
                <w:szCs w:val="12"/>
                <w:color w:val="auto"/>
              </w:rPr>
            </w:pPr>
          </w:p>
        </w:tc>
      </w:tr>
      <w:tr>
        <w:trPr>
          <w:trHeight w:val="174"/>
        </w:trPr>
        <w:tc>
          <w:tcPr>
            <w:tcW w:w="52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Nasdaq</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797</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670</w:t>
            </w:r>
          </w:p>
        </w:tc>
        <w:tc>
          <w:tcPr>
            <w:tcW w:w="200" w:type="dxa"/>
            <w:vAlign w:val="bottom"/>
            <w:shd w:val="clear" w:color="auto" w:fill="CCEEFF"/>
          </w:tcPr>
          <w:p>
            <w:pPr>
              <w:spacing w:after="0"/>
              <w:rPr>
                <w:sz w:val="20"/>
                <w:szCs w:val="20"/>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conversion</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48"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 tax payment of $221 million and a purchase price holdback escrow of $102 million.</w:t>
      </w:r>
    </w:p>
    <w:p>
      <w:pPr>
        <w:spacing w:after="0" w:line="27" w:lineRule="exact"/>
        <w:rPr>
          <w:rFonts w:ascii="Times New Roman" w:cs="Times New Roman" w:eastAsia="Times New Roman" w:hAnsi="Times New Roman"/>
          <w:sz w:val="18"/>
          <w:szCs w:val="18"/>
          <w:color w:val="auto"/>
        </w:rPr>
      </w:pPr>
    </w:p>
    <w:p>
      <w:pPr>
        <w:ind w:left="720" w:right="580" w:hanging="422"/>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change in Section 31 fees receivables of $1 million in 2017; $(10) million in 2018; $9 million in 2019; $35 million in 2020; $(56) million in 2021; $79 million in 2022 and $(68) million in 2023.</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Operating Income to Non-GAAP Operating Income (unaudited)</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(U.S. $ in millions)</w:t>
            </w:r>
          </w:p>
        </w:tc>
        <w:tc>
          <w:tcPr>
            <w:tcW w:w="1020" w:type="dxa"/>
            <w:vAlign w:val="bottom"/>
          </w:tcPr>
          <w:p>
            <w:pPr>
              <w:spacing w:after="0"/>
              <w:rPr>
                <w:sz w:val="15"/>
                <w:szCs w:val="15"/>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2Q24</w:t>
            </w:r>
          </w:p>
        </w:tc>
        <w:tc>
          <w:tcPr>
            <w:tcW w:w="16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2Q23</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Pr>
          <w:p>
            <w:pPr>
              <w:spacing w:after="0"/>
              <w:rPr>
                <w:sz w:val="15"/>
                <w:szCs w:val="15"/>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operating income</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$382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expense of acquired intangible assets</w:t>
            </w:r>
            <w:r>
              <w:rPr>
                <w:rFonts w:ascii="Times New Roman" w:cs="Times New Roman" w:eastAsia="Times New Roman" w:hAnsi="Times New Roman"/>
                <w:sz w:val="25"/>
                <w:szCs w:val="25"/>
                <w:color w:val="auto"/>
                <w:vertAlign w:val="superscript"/>
              </w:rPr>
              <w:t>(1)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Merger and strategic initiatives expense</w:t>
            </w:r>
            <w:r>
              <w:rPr>
                <w:rFonts w:ascii="Times New Roman" w:cs="Times New Roman" w:eastAsia="Times New Roman" w:hAnsi="Times New Roman"/>
                <w:sz w:val="25"/>
                <w:szCs w:val="25"/>
                <w:color w:val="auto"/>
                <w:vertAlign w:val="superscript"/>
              </w:rPr>
              <w:t>(2)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Lease asset impairments</w:t>
            </w:r>
            <w:r>
              <w:rPr>
                <w:rFonts w:ascii="Times New Roman" w:cs="Times New Roman" w:eastAsia="Times New Roman" w:hAnsi="Times New Roman"/>
                <w:sz w:val="25"/>
                <w:szCs w:val="25"/>
                <w:color w:val="auto"/>
                <w:vertAlign w:val="superscript"/>
              </w:rPr>
              <w:t>(4)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Extinguishment of debt</w:t>
            </w:r>
            <w:r>
              <w:rPr>
                <w:rFonts w:ascii="Times New Roman" w:cs="Times New Roman" w:eastAsia="Times New Roman" w:hAnsi="Times New Roman"/>
                <w:sz w:val="25"/>
                <w:szCs w:val="25"/>
                <w:color w:val="auto"/>
                <w:vertAlign w:val="superscript"/>
              </w:rPr>
              <w:t>(7)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Legal and regulatory matters</w:t>
            </w:r>
            <w:r>
              <w:rPr>
                <w:rFonts w:ascii="Times New Roman" w:cs="Times New Roman" w:eastAsia="Times New Roman" w:hAnsi="Times New Roman"/>
                <w:sz w:val="25"/>
                <w:szCs w:val="25"/>
                <w:color w:val="auto"/>
                <w:vertAlign w:val="superscript"/>
              </w:rPr>
              <w:t>(8)</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Pension settlement charge</w:t>
            </w:r>
            <w:r>
              <w:rPr>
                <w:rFonts w:ascii="Times New Roman" w:cs="Times New Roman" w:eastAsia="Times New Roman" w:hAnsi="Times New Roman"/>
                <w:sz w:val="25"/>
                <w:szCs w:val="25"/>
                <w:color w:val="auto"/>
                <w:vertAlign w:val="superscript"/>
              </w:rPr>
              <w:t>(10)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(14)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non-GAAP adjustments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$484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$1,861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1,140</w:t>
            </w:r>
          </w:p>
        </w:tc>
        <w:tc>
          <w:tcPr>
            <w:tcW w:w="20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1,159</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2,411</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U.S. GAAP operating margin</w:t>
            </w:r>
            <w:r>
              <w:rPr>
                <w:rFonts w:ascii="Times New Roman" w:cs="Times New Roman" w:eastAsia="Times New Roman" w:hAnsi="Times New Roman"/>
                <w:sz w:val="25"/>
                <w:szCs w:val="25"/>
                <w:color w:val="auto"/>
                <w:vertAlign w:val="superscript"/>
              </w:rPr>
              <w:t>(A)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Non-GAAP operating margin</w:t>
            </w:r>
            <w:r>
              <w:rPr>
                <w:rFonts w:ascii="Times New Roman" w:cs="Times New Roman" w:eastAsia="Times New Roman" w:hAnsi="Times New Roman"/>
                <w:sz w:val="25"/>
                <w:szCs w:val="25"/>
                <w:color w:val="auto"/>
                <w:vertAlign w:val="superscript"/>
              </w:rPr>
              <w:t>(B)</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bl>
    <w:p>
      <w:pPr>
        <w:spacing w:after="0" w:line="184" w:lineRule="exact"/>
        <w:rPr>
          <w:sz w:val="20"/>
          <w:szCs w:val="20"/>
          <w:color w:val="auto"/>
        </w:rPr>
      </w:pPr>
    </w:p>
    <w:p>
      <w:pPr>
        <w:ind w:left="720" w:hanging="422"/>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operating margin equals U.S. GAAP operating income divided by revenues less transaction-based expenses.</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margin equals non-GAAP operating income divided by revenues less transaction-based expenses.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Operating Expenses to Non-GAAP Operating Expenses (unaudited)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(U.S. $ in millions)</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2Q24</w:t>
            </w:r>
          </w:p>
        </w:tc>
        <w:tc>
          <w:tcPr>
            <w:tcW w:w="202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2Q23</w:t>
            </w:r>
          </w:p>
        </w:tc>
      </w:tr>
      <w:tr>
        <w:trPr>
          <w:trHeight w:val="210"/>
        </w:trPr>
        <w:tc>
          <w:tcPr>
            <w:tcW w:w="146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operating expenses</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$ 736</w:t>
            </w:r>
          </w:p>
        </w:tc>
        <w:tc>
          <w:tcPr>
            <w:tcW w:w="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$ 543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expense of acquired intangible assets</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Merger and strategic initiatives expenses</w:t>
            </w:r>
            <w:r>
              <w:rPr>
                <w:rFonts w:ascii="Times New Roman" w:cs="Times New Roman" w:eastAsia="Times New Roman" w:hAnsi="Times New Roman"/>
                <w:sz w:val="25"/>
                <w:szCs w:val="25"/>
                <w:color w:val="auto"/>
                <w:vertAlign w:val="superscript"/>
              </w:rPr>
              <w:t>(2)</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(3)</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Lease asset impairments</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Extinguishment of debt</w:t>
            </w:r>
            <w:r>
              <w:rPr>
                <w:rFonts w:ascii="Times New Roman" w:cs="Times New Roman" w:eastAsia="Times New Roman" w:hAnsi="Times New Roman"/>
                <w:sz w:val="25"/>
                <w:szCs w:val="25"/>
                <w:color w:val="auto"/>
                <w:vertAlign w:val="superscript"/>
              </w:rPr>
              <w:t>(7)</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Legal and regulatory matters</w:t>
            </w:r>
            <w:r>
              <w:rPr>
                <w:rFonts w:ascii="Times New Roman" w:cs="Times New Roman" w:eastAsia="Times New Roman" w:hAnsi="Times New Roman"/>
                <w:sz w:val="25"/>
                <w:szCs w:val="25"/>
                <w:color w:val="auto"/>
                <w:vertAlign w:val="superscript"/>
              </w:rPr>
              <w:t>(8)</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Pension settlement charge</w:t>
            </w:r>
            <w:r>
              <w:rPr>
                <w:rFonts w:ascii="Times New Roman" w:cs="Times New Roman" w:eastAsia="Times New Roman" w:hAnsi="Times New Roman"/>
                <w:sz w:val="25"/>
                <w:szCs w:val="25"/>
                <w:color w:val="auto"/>
                <w:vertAlign w:val="superscript"/>
              </w:rPr>
              <w:t>(10)</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5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(14)</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non-GAAP adjustments</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(197)</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tcPr>
          <w:p>
            <w:pPr>
              <w:spacing w:after="0"/>
              <w:rPr>
                <w:sz w:val="18"/>
                <w:szCs w:val="18"/>
                <w:color w:val="auto"/>
              </w:rPr>
            </w:pPr>
          </w:p>
        </w:tc>
      </w:tr>
      <w:tr>
        <w:trPr>
          <w:trHeight w:val="232"/>
        </w:trPr>
        <w:tc>
          <w:tcPr>
            <w:tcW w:w="14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$ 539</w:t>
            </w:r>
          </w:p>
        </w:tc>
        <w:tc>
          <w:tcPr>
            <w:tcW w:w="560" w:type="dxa"/>
            <w:vAlign w:val="bottom"/>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$ 441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50"/>
        </w:trPr>
        <w:tc>
          <w:tcPr>
            <w:tcW w:w="1460" w:type="dxa"/>
            <w:vAlign w:val="bottom"/>
            <w:tcBorders>
              <w:bottom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361"/>
        </w:trPr>
        <w:tc>
          <w:tcPr>
            <w:tcW w:w="1460" w:type="dxa"/>
            <w:vAlign w:val="bottom"/>
          </w:tcPr>
          <w:p>
            <w:pPr>
              <w:spacing w:after="0"/>
              <w:rPr>
                <w:sz w:val="24"/>
                <w:szCs w:val="24"/>
                <w:color w:val="auto"/>
              </w:rPr>
            </w:pPr>
          </w:p>
        </w:tc>
        <w:tc>
          <w:tcPr>
            <w:tcW w:w="656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S-11</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6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Income to Non-GAAP Net Income (unaudited)</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 in millions, except per share data)</w:t>
            </w:r>
          </w:p>
        </w:tc>
        <w:tc>
          <w:tcPr>
            <w:tcW w:w="32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2Q24</w:t>
            </w:r>
          </w:p>
        </w:tc>
        <w:tc>
          <w:tcPr>
            <w:tcW w:w="60" w:type="dxa"/>
            <w:vAlign w:val="bottom"/>
          </w:tcPr>
          <w:p>
            <w:pPr>
              <w:spacing w:after="0"/>
              <w:rPr>
                <w:sz w:val="15"/>
                <w:szCs w:val="15"/>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2Q23</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GAAP net income attributable to Nasdaq</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222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267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1,059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85"/>
              </w:rPr>
              <w:t>729</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Non-GAAP adjustments: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expense of acquired intangible assets</w:t>
            </w:r>
            <w:r>
              <w:rPr>
                <w:rFonts w:ascii="Times New Roman" w:cs="Times New Roman" w:eastAsia="Times New Roman" w:hAnsi="Times New Roman"/>
                <w:sz w:val="10"/>
                <w:szCs w:val="10"/>
                <w:color w:val="auto"/>
              </w:rPr>
              <w:t>(1)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122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Merger and strategic initiatives expense</w:t>
            </w:r>
            <w:r>
              <w:rPr>
                <w:rFonts w:ascii="Times New Roman" w:cs="Times New Roman" w:eastAsia="Times New Roman" w:hAnsi="Times New Roman"/>
                <w:sz w:val="10"/>
                <w:szCs w:val="10"/>
                <w:color w:val="auto"/>
              </w:rPr>
              <w:t>(2)</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0"/>
                <w:szCs w:val="10"/>
                <w:color w:val="auto"/>
              </w:rPr>
              <w:t>(3)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Lease asset impairments</w:t>
            </w:r>
            <w:r>
              <w:rPr>
                <w:rFonts w:ascii="Times New Roman" w:cs="Times New Roman" w:eastAsia="Times New Roman" w:hAnsi="Times New Roman"/>
                <w:sz w:val="10"/>
                <w:szCs w:val="10"/>
                <w:color w:val="auto"/>
              </w:rPr>
              <w:t>(4)</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gain on divestiture of business</w:t>
            </w:r>
            <w:r>
              <w:rPr>
                <w:rFonts w:ascii="Times New Roman" w:cs="Times New Roman" w:eastAsia="Times New Roman" w:hAnsi="Times New Roman"/>
                <w:sz w:val="10"/>
                <w:szCs w:val="10"/>
                <w:color w:val="auto"/>
              </w:rPr>
              <w:t>(5)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from unconsolidated investees</w:t>
            </w:r>
            <w:r>
              <w:rPr>
                <w:rFonts w:ascii="Times New Roman" w:cs="Times New Roman" w:eastAsia="Times New Roman" w:hAnsi="Times New Roman"/>
                <w:sz w:val="10"/>
                <w:szCs w:val="10"/>
                <w:color w:val="auto"/>
              </w:rPr>
              <w:t>(6)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w:t>
            </w: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Extinguishment of debt</w:t>
            </w:r>
            <w:r>
              <w:rPr>
                <w:rFonts w:ascii="Times New Roman" w:cs="Times New Roman" w:eastAsia="Times New Roman" w:hAnsi="Times New Roman"/>
                <w:sz w:val="10"/>
                <w:szCs w:val="10"/>
                <w:color w:val="auto"/>
              </w:rPr>
              <w:t>(7)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Legal and regulatory matters</w:t>
            </w:r>
            <w:r>
              <w:rPr>
                <w:rFonts w:ascii="Times New Roman" w:cs="Times New Roman" w:eastAsia="Times New Roman" w:hAnsi="Times New Roman"/>
                <w:sz w:val="10"/>
                <w:szCs w:val="10"/>
                <w:color w:val="auto"/>
              </w:rPr>
              <w:t>(8)</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sale of investment security</w:t>
            </w:r>
            <w:r>
              <w:rPr>
                <w:rFonts w:ascii="Times New Roman" w:cs="Times New Roman" w:eastAsia="Times New Roman" w:hAnsi="Times New Roman"/>
                <w:sz w:val="10"/>
                <w:szCs w:val="10"/>
                <w:color w:val="auto"/>
              </w:rPr>
              <w:t>(9)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Pension settlement charge</w:t>
            </w:r>
            <w:r>
              <w:rPr>
                <w:rFonts w:ascii="Times New Roman" w:cs="Times New Roman" w:eastAsia="Times New Roman" w:hAnsi="Times New Roman"/>
                <w:sz w:val="10"/>
                <w:szCs w:val="10"/>
                <w:color w:val="auto"/>
              </w:rPr>
              <w:t>(10)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Clearing default</w:t>
            </w:r>
            <w:r>
              <w:rPr>
                <w:rFonts w:ascii="Times New Roman" w:cs="Times New Roman" w:eastAsia="Times New Roman" w:hAnsi="Times New Roman"/>
                <w:sz w:val="10"/>
                <w:szCs w:val="10"/>
                <w:color w:val="auto"/>
              </w:rPr>
              <w:t>(11)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Charitable donations</w:t>
            </w:r>
            <w:r>
              <w:rPr>
                <w:rFonts w:ascii="Times New Roman" w:cs="Times New Roman" w:eastAsia="Times New Roman" w:hAnsi="Times New Roman"/>
                <w:sz w:val="10"/>
                <w:szCs w:val="10"/>
                <w:color w:val="auto"/>
              </w:rPr>
              <w:t>(12)</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notes receivable</w:t>
            </w:r>
            <w:r>
              <w:rPr>
                <w:rFonts w:ascii="Times New Roman" w:cs="Times New Roman" w:eastAsia="Times New Roman" w:hAnsi="Times New Roman"/>
                <w:sz w:val="10"/>
                <w:szCs w:val="10"/>
                <w:color w:val="auto"/>
              </w:rPr>
              <w:t>(13)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55"/>
        </w:trPr>
        <w:tc>
          <w:tcPr>
            <w:tcW w:w="20" w:type="dxa"/>
            <w:vAlign w:val="bottom"/>
          </w:tcPr>
          <w:p>
            <w:pPr>
              <w:spacing w:after="0"/>
              <w:rPr>
                <w:sz w:val="13"/>
                <w:szCs w:val="13"/>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0"/>
                <w:szCs w:val="10"/>
                <w:color w:val="auto"/>
              </w:rPr>
              <w:t>(14)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non-GAAP adjustments</w:t>
            </w: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183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136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Non-GAAP adjustment to the income tax provision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on intra-group transfer of intellectual property assets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Executive deduction benefit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Reversal of Swedish tax benefits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20" w:type="dxa"/>
            <w:vAlign w:val="bottom"/>
          </w:tcPr>
          <w:p>
            <w:pPr>
              <w:spacing w:after="0"/>
              <w:rPr>
                <w:sz w:val="12"/>
                <w:szCs w:val="12"/>
                <w:color w:val="auto"/>
              </w:rPr>
            </w:pPr>
          </w:p>
        </w:tc>
        <w:tc>
          <w:tcPr>
            <w:tcW w:w="5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Impact of newly enacted U.S. tax legislation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(89)</w:t>
            </w: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Excess tax benefits related to employee share-based compensation</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63"/>
        </w:trPr>
        <w:tc>
          <w:tcPr>
            <w:tcW w:w="20" w:type="dxa"/>
            <w:vAlign w:val="bottom"/>
          </w:tcPr>
          <w:p>
            <w:pPr>
              <w:spacing w:after="0"/>
              <w:rPr>
                <w:sz w:val="14"/>
                <w:szCs w:val="14"/>
                <w:color w:val="auto"/>
              </w:rPr>
            </w:pPr>
          </w:p>
        </w:tc>
        <w:tc>
          <w:tcPr>
            <w:tcW w:w="506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 non-GAAP adjustments, net of tax</w:t>
            </w:r>
            <w:r>
              <w:rPr>
                <w:rFonts w:ascii="Times New Roman" w:cs="Times New Roman" w:eastAsia="Times New Roman" w:hAnsi="Times New Roman"/>
                <w:sz w:val="10"/>
                <w:szCs w:val="10"/>
                <w:color w:val="auto"/>
              </w:rPr>
              <w:t>(15)</w:t>
            </w:r>
          </w:p>
        </w:tc>
        <w:tc>
          <w:tcPr>
            <w:tcW w:w="3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w w:val="95"/>
              </w:rPr>
              <w:t>175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Non-GAAP net income attributable to Nasdaq</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397</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350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1,433</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1,031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670</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 GAAP diluted earnings per share</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adjustments from non-GAAP net income above</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(0.11)</w:t>
            </w:r>
          </w:p>
        </w:tc>
      </w:tr>
      <w:tr>
        <w:trPr>
          <w:trHeight w:val="163"/>
        </w:trPr>
        <w:tc>
          <w:tcPr>
            <w:tcW w:w="5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Non-GAAP diluted earnings per share</w:t>
            </w:r>
          </w:p>
        </w:tc>
        <w:tc>
          <w:tcPr>
            <w:tcW w:w="3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0.69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 diluted common shares outstanding for earnings per share:</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508.4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500.7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500.9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509.0</w:t>
            </w:r>
          </w:p>
        </w:tc>
        <w:tc>
          <w:tcPr>
            <w:tcW w:w="100" w:type="dxa"/>
            <w:vAlign w:val="bottom"/>
            <w:shd w:val="clear" w:color="auto" w:fill="CCEEFF"/>
          </w:tcPr>
          <w:p>
            <w:pPr>
              <w:spacing w:after="0"/>
              <w:rPr>
                <w:sz w:val="12"/>
                <w:szCs w:val="12"/>
                <w:color w:val="auto"/>
              </w:rPr>
            </w:pPr>
          </w:p>
        </w:tc>
      </w:tr>
    </w:tbl>
    <w:p>
      <w:pPr>
        <w:spacing w:after="0" w:line="166" w:lineRule="exact"/>
        <w:rPr>
          <w:sz w:val="20"/>
          <w:szCs w:val="20"/>
          <w:color w:val="auto"/>
        </w:rPr>
      </w:pPr>
    </w:p>
    <w:p>
      <w:pPr>
        <w:ind w:left="720" w:right="220" w:hanging="422"/>
        <w:spacing w:after="0" w:line="233" w:lineRule="auto"/>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of acquired intangible assets: We amortize intangible assets acquired in connection with various acquisitions. Intangible asset amortization expense can vary from period to period due to episodic acquisitions completed, rather than from our ongoing business operations.</w:t>
      </w:r>
    </w:p>
    <w:p>
      <w:pPr>
        <w:ind w:left="720" w:right="20" w:hanging="422"/>
        <w:spacing w:after="0" w:line="221" w:lineRule="auto"/>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and strategic initiatives expense: We have pursued various strategic initiatives and completed acquisitions and divestitures in recent years that have resulted in expenses which would not have otherwise been incurred. The frequency and the amount of such expenses vary significantly based on the size, timing and complexity of the transaction. These expenses primarily include integration costs, as well as legal, due diligence and other third-party transaction costs. In the second quarter of 2024, these costs were partially offset by a termination payment recognized relating to the proposed divestiture of our Nordic power trading and clearing business.</w:t>
      </w:r>
    </w:p>
    <w:p>
      <w:pPr>
        <w:spacing w:after="0" w:line="1" w:lineRule="exact"/>
        <w:rPr>
          <w:rFonts w:ascii="Times New Roman" w:cs="Times New Roman" w:eastAsia="Times New Roman" w:hAnsi="Times New Roman"/>
          <w:sz w:val="14"/>
          <w:szCs w:val="14"/>
          <w:color w:val="auto"/>
        </w:rPr>
      </w:pPr>
    </w:p>
    <w:p>
      <w:pPr>
        <w:ind w:left="720" w:right="20" w:hanging="422"/>
        <w:spacing w:after="0"/>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In the fourth quarter of 2023, following the closing of the Adenza acquisition, our management approved, committed to and initiated a restructuring program, to optimize our efficiencies as a combined organization. In connection with this program, we expect to incur pre-tax charges principally related to employee-related costs, contract terminations, real estate impairments and other related costs. The 2023 and 2022 charges also relate to our divisional alignment program that was initiated in October 2022, following our September 2022 announcement to realign our segments and leadership, with a focus on realizing the full potential of this structure. In connection with the program, we expect to incur pre-tax charges principally related to employee-related costs, consulting, asset impairments and contract terminations over a two-year period. The charges in 2019, 2020 and 2021 are associated with our restructuring program initiated in September 2019 with the goal of transitioning certain technology platforms to advance Nasdaq’s strategic opportunities as a technology and analytics provider and continuing our realignment of certain business areas. The 2019 program was completed as of June 30, 2021.</w:t>
      </w:r>
    </w:p>
    <w:p>
      <w:pPr>
        <w:spacing w:after="0" w:line="61" w:lineRule="exact"/>
        <w:rPr>
          <w:rFonts w:ascii="Times New Roman" w:cs="Times New Roman" w:eastAsia="Times New Roman" w:hAnsi="Times New Roman"/>
          <w:sz w:val="14"/>
          <w:szCs w:val="14"/>
          <w:color w:val="auto"/>
        </w:rPr>
      </w:pPr>
    </w:p>
    <w:p>
      <w:pPr>
        <w:ind w:left="720" w:right="160" w:hanging="422"/>
        <w:spacing w:after="0" w:line="228" w:lineRule="auto"/>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asset Impairments: During 2023, we initiated a review of our real estate and facility capacity requirements due to our new and evolving work models. As a result, we recorded impairment charges related to our operating lease assets and leasehold improvements associated with vacating certain leased office space, which are recorded in occupancy expense and depreciation and amortization expense in our Consolidated Statements of Income. We fully impaired our lease assets for locations we vacated, with no intention to sublease. Substantially all the property, equipment and leasehold improvements associated with the vacated lease office space was fully impaired as there are no expected future cash flows for these items.</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441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right="200" w:hanging="422"/>
        <w:spacing w:after="0" w:line="229"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gain on divestiture of businesses: Represents the net gain on sale of our U.S. Fixed Income business in the second quarter of 2021, the net gain on the sale of the BWise enterprise governance, risk and compliance software platform in 2019 and the net gain on the sale of our Public Relations Solutions and Digital Media Services businesses in 2018.</w:t>
      </w:r>
    </w:p>
    <w:p>
      <w:pPr>
        <w:ind w:left="720" w:right="4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from unconsolidated investees: We exclude our share of the earnings and losses of our equity method investments, primarily our equity interest in the Options Clearing Corporation, or OCC and Nasdaq Private Market, LLC. This provides a more meaningful analysis of Nasdaq’s ongoing operating performance or comparisons in Nasdaq’s performance between periods.</w:t>
      </w: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Extinguishment of debt: These charges relate to premiums paid for the early extinguishment of previously outstanding debt.</w:t>
      </w: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and regulatory matters: These charges primarily relate to accruals related to certain legal matters recorded in professional and contract services and general, administrative and other expense in the Condensed Consolidated Statements of Income. For the three months ended June 30, 2024, this also included a settlement of a Swedish Financial Supervisory Authority, or SFSA, fine recorded in regulatory expense in our Condensed Consolidated Statements of Income. For the year ended 2023, legal accruals were offset by insurance recoveries related to legal matters recorded in general, administrative and other expense and professional and contract services expense in our Condensed Consolidated Statements of Income. For the year ended 2022, the legal accruals were offset by a decrease relating to an approximately $5 million release of the $33 million reserve booked in 2021 relating to a fine imposed by the SFSA associated with the default of a member of the Nasdaq Clearing commodities market that occurred in 2018. For the year ended December 31, 2020 we recorded a $6 million reversal of a regulatory fine issued by the SFSA in 2016 relating to findings following the SFSA’s investigations of cybersecurity processes at our Nordic exchanges and clearinghouse. These charges and reversals were recorded to regulatory expense in our Consolidated Statements of Income.</w:t>
      </w:r>
    </w:p>
    <w:p>
      <w:pPr>
        <w:spacing w:after="0" w:line="2" w:lineRule="exact"/>
        <w:rPr>
          <w:rFonts w:ascii="Times New Roman" w:cs="Times New Roman" w:eastAsia="Times New Roman" w:hAnsi="Times New Roman"/>
          <w:sz w:val="14"/>
          <w:szCs w:val="14"/>
          <w:color w:val="auto"/>
        </w:rPr>
      </w:pP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the sale of investment security: Represents a pre-tax gain on the sale of our 5.0% ownership interest in LCH Group Holdings Limited.</w:t>
      </w:r>
    </w:p>
    <w:p>
      <w:pPr>
        <w:ind w:left="720" w:right="4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settlement charge: In 2023 we recognized a settlement charge of $9M relating to the termination and partial settlement of our U.S. pension plan related to the lump sum distributions. The charge was recorded in Compensation and Benefits expense in our Consolidated Statements of Income.</w:t>
      </w: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Clearing default: Charges associated with the clearing default which occurred in 2018.</w:t>
      </w: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Charitable donations: Donations made to the Nasdaq Foundation, COVID-19 response and relief efforts, and social justice charities.</w:t>
      </w:r>
    </w:p>
    <w:p>
      <w:pPr>
        <w:ind w:left="72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notes receivable: These charges are associated with the funding of technology development for the consolidated audit trail.</w:t>
      </w:r>
    </w:p>
    <w:p>
      <w:pPr>
        <w:ind w:left="720" w:right="100" w:hanging="422"/>
        <w:spacing w:after="0" w:line="221"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significant items include certain other charges or gains, including certain tax items, that are the result of other non-comparable events to measure operating performance. For the year ended 2023, these items primarily included certain financing costs related to the Adenza transaction; for 2022, net gains and losses from strategic investments entered into through our corporate venture program; for 2021, gains from sales of strategic investments entered into through our corporate venture program; for 2020, charges associated with duplicative rent and impairment of leasehold assets related to our global headquarters move; for 2019, a tax reserve for certain prior year examinations and certain litigation costs; for 2018, certain litigation costs, certain charges related to a sales and use tax audit and VAT reserves.</w:t>
      </w:r>
    </w:p>
    <w:p>
      <w:pPr>
        <w:spacing w:after="0" w:line="1" w:lineRule="exact"/>
        <w:rPr>
          <w:rFonts w:ascii="Times New Roman" w:cs="Times New Roman" w:eastAsia="Times New Roman" w:hAnsi="Times New Roman"/>
          <w:sz w:val="14"/>
          <w:szCs w:val="14"/>
          <w:color w:val="auto"/>
        </w:rPr>
      </w:pPr>
    </w:p>
    <w:p>
      <w:pPr>
        <w:ind w:left="720" w:hanging="422"/>
        <w:spacing w:after="0" w:line="225" w:lineRule="auto"/>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non-GAAP adjustment to the income tax provision primarily includes the tax impact of each non-GAAP adjustment. In addition, for the three months ended June 30, 2024, tax items also include a net tax expense related to the completion of an intra-group transfer of certain IP assets to U.S. headquarters. For the year 2021, we recorded a tax benefit related to state and local provision to return adjustments and a release of tax reserves due to statute of limitation expiration as well as a prior year tax benefit, net of reserve. For the year ended 2020, we recorded a tax benefit related to favorable audit settlements, a release of tax reserves due to statute of limitation expiration, partially offset with an increase to certain tax reserves related to certain tax filings. In addition, we also recorded a tax benefit on compensation related deductions determined to be allowable. For the year ended 2018, we recorded a reversal of previously recognized Swedish tax benefits. For the year ended 2017, we recorded a decrease to tax expense primarily related to the remeasurement of our net U.S. deferred tax liability at the lower U.S. federal corporate income tax rate which reflected the provisional impact associated with the enactment of this act. Also in 2017, we recorded excess tax benefits related to employee share-based compensation as a result of the adoption of accounting guidance on January 1, 2017.</w:t>
      </w: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00"/>
          </w:cols>
          <w:pgMar w:left="320" w:top="45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Nasdaq, Inc.</w:t>
      </w:r>
    </w:p>
    <w:p>
      <w:pPr>
        <w:spacing w:after="0" w:line="14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selling stockholder</w:t>
      </w:r>
      <w:r>
        <w:rPr>
          <w:sz w:val="20"/>
          <w:szCs w:val="20"/>
          <w:color w:val="auto"/>
        </w:rPr>
        <w:tab/>
      </w:r>
      <w:r>
        <w:rPr>
          <w:rFonts w:ascii="Times New Roman" w:cs="Times New Roman" w:eastAsia="Times New Roman" w:hAnsi="Times New Roman"/>
          <w:sz w:val="17"/>
          <w:szCs w:val="17"/>
          <w:color w:val="auto"/>
        </w:rPr>
        <w:t>41,604,207 shares.</w:t>
      </w:r>
    </w:p>
    <w:p>
      <w:pPr>
        <w:spacing w:after="0" w:line="14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The Repurchase</w:t>
      </w:r>
      <w:r>
        <w:rPr>
          <w:sz w:val="20"/>
          <w:szCs w:val="20"/>
          <w:color w:val="auto"/>
        </w:rPr>
        <w:tab/>
      </w:r>
      <w:r>
        <w:rPr>
          <w:rFonts w:ascii="Times New Roman" w:cs="Times New Roman" w:eastAsia="Times New Roman" w:hAnsi="Times New Roman"/>
          <w:sz w:val="17"/>
          <w:szCs w:val="17"/>
          <w:color w:val="auto"/>
        </w:rPr>
        <w:t>Subject to the completion of this offering, we have agreed to purchase 1,200,000 shares of</w:t>
      </w:r>
    </w:p>
    <w:p>
      <w:pPr>
        <w:spacing w:after="0" w:line="31" w:lineRule="exact"/>
        <w:rPr>
          <w:sz w:val="20"/>
          <w:szCs w:val="20"/>
          <w:color w:val="auto"/>
        </w:rPr>
      </w:pPr>
    </w:p>
    <w:p>
      <w:pPr>
        <w:ind w:left="4340" w:right="20"/>
        <w:spacing w:after="0" w:line="251" w:lineRule="auto"/>
        <w:rPr>
          <w:sz w:val="20"/>
          <w:szCs w:val="20"/>
          <w:color w:val="auto"/>
        </w:rPr>
      </w:pPr>
      <w:r>
        <w:rPr>
          <w:rFonts w:ascii="Times New Roman" w:cs="Times New Roman" w:eastAsia="Times New Roman" w:hAnsi="Times New Roman"/>
          <w:sz w:val="18"/>
          <w:szCs w:val="18"/>
          <w:color w:val="auto"/>
        </w:rPr>
        <w:t>common stock from the selling stockholder at a price per share equal to the price per share to be paid by the underwriter to the selling stockholder, as part of our existing stock repurchase program. The underwriter will not receive any compensation for the shares of common stock being repurchased by us, and any shares bought in the Repurchase will thereafter cease to be outstanding and will be retained as treasury shares or cancelled. The completion of the Repurchase is conditioned upon the completion of this offering. The completion of this offering is not conditioned upon the completion of the Repurchase. We cannot assure you that either this offering or the Repurchase will be consummated.</w:t>
      </w:r>
    </w:p>
    <w:p>
      <w:pPr>
        <w:sectPr>
          <w:pgSz w:w="11900" w:h="16838" w:orient="portrait"/>
          <w:cols w:equalWidth="0" w:num="1">
            <w:col w:w="10880"/>
          </w:cols>
          <w:pgMar w:left="320" w:top="455" w:right="699" w:bottom="1440" w:gutter="0" w:footer="0" w:header="0"/>
        </w:sectPr>
      </w:pPr>
    </w:p>
    <w:p>
      <w:pPr>
        <w:spacing w:after="0" w:line="95"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the offering and the Repurchase</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574,740,337 shares, assuming we repurchase 1,200,000 shares.</w:t>
      </w:r>
    </w:p>
    <w:p>
      <w:pPr>
        <w:spacing w:after="0" w:line="3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being offered under this prospectus are being sold by the selling stockholder. Accordingly, we will not receive any proceeds from the sale of these shares.</w:t>
      </w:r>
    </w:p>
    <w:p>
      <w:pPr>
        <w:spacing w:after="0" w:line="77" w:lineRule="exact"/>
        <w:rPr>
          <w:sz w:val="20"/>
          <w:szCs w:val="20"/>
          <w:color w:val="auto"/>
        </w:rPr>
      </w:pPr>
    </w:p>
    <w:p>
      <w:pPr>
        <w:sectPr>
          <w:pgSz w:w="11900" w:h="16838" w:orient="portrait"/>
          <w:cols w:equalWidth="0" w:num="2">
            <w:col w:w="4240" w:space="100"/>
            <w:col w:w="6540"/>
          </w:cols>
          <w:pgMar w:left="320" w:top="455" w:right="69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common stock involves risk. See “Risk Factors” and the other information</w:t>
      </w:r>
    </w:p>
    <w:p>
      <w:pPr>
        <w:spacing w:after="0" w:line="31" w:lineRule="exact"/>
        <w:rPr>
          <w:sz w:val="20"/>
          <w:szCs w:val="20"/>
          <w:color w:val="auto"/>
        </w:rPr>
      </w:pPr>
    </w:p>
    <w:p>
      <w:pPr>
        <w:ind w:left="4340" w:right="100"/>
        <w:spacing w:after="0" w:line="260" w:lineRule="auto"/>
        <w:rPr>
          <w:sz w:val="20"/>
          <w:szCs w:val="20"/>
          <w:color w:val="auto"/>
        </w:rPr>
      </w:pPr>
      <w:r>
        <w:rPr>
          <w:rFonts w:ascii="Times New Roman" w:cs="Times New Roman" w:eastAsia="Times New Roman" w:hAnsi="Times New Roman"/>
          <w:sz w:val="18"/>
          <w:szCs w:val="18"/>
          <w:color w:val="auto"/>
        </w:rPr>
        <w:t>included in or incorporated by reference in this prospectus supplement for a discussion of factors you should carefully consider before deciding to invest in our common stock.</w:t>
      </w:r>
    </w:p>
    <w:p>
      <w:pPr>
        <w:spacing w:after="0" w:line="8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8"/>
          <w:szCs w:val="18"/>
          <w:color w:val="auto"/>
        </w:rPr>
        <w:t>“NDAQ”</w:t>
      </w:r>
    </w:p>
    <w:p>
      <w:pPr>
        <w:spacing w:after="0" w:line="243" w:lineRule="exact"/>
        <w:rPr>
          <w:sz w:val="20"/>
          <w:szCs w:val="20"/>
          <w:color w:val="auto"/>
        </w:rPr>
      </w:pPr>
    </w:p>
    <w:p>
      <w:pPr>
        <w:jc w:val="both"/>
        <w:ind w:left="300" w:right="320" w:firstLine="426"/>
        <w:spacing w:after="0" w:line="289" w:lineRule="auto"/>
        <w:rPr>
          <w:sz w:val="20"/>
          <w:szCs w:val="20"/>
          <w:color w:val="auto"/>
        </w:rPr>
      </w:pPr>
      <w:r>
        <w:rPr>
          <w:rFonts w:ascii="Times New Roman" w:cs="Times New Roman" w:eastAsia="Times New Roman" w:hAnsi="Times New Roman"/>
          <w:sz w:val="17"/>
          <w:szCs w:val="17"/>
          <w:color w:val="auto"/>
        </w:rPr>
        <w:t>The number of shares of our common stock outstanding as of July 25, 2024 excludes: (i) 1,420,323 options to acquire shares of common stock pursuant to our stock plans and (ii) 6,628,680 restricted stock units of common stock outstanding pursuant to our stock plans (including 4,396,460 time-vesting restricted stock units of common stock and 2,232,220 performance-vesting restricted stock units of common stock).</w:t>
      </w: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880"/>
          </w:cols>
          <w:pgMar w:left="320" w:top="455" w:right="6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 You should consider carefully the following risks and all of the information set forth or incorporated by reference in this prospectus supplement, including the risks and uncertainties described under the heading “Risk Factors” included in our Annual Report on Form 10-K for our most recent fiscal year and elsewhere in our public filings before investing in our common stock offered by this prospectus supplement.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or the issuance of securities senior to our common stock could adversely affect the trading price of our common stock and our ability to raise funds in new stock offerings.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Sale of a substantial number of shares of our common stock in the public markets following this offering, or the perception that these sales might occur, could cause the market price of our common stock to decline or could impair our ability to raise capital through a future sale of, or pay for acquisitions using, our equity securities. In addition, the selling stockholder and certain other stockholders have certain registration rights that require us to register the sale of common stock held by them, including in connection with underwritten offerings.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price of our common stock may fluctuate significantly, which could negatively affect us and holders of our common stock.</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our common stock include announcements relating to significant corporate transactions; fluctuations in our quarterly and annual financial results; operating and stock price performance of companies that investors deem comparable to us; future sales by us or our subsidiaries of equity, equity-related or debt securities; the amount, if any, of dividends that we pay on our common stock; anticipated or pending investigations, proceedings or litigation that involve or affect us; changes in regional, national or global financial markets and economies and general market conditions, such as interest or foreign exchange rates, stock, commodity, credit or asset valuations or volatility; and changes in government regulation or proposals relating to us. In addition, the U.S. and global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You may not be able to sell your shares of our common stock at or above the public offering price, or at all. Any volatility of or a significant decrease in the market price of our common stock could also negatively affect our ability to make acquisitions using our common stock.</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stock by the selling stockholder in this offering. The selling stockholder will receive all of the proceeds from the sale of shares of our common stock in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as of July 25, 2024 with respect to the ownership of our common stock by the selling stockholder.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8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Percentage computations are based on approximately 575,940,337 shares of our common stock outstanding as of July 25, 2024, before giving effect to the Repurchase and approximately 574,740,337 shares of our common stock outstanding after giving effect to the Repurchase, assuming we repurchase 1,200,000 shares.</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Beneficially Owned Before and After the Offering</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17"/>
        </w:trPr>
        <w:tc>
          <w:tcPr>
            <w:tcW w:w="162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Borders>
              <w:top w:val="single" w:sz="8" w:color="auto"/>
            </w:tcBorders>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Percent of our</w:t>
            </w: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our</w:t>
            </w:r>
          </w:p>
        </w:tc>
        <w:tc>
          <w:tcPr>
            <w:tcW w:w="2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Owned</w:t>
            </w:r>
          </w:p>
        </w:tc>
        <w:tc>
          <w:tcPr>
            <w:tcW w:w="15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Stock Before</w:t>
            </w:r>
          </w:p>
        </w:tc>
        <w:tc>
          <w:tcPr>
            <w:tcW w:w="13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after</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Before the</w:t>
            </w:r>
          </w:p>
        </w:tc>
        <w:tc>
          <w:tcPr>
            <w:tcW w:w="15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the Offering or</w:t>
            </w: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the Offering</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Offering or</w:t>
            </w:r>
          </w:p>
        </w:tc>
        <w:tc>
          <w:tcPr>
            <w:tcW w:w="15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(including the</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(including the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3"/>
                <w:szCs w:val="13"/>
                <w:color w:val="auto"/>
              </w:rPr>
            </w:pPr>
          </w:p>
        </w:tc>
        <w:tc>
          <w:tcPr>
            <w:tcW w:w="2280" w:type="dxa"/>
            <w:vAlign w:val="bottom"/>
          </w:tcPr>
          <w:p>
            <w:pPr>
              <w:spacing w:after="0"/>
              <w:rPr>
                <w:sz w:val="13"/>
                <w:szCs w:val="13"/>
                <w:color w:val="auto"/>
              </w:rPr>
            </w:pPr>
          </w:p>
        </w:tc>
        <w:tc>
          <w:tcPr>
            <w:tcW w:w="13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3"/>
                <w:szCs w:val="13"/>
                <w:color w:val="auto"/>
              </w:rPr>
            </w:pPr>
          </w:p>
        </w:tc>
        <w:tc>
          <w:tcPr>
            <w:tcW w:w="13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Hereby</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Argus Seller, LP</w:t>
            </w:r>
            <w:r>
              <w:rPr>
                <w:rFonts w:ascii="Times New Roman" w:cs="Times New Roman" w:eastAsia="Times New Roman" w:hAnsi="Times New Roman"/>
                <w:sz w:val="25"/>
                <w:szCs w:val="25"/>
                <w:color w:val="auto"/>
                <w:vertAlign w:val="superscript"/>
              </w:rPr>
              <w:t>(1)</w:t>
            </w:r>
          </w:p>
        </w:tc>
        <w:tc>
          <w:tcPr>
            <w:tcW w:w="2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shd w:val="clear" w:color="auto" w:fill="CCEEFF"/>
          </w:tcPr>
          <w:p>
            <w:pPr>
              <w:spacing w:after="0"/>
              <w:rPr>
                <w:sz w:val="17"/>
                <w:szCs w:val="17"/>
                <w:color w:val="auto"/>
              </w:rPr>
            </w:pPr>
          </w:p>
        </w:tc>
        <w:tc>
          <w:tcPr>
            <w:tcW w:w="228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85,608,414</w:t>
            </w:r>
          </w:p>
        </w:tc>
        <w:tc>
          <w:tcPr>
            <w:tcW w:w="50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460"/>
              <w:spacing w:after="0" w:line="203" w:lineRule="exact"/>
              <w:rPr>
                <w:sz w:val="20"/>
                <w:szCs w:val="20"/>
                <w:color w:val="auto"/>
              </w:rPr>
            </w:pPr>
            <w:r>
              <w:rPr>
                <w:rFonts w:ascii="Times New Roman" w:cs="Times New Roman" w:eastAsia="Times New Roman" w:hAnsi="Times New Roman"/>
                <w:sz w:val="18"/>
                <w:szCs w:val="18"/>
                <w:color w:val="auto"/>
              </w:rPr>
              <w:t>14.86%</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41,604,207</w:t>
            </w:r>
          </w:p>
        </w:tc>
        <w:tc>
          <w:tcPr>
            <w:tcW w:w="4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42,804,207</w:t>
            </w:r>
          </w:p>
        </w:tc>
        <w:tc>
          <w:tcPr>
            <w:tcW w:w="48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58"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 Bravo UGP, LLC (“Thoma Bravo UGP”) is the ultimate general partner of certain investment funds affiliated with Thoma Bravo UGP (the “Thoma Bravo Funds”), and the Thoma Bravo Funds and certain unaffiliated investors are limited partners of the selling stockholder. By virtue of the relationships described in this footnote, Thoma Bravo UGP may be deemed to beneficially own shares of the common stock directly owned by the selling stockholder. The principal address of each of the foregoing entities is c/o Thoma Bravo, L.P., 110 N. Wacker Drive, 32nd Floor, Chicago, IL 60606.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 acquired the shares being sold under this prospectus supplement from us in connection with our acquisition of Adenza Holdings, Inc. Such shares of common stock were sold and issued by us to the selling stockholder pursuant to the terms and subject to the conditions of the Agreement and Plan of Merger, dated as of June 10, 2023, by and among us, Argus Merger Sub 1, Inc., Argus Merger Sub 2, LLC and Adenza Holdings, Inc. Additionally, in connection with the completion of the merger, we entered into (i) a stockholders’ agreement (as amended, the “Stockholders’ Agreement”) and (ii) a registration rights agreement (as amended, the “Registration Rights Agreement”), with the selling stockholder.</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we granted the selling stockholder certain registration rights. Subject to some exceptions, including our right to defer a registration in certain circumstances, the selling stockholder has the right to require us to register the sale of the shares of common stock held by it on Form S-3, subject to offering size and other restrictions. The selling stockholder also has the right to request marketed and non-marketed underwritten offerings using a shelf registration statement. If we propose to file certain types of registration statements under the Securities Act with respect to an offering of shares of common stock, then we will be required to offer the selling stockholder the opportunity to register any number of shares of common stock that they request, on the terms and conditions set forth in the Registration Rights Agreement (customarily known as “piggyback rights”). The rights granted under the Registration Rights Agreement are subject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customary restrictions including, if a registration is underwritten, limitation on the number of shares to be included in the underwritten offering if the underwriter advises us that the amount of securities to be underwritten is likely to have an adverse effect on the price, timing or the distribution of the securities to be offered. Expenses of registration under the Registration Rights Agreement, including the reasonable legal fees of counsel chosen by the selling stockholder, but excluding underwriter discounts and commissions and transfer taxes, will be paid by us. Any sales in the public market of any shares of common stock registrable granted under the Registration Rights Agreement could depress the market price of our shares of common stock. See “Risk Factors—Future sales of our common stock in the public market or the issuance of securities senior to our common stock could adversely affect the trading price of our common stock and our ability to raise funds in new stock offerings.” The Registration Rights Agreement also contains customary indemnification and contribution provisions. This offering is being made pursuant to the rights granted under the Registration Rights Agreement.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Stockholders’ Agreement, the selling stockholder and Thoma Bravo, L.P. (collectively, the “seller parties”) have agreed to certain transfer restrictions with respect the shares of common stock owned by it, including a lock-up with respect to the transfer of the remaining shares of common stock not being sold in this offering, with such shares released from the lock-up on May 1, 2025 (subject to certain exceptions). The Stockholders’ Agreement further provides that the seller parties will be entitled to propose for nomination one director for election to our board of directors (with the initial nominee to be Holden Spaht), and such right will exist for so long as the seller parties and their controlled affiliates continue to beneficially own at least 10% of the shares of Nasdaq common stock outstanding as of November 1, 2023. The seller parties’ nominee to Nasdaq’s board of directors, Holden Spaht, is expected to remain on the board. In addition, the seller parties have agreed to be subject to a standstill obligation, including a restriction on acquiring shares in excess of 19.99% of the outstanding shares of common stock on a fully diluted basis, subject to certain exceptions, until at least November 1, 2025.</w:t>
      </w:r>
    </w:p>
    <w:p>
      <w:pPr>
        <w:spacing w:after="0" w:line="18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on these relationships and the Stockholders’ Agreement and Registration Rights Agreement, please refer to the Annual Report on Form 10-K for our most recent fiscal year, which is incorporated herein by reference.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COMMON STOCK</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considerations with respect to the ownership and disposition of shares of our common stock applicable to non-U.S. holders (defined below) who acquired such shares in this offering. This discussion is based upon current provisions of the Internal Revenue Code of 1986, as amended (the “Code”), U.S. Treasury regulations promulgated thereunder, administrative rulings of the U.S. Internal Revenue Service (the “IRS”), and judicial decisions, each as in effect on the date hereof.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shares of our common stock that is not,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“United States persons” (as defined in the Code) have the authority to control all substantial decisions of such trust or (2) the trust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without limitation, banks, insurance companies or other financial institutions; tax-exempt entities; “controlled foreign corporations,” “passive foreign investment companies” and corporations that accumulate earnings to avoid U.S. federal income tax; entities or arrangements treated as partnerships for U.S. federal income tax purposes or other “flow-through” entities and investors therein; brokers or dealers in securities or currencies; traders in securities that elect mark-to-market treatment; real estate investment trusts or regulated investment companies; certain former citizens or long-term residents of the United States; or holders who hold our common stock as part of a straddle, hedge, conversion transaction, constructive sale, or other integrated security transaction). In addition, this discussion does not address U.S. federal tax laws other than those pertaining to the U.S. federal income tax, nor does it address any aspects of the unearned income Medicare contribution tax pursuant to the Health Care and Education Reconciliation Act of 2010. Prospective investors should consult their tax advisors regarding the U.S. federal, state, local, and non-U.S. income and other tax considerations with respect to acquiring, holding and disposing of shares of our common stock.</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person treated as a partner in such partnership generally will depend on the status of the partner and the activities of the partnership. Persons that for U.S. federal income tax purposes are treated as partnerships and partners in such partnerships should consult their tax advisors.</w:t>
      </w:r>
    </w:p>
    <w:p>
      <w:pPr>
        <w:spacing w:after="0" w:line="17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discussion is for general information only and is not intended to constitute a complete description of all tax considerations relating to the acquisition, ownership and disposition of our common stock.</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Prospective holders of our common stock should consult with their tax advisors regarding the tax consequences to them of the acquisition, ownership and disposition of our common stock, including the application and effect of any U.S. federal, state, local, and non-U.S. income and other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subject to the discussion below regarding “effectively connected” dividends, the gross amount of any distribution we make to a non-U.S. holder with respect to its shares of our common stock will be subject to U.S. federal withholding tax at a rate of 30% to the extent that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tax basis in the non-U.S. holder’s shares of our common stock and then, to the extent it exceeds the non-U.S. holder’s adjusted tax basis in its shares of our common stock, as gain from the sale or exchange of such stock. Any such gain will be subject to the tax treatment described below under “Gain on Sale or Other Taxable Disposition of Common Stock.”</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we pay with respect to our common stock to a non-U.S. holder that are effectively connected with the conduct by such non-U.S. holder of a trade or business within the United States (and, if required by an applicable income tax treaty, are attributable to a permanent establishment or a fixed base of such non-U.S. holder in the United States) generally will not be subject to U.S. federal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a trade or business within the United States may be subject to an additional “branch profits tax” at a rate of 30% (or such lower rate as may be specified by an applicable income tax treaty).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Common Stock</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discussion below under “—Information Reporting and Backup Withholding” and “FATCA,” in general, a non-U.S. holder will not be subject to U.S. federal income tax on any gain realized upon the sale or other disposition of the non-U.S. holder’s shares of our common stock unless:</w:t>
      </w:r>
    </w:p>
    <w:p>
      <w:pPr>
        <w:spacing w:after="0" w:line="45" w:lineRule="exact"/>
        <w:rPr>
          <w:sz w:val="20"/>
          <w:szCs w:val="20"/>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permanent establishment or a fixed base of such non-U.S. holder in the United States);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or more days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within the meaning of Section 897(c)(2) of the Code (a “USRPHC”) for U.S. federal income tax purposes at any time during the shorter of the five-year period ending on the date of such disposition or such non-U.S. holder’s holding period of such shares of our common stock.</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point immediately above may also be subject to the branch profits tax at a rate of 30% (or such lower rate as may be specified by an applicable income tax treaty) with respect to such effectively connected gain, as adjusted for certain items.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An individual non-U.S. holder described in the second bullet point immediately above will be subject to a flat 30% tax (unless the non-U.S. holder is eligible for a lower rate under an applicable income tax treaty) on the gain from such sale or other disposition, which may be offset by U.S.-source capital losses, if any, of the non-U.S. holder, provided the non-U.S. holder has timely filed U.S. federal income tax returns with respect to such losses.</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distributions paid to such non-U.S. holder and the tax withheld with respect to such distributions. These reporting requirements apply regardless of whether withholding was reduced or eliminated by an applicable tax treaty.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United States person (as defined in the Code)) or otherwise establishes an exemption.</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United States person (as defined in the Code)) or otherwise establishes an exemption. Information reporting will also apply if a non-U.S. holder sells its shares of our common stock through a foreign broker with certain specified connections to the United States, unless such broker has documentary evidence in its records that such non-U.S. holder is not a United States person and certain other conditions are met, or such non-U.S. holder otherwise establishes an exemption (and the payor does not have actual knowledge, or reason to know, that such holder is a United States person (as defined in the Code)).</w:t>
      </w:r>
    </w:p>
    <w:p>
      <w:pPr>
        <w:spacing w:after="0" w:line="19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Copies of any information returns may also be made available to the tax authorities in the country in which the non-U.S. holder resides or is established under the provisions of an applicable income tax treaty or agreement.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and the U.S. Treasury regulations promulgated thereunder, collectively, commonly referred to as “FATCA”), a U.S. federal withholding tax at a rate of 30% generally will be imposed on certain payments made to a “foreign financial institution” (as specifically defined under FATCA) unless such institution enters into an agreement with the U.S. tax authorities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meets other exceptions. Under the legislation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An intergovernmental agreement between the United States and an applicable foreign country may modify these requirements. Under certain circumstances, a non-U.S. holder might be eligible for refunds or credits of such taxes. These withholding taxes would be imposed on dividends paid with respect to our common stock and (subject to proposed Treasury regulations described below) on gross proceeds from sales or other dispositions of our common stock. Proposed Treasury regulations issued in 2018, which state that taxpayers may rely on them until final regulations are issued, eliminate the U.S. federal withholding tax of 30% applicable to gross proceeds from sales or other dispositions of our common stock. Prospective non-U.S. holders should consult with their tax advisors regarding the possible implications of FATCA on their investment in our common stock.</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the selling stockholders and Goldman Sachs &amp; Co. LLC have entered into an underwriting agreement with respect to the shares being offered. Subject to certain conditions, the underwriter has agreed to purchase 41,604,207 shares of common stock from the selling stockholder at a price of $64.58 per share, which will result in $2,686,799,688.06 of proceeds to the selling stockholder before expenses. The underwriter is committed to take and pay for all of the shares being offered, if any are taken.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 by the selling stockholder.</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Paid by the Selling Stockholder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4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29,955,029.04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Shares sold by the underwriter to the public will initially be offered at the initial public offering price set forth on the cover of this prospectus.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underwriter, we will not, and will not publicly disclose an intention to, during the period ending 90 days after the date of this prospectus supplement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(2) enter into any swap or other arrangement that transfers to another, in whole or in part, any of the economic consequences of ownership of the common stock, whether any such transaction described in clauses (1) or (2) is to be settled by delivery of common stock or such other securities, in cash or otherwise; or (3) file any registration statement with the SEC relating to the offering of any shares of common stock or any securities convertible into or exercisable or exchangeable for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31" w:lineRule="exact"/>
        <w:rPr>
          <w:sz w:val="20"/>
          <w:szCs w:val="20"/>
          <w:color w:val="auto"/>
        </w:rPr>
      </w:pPr>
    </w:p>
    <w:p>
      <w:pPr>
        <w:ind w:left="1540" w:hanging="439"/>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sold pursuant to the underwriting agreement entered into in connection with this offering;</w:t>
      </w:r>
    </w:p>
    <w:p>
      <w:pPr>
        <w:spacing w:after="0" w:line="130"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by the us upon the exercise of an option or warrant, the vesting or settlement of any restricted stock or restricted stock unit (including, for the avoidance of doubt, any performance-based restricted stock unit) or the conversion of a security outstanding on the date hereof;</w:t>
      </w:r>
    </w:p>
    <w:p>
      <w:pPr>
        <w:spacing w:after="0" w:line="81" w:lineRule="exact"/>
        <w:rPr>
          <w:rFonts w:ascii="Times New Roman" w:cs="Times New Roman" w:eastAsia="Times New Roman" w:hAnsi="Times New Roman"/>
          <w:sz w:val="18"/>
          <w:szCs w:val="18"/>
          <w:color w:val="auto"/>
        </w:rPr>
      </w:pPr>
    </w:p>
    <w:p>
      <w:pPr>
        <w:ind w:left="1540" w:right="240" w:hanging="439"/>
        <w:spacing w:after="0" w:line="261"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restricted stock, restricted stock units (including, for the avoidance of doubt, any performance-based restricted stock units) or any securities convertible into or exercisable or exchangeable for common stock issued or options to purchase common stock granted pursuant to our long-term incentive plans or non-employee director stock plans referred to or incorporated by reference into this prospectus supplement;</w:t>
      </w:r>
    </w:p>
    <w:p>
      <w:pPr>
        <w:spacing w:after="0" w:line="85" w:lineRule="exact"/>
        <w:rPr>
          <w:rFonts w:ascii="Times New Roman" w:cs="Times New Roman" w:eastAsia="Times New Roman" w:hAnsi="Times New Roman"/>
          <w:sz w:val="18"/>
          <w:szCs w:val="18"/>
          <w:color w:val="auto"/>
        </w:rPr>
      </w:pPr>
    </w:p>
    <w:p>
      <w:pPr>
        <w:ind w:left="1540" w:right="240" w:hanging="439"/>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securities convertible into or exchangeable for shares of common stock) issued in connection with the bona fide strategic acquisition of assets, technology or a business or the bona fide establishment of a strategic partnership or collaboration (including a joint venture) complementary to our business;</w:t>
      </w:r>
    </w:p>
    <w:p>
      <w:pPr>
        <w:spacing w:after="0" w:line="81"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statement on Form S-8 under the Securities Act with respect to the foregoing clauses (iii) or on Form S-4 under the Securities Act with respect to the foregoing clause (iv);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80" w:hanging="439"/>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or prospectus supplement in compliance with the request of any person who has the right, as of the date hereof, to require us to file such registration statement or prospectus supplement.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of our directors and senior executive officers have agreed that, without the prior written consent of the underwriter,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(2) enter into any swap or other arrangement that transfers to another, in whole or in part, any of the economic consequences of ownership of the common stock, whether any such transaction described in clauses (1) or (2) is to be settled by delivery of common stock or such other securities, in cash or otherwise. In addition, each such person agrees that, without the prior written consent of the underwriter, such person will not, during the restricted period, make any demand for, or exercise any right with respect to, the registration of any shares of common stock or any security convertible into or exercisable or exchangeable for common stock.</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131" w:lineRule="exact"/>
        <w:rPr>
          <w:sz w:val="20"/>
          <w:szCs w:val="20"/>
          <w:color w:val="auto"/>
        </w:rPr>
      </w:pPr>
    </w:p>
    <w:p>
      <w:pPr>
        <w:ind w:left="1540" w:right="100" w:hanging="439"/>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open market transactions after the completion of this offering;</w:t>
      </w:r>
    </w:p>
    <w:p>
      <w:pPr>
        <w:spacing w:after="0" w:line="67" w:lineRule="exact"/>
        <w:rPr>
          <w:rFonts w:ascii="Times New Roman" w:cs="Times New Roman" w:eastAsia="Times New Roman" w:hAnsi="Times New Roman"/>
          <w:sz w:val="18"/>
          <w:szCs w:val="18"/>
          <w:color w:val="auto"/>
        </w:rPr>
      </w:pPr>
    </w:p>
    <w:p>
      <w:pPr>
        <w:ind w:left="1540" w:right="24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shares of common stock as a bona fide gift or for bona fide estate planning purposes or (ii) to an immediate family member or a trust for the direct or indirect benefit of the applicable lock-up party or such immediate family member of the applicable lock-up party;</w:t>
      </w:r>
    </w:p>
    <w:p>
      <w:pPr>
        <w:spacing w:after="0" w:line="81"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or exercisable or exchangeable for common stock to limited partners, limited liability company members or stockholders of the applicable lock-up party or transfers of shares of common stock or any security convertible into or exercisable or exchangeable for common stock to another partnership, limited liability company, corporation or other business entity that controls, is controlled by or is under common control with the applicable lock-up party or, if the applicable lock-up party is a trust, transfers of shares of common stock or any security convertible into or exercisable or exchangeable for common stock to a trustee or beneficiary of the trust;</w:t>
      </w:r>
    </w:p>
    <w:p>
      <w:pPr>
        <w:spacing w:after="0" w:line="92"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by will or intestacy;</w:t>
      </w:r>
    </w:p>
    <w:p>
      <w:pPr>
        <w:spacing w:after="0" w:line="67"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solely with respect to individuals who cease to be a director or senior executive officer of the Company;</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pursuant to an order of a regulatory agency or a court, including a qualified domestic order, or in connection with a divorce settlement;</w:t>
      </w:r>
    </w:p>
    <w:p>
      <w:pPr>
        <w:spacing w:after="0" w:line="81"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to us upon a vesting event of our securities or upon the exercise of options to purchase our securities, in each case on a “cashless” or “net exercise” basis or to cover tax withholding obligations of the applicable lock-up party in connection with such vesting or exercise;</w:t>
      </w:r>
    </w:p>
    <w:p>
      <w:pPr>
        <w:spacing w:after="0" w:line="81" w:lineRule="exact"/>
        <w:rPr>
          <w:rFonts w:ascii="Times New Roman" w:cs="Times New Roman" w:eastAsia="Times New Roman" w:hAnsi="Times New Roman"/>
          <w:sz w:val="18"/>
          <w:szCs w:val="18"/>
          <w:color w:val="auto"/>
        </w:rPr>
      </w:pPr>
    </w:p>
    <w:p>
      <w:pPr>
        <w:ind w:left="1540" w:right="300" w:hanging="439"/>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pursuant to a trading plan established pursuant to Rule 10b5-1 under Section 16(a) of the Securities Exchange Act of 1934, as amended (the “Exchange Act”);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00" w:hanging="439"/>
        <w:spacing w:after="0" w:line="25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one of our shareholders, officers or directors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applicable lock-up party or by us regarding the establishment of such plan, such announcement or filing shall include a statement to the effect that no transfer of common stock may be made under such plan during the restricted period; or</w:t>
      </w:r>
    </w:p>
    <w:p>
      <w:pPr>
        <w:spacing w:after="0" w:line="92"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pursuant to a bona fide third-party tender offer, merger, consolidation or other similar transaction that is approved by our board of directors and made to all holders of our capital stock involving a Change of Control (as defined in the lock-up agreement);</w:t>
      </w:r>
    </w:p>
    <w:p>
      <w:pPr>
        <w:spacing w:after="0" w:line="17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 in the case of any transfer pursuant to clauses (i) and (iii) no filing under Section 16(a) of the Exchange Act reporting a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is required or voluntarily made, (B) in the case of clause (ii), no filing under Section 16(a) of the Exchange Act is voluntarily made and, if any filing is legally required, such filing indicates the report relates to the circumstances described in clause (ii) above, (C) in the case of any transfer pursuant to clauses (ii), (iii), (iv), and (vi) that the recipient of the securities enters into a lock-up agreement substantially in the form entered into by the Selling Stockholder or the common stock so transferred otherwise remains subject to the restrictions of the lock-up agreement, and (D) in the case of any transfer pursuant to clauses (ii), (iii) and (iv) such transfer shall not involve a disposition for value, and (E) in the case of any transfer pursuant to clauses (iv), (v), (vi) and (vii) if any filing is made under Section 16(a) of the Exchange Act, such filing shall indicate the nature and conditions of such transfer.</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 has agreed that, without the prior written consent of the underwriter, the selling stockholder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(2) enter into any swap or other arrangement that transfers to another, in whole or in part, any of the economic consequences of ownership of the common stock, whether any such transaction described in clauses (1) or (2) is to be settled by delivery of common stock or such other securities, in cash or otherwise.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131" w:lineRule="exact"/>
        <w:rPr>
          <w:sz w:val="20"/>
          <w:szCs w:val="20"/>
          <w:color w:val="auto"/>
        </w:rPr>
      </w:pPr>
    </w:p>
    <w:p>
      <w:pPr>
        <w:ind w:left="1540" w:right="520" w:hanging="439"/>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hypothecation or other granting of a security interest in shares of common stock or securities convertible into or exchangeable for shares of common stock to one or more lending institutions as collateral or security for any loan, advance or extension of credit and any transfer upon foreclosure upon such shares of common stock or such securities;</w:t>
      </w:r>
    </w:p>
    <w:p>
      <w:pPr>
        <w:spacing w:after="0" w:line="81"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open market transactions after the completion of this offering;</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exchangeable for shares of common stock as a bona fide gift or charitable contribution;</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security convertible into or exchangeable for shares of common stock to</w:t>
      </w:r>
    </w:p>
    <w:p>
      <w:pPr>
        <w:spacing w:after="0" w:line="27" w:lineRule="exact"/>
        <w:rPr>
          <w:rFonts w:ascii="Times New Roman" w:cs="Times New Roman" w:eastAsia="Times New Roman" w:hAnsi="Times New Roman"/>
          <w:sz w:val="18"/>
          <w:szCs w:val="18"/>
          <w:color w:val="auto"/>
        </w:rPr>
      </w:pPr>
    </w:p>
    <w:p>
      <w:pPr>
        <w:ind w:left="1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affiliates (as defined in Rule 405 of the Securities Act) or stockholders of the selling stockholder or to any investment fund or other entity controlling, controlled by, managing or managed by or under common control with the selling stockholder or affiliates of the selling stockholder (including, for the avoidance of doubt, to its general partner or a successor partnership or fund, or any other funds managed by such partnership) or (y) as part of a distribution, transfer or disposition without consideration by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100"/>
        <w:spacing w:after="0" w:line="282" w:lineRule="auto"/>
        <w:rPr>
          <w:sz w:val="20"/>
          <w:szCs w:val="20"/>
          <w:color w:val="auto"/>
        </w:rPr>
      </w:pPr>
      <w:r>
        <w:rPr>
          <w:rFonts w:ascii="Times New Roman" w:cs="Times New Roman" w:eastAsia="Times New Roman" w:hAnsi="Times New Roman"/>
          <w:sz w:val="18"/>
          <w:szCs w:val="18"/>
          <w:color w:val="auto"/>
        </w:rPr>
        <w:t>selling stockholder to its stockholders, partners, members or other equity holders or to the estate of any such stockholders, partners, members or other equity holders;</w:t>
      </w:r>
    </w:p>
    <w:p>
      <w:pPr>
        <w:spacing w:after="0" w:line="67" w:lineRule="exact"/>
        <w:rPr>
          <w:sz w:val="20"/>
          <w:szCs w:val="20"/>
          <w:color w:val="auto"/>
        </w:rPr>
      </w:pPr>
    </w:p>
    <w:p>
      <w:pPr>
        <w:ind w:left="1540" w:right="360" w:hanging="439"/>
        <w:spacing w:after="0" w:line="258"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selling stockholder regarding the establishment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jc w:val="both"/>
        <w:ind w:left="1540" w:right="560" w:hanging="439"/>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pursuant to a bona fide third-party tender offer, merger, consolidation or other similar transaction that is approved by the board of directors of the Company and made to all holders of the Company’s capital stock involving a Change of Control (as defined in the lock-up agreement) of the Company; or</w:t>
      </w:r>
    </w:p>
    <w:p>
      <w:pPr>
        <w:spacing w:after="0" w:line="81"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common stock pursuant to the underwriting agreement entered into in connection with this offering or the stock repurchase agreement entered into in connection with the Repurchase.</w:t>
      </w:r>
    </w:p>
    <w:p>
      <w:pPr>
        <w:spacing w:after="0" w:line="160"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(A) in the case of any transfer pursuant to clause (ii) no filing under Section 16(a) of the Exchange Act reporting a reduction in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is required or voluntarily made, (B) in the case of any transfer pursuant to clauses (iii) and (iv) that the recipients of the securities enters into a lock-up agreement substantially in the form entered into by the Selling Stockholder, and (C) in the case of any transfer pursuant to clauses (iii) and</w:t>
      </w:r>
    </w:p>
    <w:p>
      <w:pPr>
        <w:spacing w:after="0" w:line="1" w:lineRule="exact"/>
        <w:rPr>
          <w:sz w:val="20"/>
          <w:szCs w:val="20"/>
          <w:color w:val="auto"/>
        </w:rPr>
      </w:pPr>
    </w:p>
    <w:p>
      <w:pPr>
        <w:ind w:left="120" w:right="240" w:hanging="4"/>
        <w:spacing w:after="0" w:line="260" w:lineRule="auto"/>
        <w:tabs>
          <w:tab w:leader="none" w:pos="4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under Section 16(a) of the Exchange Act shall be voluntarily made and, if any filing is required, such filing shall indicate the nature and conditions of such transfer.</w:t>
      </w:r>
    </w:p>
    <w:p>
      <w:pPr>
        <w:spacing w:after="0" w:line="18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 may purchase and sell shares of common stock in the open market. These transactions may include short sales, stabilizing transactions and purchases to cover positions created by short sales. Short sales involve the sale by the underwriter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 may cover any covered short position by either exercising its option to purchase additional shares or purchasing shares in the open market. In determining the source of shares to cover the covered short position, the underwriter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 must cover any such naked short position by purchasing shares in the open market. A naked short position is more likely to be created if the underwriter is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 in the open market prior to the completion of the offering.</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 for its own account, may have the effect of preventing or retarding a decline in the market price of the company’s stock, and may stabilize, maintain or otherwise affect the market price of the common stock. As a result, the price of the common stock may be higher than the price that otherwise might exist in the open market. The underwriter is not required to engage in these activities and may end any of these activities at any time. These transactions may be effected on The Nasdaq Stock Market, in the over-the-counter market or otherwise.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the underwriter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the underwriter and the Company that it is a qualified investor within the meaning of Article 2 of the EU Prospectus Regulation.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 has been obtained to each such proposed offer or resale.</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warranties and agreements. Notwithstanding the above, a person who is not a “qualified investor” and who has notified the underwriter of such fact in writing may, with the prior consent of the underwriter, be permitted to acquire shares in the offer.</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the underwriter to publish a prospectus pursuant to section 85 of the FSMA or a supplemental prospectus pursuant to Article 23 of the UK Prospectus Regulation and each person who initially acquires any shares or to whom any offer is made will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deemed to have represented, warranted and agreed to and with the underwriter and the Company that it is a qualified investor within the meaning of Article 2 of the UK Prospectus Regulation.</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underwriter has been obtained to each such proposed offer or resale.</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warranties and agreements. Notwithstanding the above, a person who is not a “qualified investor” and who has notified the underwriter of such fact in writing may, with the prior consent of the underwriter, be permitted to acquire shares in the offer.</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of not less than S$200,000 (or its equivalent in a foreign currency) for each transaction (whether such amount is to be paid for in cash or by exchange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estimate that their share of the total expenses of the offering, excluding underwriting discounts and commissions, will be approximately $500,000. Certain expenses of the offering may be reimbursed by the underwriter.</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have agreed to indemnify the underwriter against certain liabilities, including liabilities under the Securities Act of 1933.</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underwriter and its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issuer and to persons and entities with relationships with the issuer, for which they received or will receive customary fees and expenses. In addition, affiliates of the underwriter act as agents and/or lenders under our existing revolving credit facility.</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under this prospectus supplement will be passed upon for us by Wachtell, Lipton, Rosen &amp; Katz, New York, New York and for the underwriter by Ropes &amp; Gray LLP.</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Nasdaq, Inc. appearing in Nasdaq, Inc.’s Annual Report on Form 10-K for the year ended December 31, 2023, and the effectiveness of Nasdaq,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Adenza Holdings, Inc. and its subsidiaries as of and for the years ended December 31, 2022 and 2021 incorporated by reference in this Prospectus have been so incorporated in reliance on the report of BDO USA, P.C., independent auditors, given on the authority of said firm as experts in auditing and accounting.</w:t>
      </w: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This information may be accessed electronically by means of the SEC’s home page on the Internet at http://www.sec.gov or through our web site at http://ir.nasdaq.com/financials/sec-filings. Our website is not incorporated into or otherwise a part of this prospectus or any of our other securities filings.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00"/>
          </w:cols>
          <w:pgMar w:left="320" w:top="455"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We are incorporating by reference in this prospectus supplement the information we file with the SEC. This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are incorporating by reference the documents listed below and any future filings we make with the SEC under Sections 13(a), 13(c), 14 or 15(d) of the Exchange Act after the date of this prospectus supplement until all of the shares of common stock offered by this prospectus supplement and the accompanying prospectus are sold:</w:t>
      </w:r>
    </w:p>
    <w:p>
      <w:pPr>
        <w:spacing w:after="0" w:line="7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2024, filed with the SEC on May 2, 2024;</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0">
        <w:r>
          <w:rPr>
            <w:rFonts w:ascii="Times New Roman" w:cs="Times New Roman" w:eastAsia="Times New Roman" w:hAnsi="Times New Roman"/>
            <w:sz w:val="18"/>
            <w:szCs w:val="18"/>
            <w:u w:val="single" w:color="auto"/>
            <w:color w:val="0000EE"/>
          </w:rPr>
          <w:t>January 17,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(Amendment No. 1) (excluding Item 7.01), </w:t>
      </w:r>
      <w:hyperlink r:id="rId61">
        <w:r>
          <w:rPr>
            <w:rFonts w:ascii="Times New Roman" w:cs="Times New Roman" w:eastAsia="Times New Roman" w:hAnsi="Times New Roman"/>
            <w:sz w:val="18"/>
            <w:szCs w:val="18"/>
            <w:u w:val="single" w:color="auto"/>
            <w:color w:val="0000EE"/>
          </w:rPr>
          <w:t>January 31, 2024</w:t>
        </w:r>
      </w:hyperlink>
      <w:r>
        <w:rPr>
          <w:rFonts w:ascii="Times New Roman" w:cs="Times New Roman" w:eastAsia="Times New Roman" w:hAnsi="Times New Roman"/>
          <w:sz w:val="18"/>
          <w:szCs w:val="18"/>
          <w:color w:val="auto"/>
        </w:rPr>
        <w:t xml:space="preserve"> (Item 8.01 and Exhibit 99.2 only), </w:t>
      </w:r>
      <w:hyperlink r:id="rId62">
        <w:r>
          <w:rPr>
            <w:rFonts w:ascii="Times New Roman" w:cs="Times New Roman" w:eastAsia="Times New Roman" w:hAnsi="Times New Roman"/>
            <w:sz w:val="18"/>
            <w:szCs w:val="18"/>
            <w:u w:val="single" w:color="auto"/>
            <w:color w:val="0000EE"/>
          </w:rPr>
          <w:t>March 20, 2024</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March 22, 2024</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April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and Exhibit 99.2 only), </w:t>
      </w:r>
      <w:hyperlink r:id="rId65">
        <w:r>
          <w:rPr>
            <w:rFonts w:ascii="Times New Roman" w:cs="Times New Roman" w:eastAsia="Times New Roman" w:hAnsi="Times New Roman"/>
            <w:sz w:val="18"/>
            <w:szCs w:val="18"/>
            <w:u w:val="single" w:color="auto"/>
            <w:color w:val="0000EE"/>
          </w:rPr>
          <w:t>April 30, 2024</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May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June 14,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 xml:space="preserve">July 25, 2024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and Exhibit 99.2 only);</w:t>
      </w:r>
    </w:p>
    <w:p>
      <w:pPr>
        <w:spacing w:after="0" w:line="81" w:lineRule="exact"/>
        <w:rPr>
          <w:rFonts w:ascii="Times New Roman" w:cs="Times New Roman" w:eastAsia="Times New Roman" w:hAnsi="Times New Roman"/>
          <w:sz w:val="18"/>
          <w:szCs w:val="18"/>
          <w:color w:val="0000EE"/>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2023 from our definitive proxy statement on </w:t>
      </w:r>
      <w:hyperlink r:id="rId6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2024; and</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Current Report on Form 8-K filed with the SEC on </w:t>
      </w:r>
      <w:hyperlink r:id="rId70">
        <w:r>
          <w:rPr>
            <w:rFonts w:ascii="Times New Roman" w:cs="Times New Roman" w:eastAsia="Times New Roman" w:hAnsi="Times New Roman"/>
            <w:sz w:val="18"/>
            <w:szCs w:val="18"/>
            <w:u w:val="single" w:color="auto"/>
            <w:color w:val="0000EE"/>
          </w:rPr>
          <w:t>April 27, 2018</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the “Description of Securities” included as Exhibit 4.21 to 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21, 2024).</w:t>
      </w:r>
    </w:p>
    <w:p>
      <w:pPr>
        <w:spacing w:after="0" w:line="176"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76" w:lineRule="exact"/>
        <w:rPr>
          <w:rFonts w:ascii="Times New Roman" w:cs="Times New Roman" w:eastAsia="Times New Roman" w:hAnsi="Times New Roman"/>
          <w:sz w:val="18"/>
          <w:szCs w:val="18"/>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You may obtain a copy of these filings and any other filings incorporated by reference at no cost, by writing or telephoning us at the following address:</w:t>
      </w:r>
    </w:p>
    <w:p>
      <w:pPr>
        <w:spacing w:after="0" w:line="5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Nasdaq,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 W. 42nd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 401-8700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investor.relations@nasdaq.com</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NASDAQ,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118745</wp:posOffset>
            </wp:positionV>
            <wp:extent cx="2348865" cy="668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23488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may offer, issue and sell, and selling securityholders may offer to resell and sell, together or separately:</w:t>
      </w:r>
    </w:p>
    <w:p>
      <w:pPr>
        <w:spacing w:after="0" w:line="15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common stock;</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our preferred stock, which may be issued in one or more series;</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depositary receipts, representing fractional shares of our preferred stock, which are called depositary shares;</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 which may be issued in one or more series and which may be senior debt securities or subordinated debt securities;</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purchase shares of our common stock, shares of our preferred stock or our debt securities;</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rights to purchase shares of our common stock, shares of our preferred stock or our debt securities;</w:t>
      </w:r>
    </w:p>
    <w:p>
      <w:pPr>
        <w:spacing w:after="0" w:line="15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contracts to purchase shares of our common stock, shares of our preferred stock or our debt securities; and</w:t>
      </w:r>
    </w:p>
    <w:p>
      <w:pPr>
        <w:spacing w:after="0" w:line="155" w:lineRule="exact"/>
        <w:rPr>
          <w:rFonts w:ascii="Times New Roman" w:cs="Times New Roman" w:eastAsia="Times New Roman" w:hAnsi="Times New Roman"/>
          <w:sz w:val="17"/>
          <w:szCs w:val="17"/>
          <w:color w:val="auto"/>
        </w:rPr>
      </w:pPr>
    </w:p>
    <w:p>
      <w:pPr>
        <w:ind w:left="980" w:right="340" w:hanging="324"/>
        <w:spacing w:after="0" w:line="265" w:lineRule="auto"/>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9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This prospectus may not be used to sell securities unless accompanied by a prospectus supplement.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number of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10 before you make your investment decision.</w:t>
      </w:r>
    </w:p>
    <w:p>
      <w:pPr>
        <w:spacing w:after="0" w:line="145"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7"/>
          <w:szCs w:val="17"/>
          <w:color w:val="auto"/>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08"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Stock Market under the trading symbol “NDAQ.” Each prospectus supplement will indicate whether the securities offered thereby will be listed on any securities exchange.</w:t>
      </w:r>
    </w:p>
    <w:p>
      <w:pPr>
        <w:spacing w:after="0" w:line="9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date of this prospectus is April 30, 2024</w:t>
      </w:r>
    </w:p>
    <w:p>
      <w:pPr>
        <w:sectPr>
          <w:pgSz w:w="11900" w:h="16838" w:orient="portrait"/>
          <w:cols w:equalWidth="0" w:num="1">
            <w:col w:w="11120"/>
          </w:cols>
          <w:pgMar w:left="320" w:top="455"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4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0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53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PURCHASE CONTRACTS AND PURCHASE UNITS</w:t>
            </w:r>
          </w:p>
        </w:tc>
        <w:tc>
          <w:tcPr>
            <w:tcW w:w="308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1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unless otherwise specified:</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the “Company,” “we,” “us” and “our” refer to Nasdaq,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Baltic” refers to collectively, Nasdaq Tallinn AS, Nasdaq Riga, AS and AB Nasdaq Vilnius.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Clearing” refers to the clearing operations conducted by Nasdaq Clearing AB.</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Nordic” refers to collectively, Nasdaq Clearing AB, Nasdaq Stockholm AB, Nasdaq Copenhagen A/S, Nasdaq Helsinki Ltd and Nasdaq Iceland hf.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refers to the cash equity exchange operated by The Nasdaq Stock Market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9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2023, filed with the SEC on February 21, 2024;</w:t>
      </w:r>
    </w:p>
    <w:p>
      <w:pPr>
        <w:spacing w:after="0" w:line="130"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with the SEC on </w:t>
      </w:r>
      <w:hyperlink r:id="rId60">
        <w:r>
          <w:rPr>
            <w:rFonts w:ascii="Times New Roman" w:cs="Times New Roman" w:eastAsia="Times New Roman" w:hAnsi="Times New Roman"/>
            <w:sz w:val="17"/>
            <w:szCs w:val="17"/>
            <w:u w:val="single" w:color="auto"/>
            <w:color w:val="0000EE"/>
          </w:rPr>
          <w:t>January 17,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(Amendment No. 1) (excluding Item 7.01), </w:t>
      </w:r>
      <w:hyperlink r:id="rId61">
        <w:r>
          <w:rPr>
            <w:rFonts w:ascii="Times New Roman" w:cs="Times New Roman" w:eastAsia="Times New Roman" w:hAnsi="Times New Roman"/>
            <w:sz w:val="17"/>
            <w:szCs w:val="17"/>
            <w:u w:val="single" w:color="auto"/>
            <w:color w:val="0000EE"/>
          </w:rPr>
          <w:t>January 31, 2024</w:t>
        </w:r>
      </w:hyperlink>
      <w:r>
        <w:rPr>
          <w:rFonts w:ascii="Times New Roman" w:cs="Times New Roman" w:eastAsia="Times New Roman" w:hAnsi="Times New Roman"/>
          <w:sz w:val="17"/>
          <w:szCs w:val="17"/>
          <w:color w:val="auto"/>
        </w:rPr>
        <w:t xml:space="preserve"> (Item 8.01 and Exhibit 99.2 only), </w:t>
      </w:r>
      <w:hyperlink r:id="rId62">
        <w:r>
          <w:rPr>
            <w:rFonts w:ascii="Times New Roman" w:cs="Times New Roman" w:eastAsia="Times New Roman" w:hAnsi="Times New Roman"/>
            <w:sz w:val="17"/>
            <w:szCs w:val="17"/>
            <w:u w:val="single" w:color="auto"/>
            <w:color w:val="0000EE"/>
          </w:rPr>
          <w:t>March 20, 2024</w:t>
        </w:r>
      </w:hyperlink>
      <w:r>
        <w:rPr>
          <w:rFonts w:ascii="Times New Roman" w:cs="Times New Roman" w:eastAsia="Times New Roman" w:hAnsi="Times New Roman"/>
          <w:sz w:val="17"/>
          <w:szCs w:val="17"/>
          <w:color w:val="auto"/>
        </w:rPr>
        <w:t xml:space="preserve">, </w:t>
      </w:r>
      <w:hyperlink r:id="rId63">
        <w:r>
          <w:rPr>
            <w:rFonts w:ascii="Times New Roman" w:cs="Times New Roman" w:eastAsia="Times New Roman" w:hAnsi="Times New Roman"/>
            <w:sz w:val="17"/>
            <w:szCs w:val="17"/>
            <w:u w:val="single" w:color="auto"/>
            <w:color w:val="0000EE"/>
          </w:rPr>
          <w:t>March 22, 2024</w:t>
        </w:r>
      </w:hyperlink>
      <w:r>
        <w:rPr>
          <w:rFonts w:ascii="Times New Roman" w:cs="Times New Roman" w:eastAsia="Times New Roman" w:hAnsi="Times New Roman"/>
          <w:sz w:val="17"/>
          <w:szCs w:val="17"/>
          <w:color w:val="auto"/>
        </w:rPr>
        <w:t xml:space="preserve">, </w:t>
      </w:r>
      <w:hyperlink r:id="rId64">
        <w:r>
          <w:rPr>
            <w:rFonts w:ascii="Times New Roman" w:cs="Times New Roman" w:eastAsia="Times New Roman" w:hAnsi="Times New Roman"/>
            <w:sz w:val="17"/>
            <w:szCs w:val="17"/>
            <w:u w:val="single" w:color="auto"/>
            <w:color w:val="0000EE"/>
          </w:rPr>
          <w:t>April 25,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(Item 8.01 and Exhibit 99.2 only) and </w:t>
      </w:r>
      <w:hyperlink r:id="rId65">
        <w:r>
          <w:rPr>
            <w:rFonts w:ascii="Times New Roman" w:cs="Times New Roman" w:eastAsia="Times New Roman" w:hAnsi="Times New Roman"/>
            <w:sz w:val="17"/>
            <w:szCs w:val="17"/>
            <w:u w:val="single" w:color="auto"/>
            <w:color w:val="0000EE"/>
          </w:rPr>
          <w:t>April 30, 2024</w:t>
        </w:r>
      </w:hyperlink>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2023 from our definitive proxy statement on Schedule 14A, filed with the SEC on </w:t>
      </w:r>
      <w:hyperlink r:id="rId69">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Current Report on Form 8-K filed with the SEC on </w:t>
      </w:r>
      <w:hyperlink r:id="rId70">
        <w:r>
          <w:rPr>
            <w:rFonts w:ascii="Times New Roman" w:cs="Times New Roman" w:eastAsia="Times New Roman" w:hAnsi="Times New Roman"/>
            <w:sz w:val="18"/>
            <w:szCs w:val="18"/>
            <w:u w:val="single" w:color="auto"/>
            <w:color w:val="0000EE"/>
          </w:rPr>
          <w:t>April 27, 2018</w:t>
        </w:r>
      </w:hyperlink>
      <w:r>
        <w:rPr>
          <w:rFonts w:ascii="Times New Roman" w:cs="Times New Roman" w:eastAsia="Times New Roman" w:hAnsi="Times New Roman"/>
          <w:sz w:val="18"/>
          <w:szCs w:val="18"/>
          <w:color w:val="auto"/>
        </w:rPr>
        <w:t xml:space="preserve">, including any </w:t>
      </w:r>
      <w:hyperlink r:id="rId77">
        <w:r>
          <w:rPr>
            <w:rFonts w:ascii="Times New Roman" w:cs="Times New Roman" w:eastAsia="Times New Roman" w:hAnsi="Times New Roman"/>
            <w:sz w:val="18"/>
            <w:szCs w:val="18"/>
            <w:color w:val="auto"/>
          </w:rPr>
          <w:t xml:space="preserve">amendments or reports filed for the purpose of updating such description (including the “Description of Securities” included as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EE"/>
          </w:rPr>
          <w:t>4.21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10-K for the fiscal year ended December 31, 2023, filed with the SEC on February 21, 2024).</w:t>
        </w:r>
      </w:hyperlink>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58"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telephone or email us at the following address:</w:t>
      </w:r>
    </w:p>
    <w:p>
      <w:pPr>
        <w:spacing w:after="0" w:line="180"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Nasdaq, Inc.</w:t>
      </w:r>
    </w:p>
    <w:p>
      <w:pPr>
        <w:spacing w:after="0" w:line="2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 W. 42nd Street</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(212) 401-8700</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email: investor.relations@nasdaq.com</w:t>
      </w:r>
    </w:p>
    <w:p>
      <w:pPr>
        <w:spacing w:after="0" w:line="13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documents incorporated by reference herein and therein may include forward-looking statements within the meaning of Section 27A of the Securities Act and Section 21E of the Exchange Act. We intend that the “safe harbor” provisions of the Private Securities Litigation Reform Act of 1995 apply to these forward-looking statements. Forward-looking statements are not statements of historical fact but rather reflect our current expectations, estimates and predictions about future results and events.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9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direction, including changes to our corporate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acquired businesses, including accounting decisions relating thereto;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or impact of acquisitions, divestitures, investments, joint ventures or other transactional activities;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dates for, and expected benefits of, ongoing initiatives, including transactional activities and other strategic, restructuring, technology, Environmental, Social and Governance (“ESG”) matters, de-leveraging and capital return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liquidity and capital;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any regulatory or government investigation or action, to which we are or could become a party or which may affect us and any potential settlements of litigation, regulatory or governmental investigations or actions, including with respect to our Commodity Futures Trading Commission investigation.</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risks and uncertainties. Factors that could cause actual results to differ materially from those contemplated by the forward-looking statements include, among others, the following: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lower than expected;</w:t>
      </w:r>
    </w:p>
    <w:p>
      <w:pPr>
        <w:spacing w:after="0" w:line="130" w:lineRule="exact"/>
        <w:rPr>
          <w:rFonts w:ascii="Times New Roman" w:cs="Times New Roman" w:eastAsia="Times New Roman" w:hAnsi="Times New Roman"/>
          <w:sz w:val="18"/>
          <w:szCs w:val="18"/>
          <w:color w:val="auto"/>
        </w:rPr>
      </w:pPr>
    </w:p>
    <w:p>
      <w:pPr>
        <w:jc w:val="both"/>
        <w:ind w:left="1080" w:right="5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trading and clearing volumes or values, fees, market share, listed companies, market data customers or other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grow our non-trading businesses;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up with rapid technological advances, including our ability to effectively manage the development and use of artificial intelligence in certain of our products and offerings, and adequately address cybersecurity risks;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and fluctuations, including inflation, interest rate and foreign currency risk, inherent in U.S. and international operations, and geopolitical instability;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our technology and technology of third parties on which we rely;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systems failures or errors in our operational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cash and manage our indebtedness;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that may occur in the litigation or regulatory areas, or in the securities markets generally, or increased regulatory oversight domestically or internationally.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Most of these factors are difficult to predict accurately and are generally beyond our control. You should consider the uncertainty and any risk related to forward-looking statements that we make. The above list of risks and uncertainties is only a summary of some of the most important factors and is not intended to be exhaustive. You should carefully review the risks and information contained, or incorporated by reference, in this prospectus, including, without limitation, those risk factors discussed under the caption “Part I. Item 1A. Risk Factors,” in our Annual Report on Form 10-K for the fiscal year ended December 31, 2023 that was filed with the SEC on February 21, 2024 and in any reports subsequently filed with the SEC. New factors that are not currently known to us or of which we are currently unaware may also emerge from time to time that could materially and adversely affect us. You are cautioned not to place undue reliance on these forward-looking statements, which speak only as of the date of this prospectus. You should carefully read our entire Annual Report on Form 10-K, including “Item 7. Management’s Discussion and Analysis of Financial Condition and Results of Operations” and the consolidated financial statements and the related notes contained therein.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three business segments: Capital Access Platforms, Financial Technology and Market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Access Platforms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Capital Access Platforms segment delivers liquidity, transparency and integrity to the corporate issuer and investment community by empowering our clients to effectively navigate the capital markets, achieve their sustainability goals, and drive governance excellence. We offer a suite of products to assist companies in managing corporate governance standards.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Capital Access Platforms segment includes Data &amp; Listing Services, Index and Workflow &amp; Insights.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Data &amp; Listing Services</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Our North American and European data products enhance transparency of market activity within our exchanges and provide critical information to professional and non-professional investors globally. Our Data business distributes historical and real-time market data to sell-side customers, the institutional investing community, retail online brokers, proprietary trading firms, and other venues, as well as internet portals and data distributors.</w:t>
      </w:r>
    </w:p>
    <w:p>
      <w:pPr>
        <w:spacing w:after="0" w:line="15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access to our market depth, fund valuation, order imbalances, market sentiment and other analytical data.</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distribute this proprietary market information to both market participants and non-participants through a number of proprietary products, including Nasdaq TotalView, our flagship market depth quote product. We offer TotalView products for The Nasdaq Stock Market and our Nasdaq BX, Nasdaq PSX and Nordic markets. We also offer Nordic Equity TotalView, Nordic Derivatives TotalView and Nordic Fixed Income TotalView for Nordic markets.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operate several other proprietary services and data products to provide market information, including Nasdaq Basic, a low cost alternative to the industry Level 1 feed and Nasdaq Canada Basic, a low cost alternative to other high priced data feeds. We also provide various other data, including data relating to our U.S. equities and options exchanges and Nordic equities, derivatives, fixed income and futures.</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Additionally, our Nasdaq Cloud Data Service provides a flexible and efficient method of delivery for real-time exchange data and other financial information. Data is made available through a suite of application programming interfaces, or APIs, allowing for the integration of data from disparate sources and a reduction in time to market for customer-designed applications. These APIs are highly scalable and can support the delivery of real-time exchange data.</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operate a variety of listing platforms around the world to provide multiple global capital raising solutions for public companies. Companies listed on our markets represent a diverse array of industries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among others, healthcare, consumer products, telecommunication services, information technology, financial services, industrials and energy.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main listing markets are The Nasdaq Stock Market and the Nasdaq Nordic and Nasdaq Baltic exchanges.</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Companies seeking to list securities on The Nasdaq Stock Market may do so on one of the three market tiers: The Nasdaq Global Select Market, The Nasdaq Global Market, or The Nasdaq Capital Market. To qualify, companies must meet minimum listing requirements, including specified financial and corporate governance criteria. Once listed, companies must maintain rigorous listing and corporate governance standards.</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a total of 5,262 companies listed securities on our U.S., Nasdaq Nordic, Nasdaq Baltic and Nasdaq First North exchanges. As of December 31, 2023, a total of 4,044 companies listed securities on The Nasdaq Stock Market, with 1,443 listings on The Nasdaq Global Select Market, 1,269 on The Nasdaq Global Market and 1,332 on The Nasdaq Capital Market.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Index</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Index business develops and licenses Nasdaq-branded indices and financial products. License fees for our trademark licenses vary by product based on a percentage of underlying assets, dollar value of a product issuance, number of products or number of contracts traded. We also license cash-settled options, futures and options on futures on our indices.</w:t>
      </w:r>
    </w:p>
    <w:p>
      <w:pPr>
        <w:spacing w:after="0" w:line="176"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388 exchange traded products (“ETPs”) listed on 27 exchanges in over 20 countries tracked a Nasdaq index and accounted for $473 billion in assets under management. Our flagship index, the Nasdaq-100 Index (“NDX”), includes the top</w:t>
      </w: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100 non-financial companies listed on The Nasdaq Stock Market. More than 100 ETPs worldwide track indices in the NDX ecosystem, and had nearly $360 billion in assets tracking the index as of December 31, 2023.</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index data products based on Nasdaq indices. Index data products include our Global Index Data Service, which delivers real-time index values throughout the trading day, and Global Index Watch/Global Index File Delivery Service, which delivers daily and historical weightings and components data, corporate actions and a breadth of additional data for the indices that we operate.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Workflow &amp; Insights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Workflow &amp; Insights business includes our analytics and corporate solutions products.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analytics products provide asset managers, investment consultants and institutional asset owners with information and analytics to make data-driven investment decisions, deploy their resources more productively, and provide liquidity solutions for private funds.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Our corporate solutions serve both public and private companies and organizations through our Investor Relations Intelligence, Governance Solutions and ESG Solutions products.</w:t>
      </w:r>
    </w:p>
    <w:p>
      <w:pPr>
        <w:spacing w:after="0" w:line="162" w:lineRule="exact"/>
        <w:rPr>
          <w:sz w:val="20"/>
          <w:szCs w:val="20"/>
          <w:color w:val="auto"/>
        </w:rPr>
      </w:pPr>
    </w:p>
    <w:p>
      <w:pPr>
        <w:ind w:left="120" w:right="340" w:firstLine="440"/>
        <w:spacing w:after="0" w:line="233" w:lineRule="auto"/>
        <w:rPr>
          <w:sz w:val="20"/>
          <w:szCs w:val="20"/>
          <w:color w:val="auto"/>
        </w:rPr>
      </w:pPr>
      <w:r>
        <w:rPr>
          <w:rFonts w:ascii="Times New Roman" w:cs="Times New Roman" w:eastAsia="Times New Roman" w:hAnsi="Times New Roman"/>
          <w:sz w:val="18"/>
          <w:szCs w:val="18"/>
          <w:color w:val="auto"/>
        </w:rPr>
        <w:t>Our Investor Relations Intelligence offerings include a global team of expert consultants that deliver advisory services including Equity Surveillance &amp; Shareholder Analysis, Investor Engagement and Perception Studies, as well as an industry-leading platform, Nasdaq IR Insight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to investor relations professionals and executive teams. These solutions allow investor relations officers and executives to better manage their investor relations programs, understand their investor base, target new investors, manage meetings and consume key data such as investor profiles, equity research, consensus estimates and news.</w:t>
      </w:r>
    </w:p>
    <w:p>
      <w:pPr>
        <w:spacing w:after="0" w:line="20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Through our Governance Solutions products, we provide a global technology offering and consulting services that streamline the meeting process for board of directors and executive leadership teams and enable them to accelerate decision making and strengthen governance. Our solutions help protect sensitive data and facilitate productive collaboration, which enables board members and teams to work faster and more effectively.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ESG Solutions includes our ESG Advisory practice and our ESG software offering. Our ESG Advisory practice helps companies analyze, assess and action best practices to attract long-term capital.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Technology</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Financial Technology segment delivers leading platforms that improve the liquidity, transparency and integrity of the global economy by architecting and operating the world’s best markets. This segment comprises Financial Crime Management Technology, Regulatory Technology and Capital Markets Technology solutions.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a leading global technology solutions provider and partner to exchanges, clearing organizations, central securities depositories, regulators, banks, brokers, buy-side firms and corporate businesses, and power more than 130 marketplaces in more than 55 countries.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Crime Management Technology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Financial Crime Management Technology business includes our Verafin solution which delivers a leading platform that improves the integrity and transparency of the financial world by providing SaaS solutions for fraud detection and anti-money laundering.</w:t>
      </w:r>
    </w:p>
    <w:p>
      <w:pPr>
        <w:spacing w:after="0" w:line="162"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financial services industry has seen a growing demand for products and services focused on anti-financial crime. Our Verafin solution provides a cloud-based platform to help detect, investigate, and report money laundering and financial fraud to approximately 2,500 financial institutions in North America.</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Regulatory 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Regulatory Technology includes surveillance and AxiomSL solutions.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surveillance solutions include a SaaS platform designed for banks, brokers and other market participants to assist in complying with market rules, regulations and internal market surveillance policies and serves more than 170 clients. We also provide a solution to regulators and exchanges with a robust platform to manage cross-market, cross-asset and multi-venue surveillance. This offering powers surveillance for more than 50 exchanges and 18 regulators.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AxiomSL’s platform supports compliance across a wide range of global and local regulations.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 Markets Technology includes market technology, trade management services and Calypso.</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market technology solutions can handle a wide array of assets, including but not limited to cash equities, equity derivatives, currencies, various interest-bearing securities, commodities, energy products and digital currencies.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trade management services provide market participants with a wide variety of alternatives for connecting to and accessing our markets for a fee. Our marketplaces may be accessed via a number of different protocols used for quoting, order entry, trade reporting and connectivity to various data feeds. WorkX, a web-based, front-end interface allows market participants to view data, utilize risk management tools, and submit and review trade reports. WorkX enables a seamless workflow and enhanced trade intelligence.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 we offer a variety of add-on compliance tools to help market participants comply with regulatory requirements. We also offer colocation services to market participants as well as a number of wireless connectivity offerings between certain data centers using millimeter wave and microwave technology.</w:t>
      </w:r>
    </w:p>
    <w:p>
      <w:pPr>
        <w:spacing w:after="0" w:line="176"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Calypso is a leading provider of front-to-back trading technology solutions for the financial markets. The Calypso platform provides customers with a single platform designed to enable consolidation, innovation and growth. The platform supports front, middle and back office activities in exchange-traded and OTC instruments and supports multiple financial asset classes and the associated financial instruments. Calypso’s software application specializes in capital markets, investment management, risk management, clearing, collateral, treasury and liquidity management.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Our Market Services segment includes our equity derivative trading and clearing, cash equity trading, fixed income, currency and commodities trading. We operate 19 exchanges across several asset classes, including derivatives, commodities, cash equity, debt, structured products and ETPs.</w:t>
      </w:r>
    </w:p>
    <w:p>
      <w:pPr>
        <w:spacing w:after="0" w:line="14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provide trading services in North America and Europe. In the U.S., we operate six options exchanges: Nasdaq PHLX, The Nasdaq Options Market, Nasdaq BX Options, Nasdaq ISE, Nasdaq GEMX and Nasdaq MRX. These exchanges facilitate the trading of equity, ETF, index and foreign currency options. Our combined options market share in 2023 represented the largest share of the U.S. market for multi-listed equity options. Our options trading platforms provide trading opportunities to retail investors, algorithmic trading firms and market makers, who tend to prefer electronic trading, and institutional investors, who typically require high touch services to execute their trades, which are often performed on our trading floor in Philadelphia.</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also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alternative trading systems, institutional investors, and registered securities exchanges. We also operate a U.S. corporate bond exchange for the listing of corporate bonds.</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Canada, we operate an exchange with three independent markets for the trading of Canadian-listed securities: Nasdaq Canada CXC, Nasdaq Canada CX2 and Nasdaq Canada CXD.</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Europe, we operate exchanges in Tallinn (Estonia), Riga (Latvia) and Vilnius (Lithuania) as Nasdaq Baltic and exchanges in Stockholm (Sweden), Copenhagen (Denmark), Helsinki (Finland), and Reykjavik (Iceland) together with the clearing operations of Nasdaq Clearing, as Nasdaq Nordic.</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Europe, Nasdaq Nordic offers trading in derivatives, such as stock options and futures and index options and futures. Nasdaq Clearing offers central counterparty clearing services for stock options and futures and index options and futures.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Nasdaq Commodities is the brand name for Nasdaq’s European commodity-related products and services such as trading and clearing. Nasdaq Commodities’ offerings include derivatives in power, natural gas and carbon emission markets, seafood and electricity certificates. These products are listed on Nasdaq Oslo ASA, except for seafood, which is listed on Fish Pool, a third-party platform.</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also own a majority stake in Puro.earth, a Finnish-based leading platform for carbon removal. Puro.earth offers engineered carbon removal instruments that are verified and tradable through an open, online platform. Puro.earth’s marketplace capabilities add to our suite of ESG-focused technologies and workflow solutions and give our clients further resources to achieve their ESG objectives.</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incorporated in Delaware. Our executive offices are located at 151 W. 42nd Street, New York, New York, 10036 and our telephone number is (212) 401-8700. Our web site is http://www.nasdaq.com. Information contained on our web site is not incorporated by reference into this prospectus or any accompanying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14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securityholder.</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320" w:top="455" w:right="8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and if applicable, any free writing prospectus, will contain the material terms of the securities being offered.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following summary description of our capital stock is based on the provisions of the Delaware General Corporate Law (the “DGCL”), our amended and restated certificate of incorporation, and our bylaws. This description does not purport to be complete and is qualified in its entirety by reference to the full text of the DGCL, as it may be amended from time to time, and to the terms of our amended and restated certificate of incorporation and bylaws, as each may be amended from time to time, which are incorporated by reference as exhibits to the registration statement of which this prospectus is a part. See “Where You Can Find More Information.” As used in this “Description of Capital Stock,” the terms “Nasdaq, Inc.,”, “Nasdaq,” the “Company”, “we,” “our” and “us” refer to Nasdaq, Inc., a Delaware corporation, and do not, unless otherwise specified, include our subsidiaries.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(i) 900,000,000 shares of common stock, par value $0.01 per share, and (ii) 30,000,000 shares of preferred stock, par value $0.01 per share. As of March 31, 2024, there were 575,758,581 shares of our common stock outstanding and no shares of preferred stock outstanding. As of March 31, 2024, we had approximately 201 holders of record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stockholder of record of our common stock is entitled to one vote for each share held on every matter properly submitted to the stockholders for their vote. Holders of our common stock do not have cumulative voting rights. The holders of our common stock are entitled to one vote per share, except that our certificate of incorporation limits the ability of any stockholder to vote in excess of 5.0% of the then-outstanding shares of our common stock. This limitation does not apply to persons exempted from this limitation by our board of directors prior to the time such person owns more than 5.0% of the then-outstanding shares of our common stock.</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After satisfaction of any dividend rights of holders of preferred stock, if any, holders of common stock are entitled ratably to any dividend declared by our board of directors out of funds legally available for this purpose.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 up, the holders of our common stock are entitled to receive ratably our net assets available, if any, after the payment of all debts and other liabilities and subject to the prior rights of any outstanding preferred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our common stock have no preemptive, subscription, redemption, conversion or exchange rights and no sinking fund provisions.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if any, that we may designate and issue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fix the designation, powers, privileges, preferences and rights of the shares of each series as well as any applicable qualifications, limitations or restrictions. You should refer to the applicable certificate of amendment as well as our certificate of incorporation before deciding to buy shares of our preferred stock as described in any accompanying prospectus supplement.</w:t>
      </w:r>
    </w:p>
    <w:p>
      <w:pPr>
        <w:spacing w:after="0" w:line="176"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Our board of directors has been authorized to provide for the issuance of up to 30,000,000 shares of our preferred stock in multiple series without the approval of stockholders. With respect to each series of our preferred stock, our board of directors has the authority to fix the following terms:</w:t>
      </w:r>
    </w:p>
    <w:p>
      <w:pPr>
        <w:spacing w:after="0" w:line="4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within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and, if cumulative, the dates from which dividends are cumulative;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any dividends, any conditions upon which dividends are payable, and the dates of payment of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are redeemable, the redemption price and the terms of redemption;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for each share if we dissolve or liquidate;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are convertible or exchangeable, the price or rate of conversion or exchange, and the applicable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issuance of shares in the same series or any other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applicable to the series of preferred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priorities, preferences, restrictions or limitations of such series.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right of a holder of preferred stock to receive payment in respect thereof upon any liquidation, dissolution or winding up of us will be subordinate to the rights of our general creditors.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Bylaws and Other Agreements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contain provisions that may make it more difficult for a potential acquirer to acquire us by means of a transaction that is not negotiated with our board of directors. These provisions and certain provisions of the DGCL could delay or prevent a merger or acquisition that our stockholders consider favorable. These provisions may also discourage acquisition proposals or have the effect of delaying or preventing a change in control, which could harm our stock price. The following is a description of the anti-takeover effects of certain provisions of our amended restated certificate of incorporation and our by-laws.</w:t>
      </w:r>
    </w:p>
    <w:p>
      <w:pPr>
        <w:spacing w:after="0" w:line="181"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Directors Nominations</w:t>
      </w:r>
      <w:r>
        <w:rPr>
          <w:rFonts w:ascii="Times New Roman" w:cs="Times New Roman" w:eastAsia="Times New Roman" w:hAnsi="Times New Roman"/>
          <w:sz w:val="18"/>
          <w:szCs w:val="18"/>
          <w:color w:val="auto"/>
        </w:rPr>
        <w:t>: Our by-laws provide that stockholders seeking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before an annual meeting of stockholders, or to nominate candidates for election as directors at an annual meeting of stockholders, must provide timely notice in writing.</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Generally,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stockholder in order to be timely must be received no earlier than 120 days prior to the meeting and not later than the later of 90 days prior to the meeting and the close of business on the 10th day following the date on which notice of the date of the annual meeting was first publicly announced by Nasdaq. In the case of a special meeting of stockholders called for the purpose of electing directors, notice by the stockholder in order to be timely must be received no earlier than 120 days prior to the meeting and not later than the later of 90 days prior to the meeting or the close of business on the 10th day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following the day on which public disclosure of the date of the special meeting and our nominees was first made. In addition, the by-laws specify certain requirements as to the form and content of a stockholder’s notice. These provisions may impede stockholders’ ability to bring matters before an annual meeting of stockholders, a stockholder requested special meeting of stockholders or make nominations for directors.</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 Our by-laws include a proxy access provision that permits a stockholder, or a group of stockholders, owning at least 3%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spacing w:after="0" w:line="180" w:lineRule="exact"/>
        <w:rPr>
          <w:sz w:val="20"/>
          <w:szCs w:val="20"/>
          <w:color w:val="auto"/>
        </w:rPr>
      </w:pPr>
    </w:p>
    <w:p>
      <w:pPr>
        <w:jc w:val="both"/>
        <w:ind w:left="120" w:right="4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of a Delaware corporation are not entitled to the right to cumulate votes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unless the corporation’s certificate of incorporation, as amended, provides otherwise. Our amended and restated certificate of incorporation does not provide for cumulative voting.</w:t>
      </w:r>
    </w:p>
    <w:p>
      <w:pPr>
        <w:spacing w:after="0" w:line="173"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Action by Written Consent</w:t>
      </w:r>
      <w:r>
        <w:rPr>
          <w:rFonts w:ascii="Times New Roman" w:cs="Times New Roman" w:eastAsia="Times New Roman" w:hAnsi="Times New Roman"/>
          <w:sz w:val="18"/>
          <w:szCs w:val="18"/>
          <w:color w:val="auto"/>
        </w:rPr>
        <w:t>: Our certificate of incorporation provides that stockholders are not entitled to act by written consent in lieu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w:t>
      </w:r>
    </w:p>
    <w:p>
      <w:pPr>
        <w:spacing w:after="0" w:line="158"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Right to Call Special Meeting</w:t>
      </w:r>
      <w:r>
        <w:rPr>
          <w:rFonts w:ascii="Times New Roman" w:cs="Times New Roman" w:eastAsia="Times New Roman" w:hAnsi="Times New Roman"/>
          <w:sz w:val="18"/>
          <w:szCs w:val="18"/>
          <w:color w:val="auto"/>
        </w:rPr>
        <w:t>: Our by-laws provide that only stockholders representing 15% or more, in the aggregate, of our outstanding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convene a special meeting of stockholders, provided that the stockholders satisfy the requirements of our by-laws.</w:t>
      </w:r>
    </w:p>
    <w:p>
      <w:pPr>
        <w:spacing w:after="0" w:line="15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Amendments; Vote Requirements</w:t>
      </w:r>
      <w:r>
        <w:rPr>
          <w:rFonts w:ascii="Times New Roman" w:cs="Times New Roman" w:eastAsia="Times New Roman" w:hAnsi="Times New Roman"/>
          <w:sz w:val="18"/>
          <w:szCs w:val="18"/>
          <w:color w:val="auto"/>
        </w:rPr>
        <w:t>: The DGCL provides generally that the affirmative vote of a majority of the shares entitled to vote on any matter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required to amend a corporation’s certificate of incorporation, unless a corporation’s certificate of incorporation requires a greater percentage. Our certificate of incorporation imposes majority voting requirements in connection with stockholder amendments to the by-laws and in connection with the amendment of certain provisions of the certificate of incorporation, including those provisions of our certificate of incorporation relating to the limitations on voting rights of certain persons, removal of directors and prohibitions on stockholder action by written consent.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The authorized but unissued shares of our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in most cases. These additional shares may be utilized for a variety of corporate purposes, including future public or private offerings to raise additional capital, corporate acquisitions and employee benefit plans. The existence of authorized but unissued shares of our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General Corporation Law of the State of Delaware</w:t>
      </w:r>
      <w:r>
        <w:rPr>
          <w:rFonts w:ascii="Times New Roman" w:cs="Times New Roman" w:eastAsia="Times New Roman" w:hAnsi="Times New Roman"/>
          <w:sz w:val="18"/>
          <w:szCs w:val="18"/>
          <w:color w:val="auto"/>
        </w:rPr>
        <w:t>: We are a Delaware corporation that is subject to Section 203 of the DGCL. Section 203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4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corporation’s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the board of directors of the corporation and by the affirmative vote of holders of at least two-thirds of the outstanding voting stock that is not owned by the interested stockholder.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any entity interested in acquiring our Company to negotiate in advance with our board of directors because the stockholder approval requirement would be avoided if our board of directors approves either the business combination or the transaction that results in such entity becoming an interested stockholder. These provisions also may make it more difficult to accomplish transactions involving our Company that our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symbol “NDAQ.”</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Depositary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5"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between us and Wells Fargo Bank, National Association, as trustee, or such other trustee named therein. The indenture was previously filed and is incorporated by reference as an exhibit to the registration statement of which this prospectus forms a part, which you should review for additional information.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92"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4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minimum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warrants expire they will become void. The prospectus supplement may provide for the adjustment of the exercise price of the warrants.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76"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contain the specific terms of the subscription rights. These terms may include the following:</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share of common stock or preferred stock or debt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18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320" w:top="455" w:right="8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 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the selling securityholders will identify the specific plan of distribution in a prospectus supplement, including:</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agents or direct purchasers and their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obligations to take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underwriters’ obligations to take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or the selling securityholders use underwriters in an offering, we or the selling securityholders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or the selling securityholders use an underwriting syndicate, the managing underwriter(s) will be specified on the cover of the prospectus supplement. If we or the selling securityholders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dealers are used in an offering, we or the selling securityholders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and any discounts or commissions they receive from us and any profit on their resale of the securities may be treated as underwriting discounts and commissions under the Securities Act. We or the selling securityholders will identify in the applicable prospectus supplement any underwriters, dealers or agents and will describe their compensation. We or the selling securityholders may have agreements with the underwriters, dealers and agents to indemnify them against specified civil liabilities, including liabilities under the Securities Act.</w:t>
      </w:r>
    </w:p>
    <w:p>
      <w:pPr>
        <w:spacing w:after="0" w:line="183"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or the selling securityholders in the ordinary course of business.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so indicated in a prospectus supplement, we or the selling securityholders will authorize underwriters or other persons acting as our agents to solicit offers by institutional investors to purchase securities pursuant to contracts providing for payment and delivery on a future date. We or the selling securityholders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the selling securityholders may sell securities directly to one or more purchasers without using underwriters or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or the selling securityholders may also sell the securities offered by any applicable prospectus supplement in “at-the-market offerings” within the meaning of Rule 415 of the Securities Act, to or through a market maker or into an existing trading market, on an exchange or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markets and listing of securities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common stock, which is listed on The Nasdaq Stock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Stock Market or otherwise and, if commenced, may be discontinued at any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Wachtell, Lipton, Rosen &amp; Katz will provide opinions regarding the authorization and validity of the securities. Wachtell, Lipton, Rosen &amp; Katz may also provide opinions regarding certain other matters. Any underwriters will be advised about legal matters by their own counsel, which will be named in an accompanying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Nasdaq, Inc. appearing in Nasdaq, Inc.’s Annual Report on Form 10-K for the year ended December 31, 2023, and the effectiveness of Nasdaq,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and Nasdaq, Inc. management’s attestation of the effectiveness of internal controls over financial reporting as of December 31, 2023 are incorporated herein by reference in reliance upon such reports given on the authority of such firm as experts in accounting and auditing.</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Adenza Holdings, Inc. and its subsidiaries as of and for the years ended December 31, 2022 and 2021 incorporated by reference in this registration statement have been so incorporated in reliance on the report of BDO USA, P.C., independent auditors, given on the authority of said firm as experts in auditing and accounting.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320" w:top="455"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41,604,207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258445</wp:posOffset>
            </wp:positionV>
            <wp:extent cx="2348865" cy="668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23488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336550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1614170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39"/>
        </w:trPr>
        <w:tc>
          <w:tcPr>
            <w:tcW w:w="1880" w:type="dxa"/>
            <w:vAlign w:val="bottom"/>
            <w:tcBorders>
              <w:top w:val="single" w:sz="8" w:color="auto"/>
              <w:left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Fee</w:t>
            </w:r>
          </w:p>
        </w:tc>
        <w:tc>
          <w:tcPr>
            <w:tcW w:w="12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Proposed</w:t>
            </w:r>
          </w:p>
        </w:tc>
        <w:tc>
          <w:tcPr>
            <w:tcW w:w="16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60" w:type="dxa"/>
            <w:vAlign w:val="bottom"/>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12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1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Security</w:t>
            </w:r>
          </w:p>
        </w:tc>
        <w:tc>
          <w:tcPr>
            <w:tcW w:w="164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or Carry</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Offering</w:t>
            </w:r>
          </w:p>
        </w:tc>
        <w:tc>
          <w:tcPr>
            <w:tcW w:w="16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Class</w:t>
            </w:r>
          </w:p>
        </w:tc>
        <w:tc>
          <w:tcPr>
            <w:tcW w:w="60" w:type="dxa"/>
            <w:vAlign w:val="bottom"/>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12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9"/>
              </w:rPr>
              <w:t>Type </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Rule </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Unit 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100" w:type="dxa"/>
            <w:vAlign w:val="bottom"/>
            <w:tcBorders>
              <w:bottom w:val="single" w:sz="8" w:color="auto"/>
              <w:right w:val="single" w:sz="8" w:color="auto"/>
            </w:tcBorders>
            <w:vMerge w:val="continue"/>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color w:val="auto"/>
                <w:vertAlign w:val="subscript"/>
              </w:rPr>
              <w:t>Fee</w:t>
            </w:r>
            <w:r>
              <w:rPr>
                <w:rFonts w:ascii="Times New Roman" w:cs="Times New Roman" w:eastAsia="Times New Roman" w:hAnsi="Times New Roman"/>
                <w:sz w:val="9"/>
                <w:szCs w:val="9"/>
                <w:color w:val="auto"/>
              </w:rPr>
              <w:t>(1)(2)</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Fees to be 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1880" w:type="dxa"/>
            <w:vAlign w:val="bottom"/>
            <w:tcBorders>
              <w:left w:val="single" w:sz="8" w:color="auto"/>
              <w:right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Fees Previously</w:t>
            </w:r>
          </w:p>
        </w:tc>
        <w:tc>
          <w:tcPr>
            <w:tcW w:w="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6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457(r)</w:t>
            </w: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6"/>
                <w:szCs w:val="16"/>
                <w:color w:val="auto"/>
              </w:rPr>
              <w:t>41,604,207</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$59.90</w:t>
            </w:r>
          </w:p>
        </w:tc>
        <w:tc>
          <w:tcPr>
            <w:tcW w:w="1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$2,492,091,999.30</w:t>
            </w:r>
          </w:p>
        </w:tc>
        <w:tc>
          <w:tcPr>
            <w:tcW w:w="1100" w:type="dxa"/>
            <w:vAlign w:val="bottom"/>
            <w:tcBorders>
              <w:right w:val="single" w:sz="8" w:color="auto"/>
            </w:tcBorders>
          </w:tcPr>
          <w:p>
            <w:pPr>
              <w:jc w:val="right"/>
              <w:ind w:right="52"/>
              <w:spacing w:after="0" w:line="191" w:lineRule="exact"/>
              <w:rPr>
                <w:sz w:val="20"/>
                <w:szCs w:val="20"/>
                <w:color w:val="auto"/>
              </w:rPr>
            </w:pPr>
            <w:r>
              <w:rPr>
                <w:rFonts w:ascii="Times New Roman" w:cs="Times New Roman" w:eastAsia="Times New Roman" w:hAnsi="Times New Roman"/>
                <w:sz w:val="18"/>
                <w:szCs w:val="18"/>
                <w:color w:val="auto"/>
              </w:rPr>
              <w:t>0.00014760</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$367,832.78</w:t>
            </w:r>
          </w:p>
        </w:tc>
        <w:tc>
          <w:tcPr>
            <w:tcW w:w="0" w:type="dxa"/>
            <w:vAlign w:val="bottom"/>
          </w:tcPr>
          <w:p>
            <w:pPr>
              <w:spacing w:after="0"/>
              <w:rPr>
                <w:sz w:val="1"/>
                <w:szCs w:val="1"/>
                <w:color w:val="auto"/>
              </w:rPr>
            </w:pPr>
          </w:p>
        </w:tc>
      </w:tr>
      <w:tr>
        <w:trPr>
          <w:trHeight w:val="241"/>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 par value</w:t>
            </w: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1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80" w:type="dxa"/>
            <w:vAlign w:val="bottom"/>
            <w:tcBorders>
              <w:left w:val="single" w:sz="8" w:color="auto"/>
              <w:right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Carry Forward</w:t>
            </w:r>
          </w:p>
        </w:tc>
        <w:tc>
          <w:tcPr>
            <w:tcW w:w="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1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7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8"/>
              </w:rPr>
              <w:t>Total Offering Amount</w:t>
            </w: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$2,492,091,999.30 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$367,832.78</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$367,832.78</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3"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41,604,207 shares of Common Stock offered by this prospectus supplement and the accompanying prospectus were included in the 85,608,414 shares previously registered by the Registrant under the same Registration Statement on Form S-3ASR (File No. 333-279011) filed with the Securities and Exchange Commission (the “Commission”) on April 30, 2024 (the “Registration Statement”), as supplemented by the Registrant’s prospectus supplement, dated and filed under Rule 424(b)(7) on May 3, 2024 (the “Original Prospectus Supplement”), all of which shares remain unsold under the Original Prospectus Supplement. A filing fee of $756,884.54 was paid contemporaneously with the registration of such shares, and the portion of such filing fee allocable to the aforesaid 41,604,207 shares (calculated by multiplying such number of shares by the then applicable average of the high and low prices of the registrant’s common stock on the NASDAQ Global Select Market of $59.90 and multiplying that product by the then applicable fee rate of 0.00014760) is $367,832.78.</w:t>
      </w: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registration fee paid contemporaneously with the filing of this prospectus supplement under Rule 424(b)(7) is $0.00.</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upperLetter"/>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Roman"/>
      <w:start w:val="1"/>
    </w:lvl>
  </w:abstractNum>
  <w:abstractNum w:abstractNumId="15">
    <w:nsid w:val="71F32454"/>
    <w:multiLevelType w:val="hybridMultilevel"/>
    <w:lvl w:ilvl="0">
      <w:lvlJc w:val="left"/>
      <w:lvlText w:val="%1."/>
      <w:numFmt w:val="lowerRoman"/>
      <w:start w:val="6"/>
    </w:lvl>
  </w:abstractNum>
  <w:abstractNum w:abstractNumId="16">
    <w:nsid w:val="2CA88611"/>
    <w:multiLevelType w:val="hybridMultilevel"/>
    <w:lvl w:ilvl="0">
      <w:lvlJc w:val="left"/>
      <w:lvlText w:val="%1."/>
      <w:numFmt w:val="lowerRoman"/>
      <w:start w:val="1"/>
    </w:lvl>
  </w:abstractNum>
  <w:abstractNum w:abstractNumId="17">
    <w:nsid w:val="836C40E"/>
    <w:multiLevelType w:val="hybridMultilevel"/>
    <w:lvl w:ilvl="0">
      <w:lvlJc w:val="left"/>
      <w:lvlText w:val="%1."/>
      <w:numFmt w:val="lowerRoman"/>
      <w:start w:val="9"/>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lowerRoman"/>
      <w:start w:val="5"/>
    </w:lvl>
  </w:abstractNum>
  <w:abstractNum w:abstractNumId="20">
    <w:nsid w:val="8138641"/>
    <w:multiLevelType w:val="hybridMultilevel"/>
    <w:lvl w:ilvl="0">
      <w:lvlJc w:val="left"/>
      <w:lvlText w:val="(%1)"/>
      <w:numFmt w:val="lowerRoman"/>
      <w:start w:val="4"/>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jpe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58" Type="http://schemas.openxmlformats.org/officeDocument/2006/relationships/hyperlink" Target="http://www.sec.gov/ix?doc=/Archives/edgar/data/1120193/000112019324000006/ndaq-20231231.htm" TargetMode="External"/><Relationship Id="rId59" Type="http://schemas.openxmlformats.org/officeDocument/2006/relationships/hyperlink" Target="http://www.sec.gov/ix?doc=/Archives/edgar/data/1120193/000112019324000010/ndaq-20240331.htm" TargetMode="External"/><Relationship Id="rId60" Type="http://schemas.openxmlformats.org/officeDocument/2006/relationships/hyperlink" Target="http://www.sec.gov/ix?doc=/Archives/edgar/data/1120193/000119312524009301/d47532d8ka.htm" TargetMode="External"/><Relationship Id="rId61" Type="http://schemas.openxmlformats.org/officeDocument/2006/relationships/hyperlink" Target="http://www.sec.gov/ix?doc=/Archives/edgar/data/1120193/000119312524020225/d169716d8k.htm" TargetMode="External"/><Relationship Id="rId62" Type="http://schemas.openxmlformats.org/officeDocument/2006/relationships/hyperlink" Target="http://www.sec.gov/ix?doc=/Archives/edgar/data/1120193/000119312524072138/d812900d8k.htm" TargetMode="External"/><Relationship Id="rId63" Type="http://schemas.openxmlformats.org/officeDocument/2006/relationships/hyperlink" Target="http://www.sec.gov/ix?doc=/Archives/edgar/data/1120193/000119312524075204/d818003d8k.htm" TargetMode="External"/><Relationship Id="rId64" Type="http://schemas.openxmlformats.org/officeDocument/2006/relationships/hyperlink" Target="http://www.sec.gov/ix?doc=/Archives/edgar/data/1120193/000119312524111540/d806601d8k.htm" TargetMode="External"/><Relationship Id="rId65" Type="http://schemas.openxmlformats.org/officeDocument/2006/relationships/hyperlink" Target="http://www.sec.gov/ix?doc=/Archives/edgar/data/1120193/000119312524125075/d783957d8k.htm" TargetMode="External"/><Relationship Id="rId66" Type="http://schemas.openxmlformats.org/officeDocument/2006/relationships/hyperlink" Target="http://www.sec.gov/ix?doc=/Archives/edgar/data/1120193/000119312524130753/d774461d8k.htm" TargetMode="External"/><Relationship Id="rId67" Type="http://schemas.openxmlformats.org/officeDocument/2006/relationships/hyperlink" Target="http://www.sec.gov/ix?doc=/Archives/edgar/data/1120193/000119312524161624/d716310d8k.htm" TargetMode="External"/><Relationship Id="rId68" Type="http://schemas.openxmlformats.org/officeDocument/2006/relationships/hyperlink" Target="http://www.sec.gov/ix?doc=/Archives/edgar/data/1120193/000119312524184292/d779391d8k.htm" TargetMode="External"/><Relationship Id="rId69" Type="http://schemas.openxmlformats.org/officeDocument/2006/relationships/hyperlink" Target="http://www.sec.gov/ix?doc=/Archives/edgar/data/1120193/000119312524118183/d739414ddef14a.htm" TargetMode="External"/><Relationship Id="rId70" Type="http://schemas.openxmlformats.org/officeDocument/2006/relationships/hyperlink" Target="http://www.sec.gov/Archives/edgar/data/1120193/000119312518138864/d577762d8k.htm" TargetMode="External"/><Relationship Id="rId77" Type="http://schemas.openxmlformats.org/officeDocument/2006/relationships/hyperlink" Target="http://www.sec.gov/Archives/edgar/data/1120193/000112019324000006/ndaq12312023ex-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2024-07-30T06:16:41Z</dcterms:created>
  <dcterms:modified xsi:type="dcterms:W3CDTF">2024-07-30T06:16:41Z</dcterms:modified>
</cp:coreProperties>
</file>